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B97" w:rsidRDefault="00331380">
      <w:pPr>
        <w:pStyle w:val="a0"/>
        <w:spacing w:after="0" w:line="240" w:lineRule="auto"/>
        <w:jc w:val="center"/>
      </w:pPr>
      <w:r>
        <w:rPr>
          <w:noProof/>
          <w:lang w:val="en-US" w:eastAsia="en-US"/>
        </w:rPr>
        <w:drawing>
          <wp:anchor distT="152400" distB="152400" distL="152400" distR="152400" simplePos="0" relativeHeight="251659264" behindDoc="0" locked="0" layoutInCell="1" allowOverlap="1">
            <wp:simplePos x="0" y="0"/>
            <wp:positionH relativeFrom="margin">
              <wp:posOffset>3848735</wp:posOffset>
            </wp:positionH>
            <wp:positionV relativeFrom="page">
              <wp:posOffset>641350</wp:posOffset>
            </wp:positionV>
            <wp:extent cx="1541780" cy="1550670"/>
            <wp:effectExtent l="0" t="0" r="127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tiff"/>
                    <pic:cNvPicPr>
                      <a:picLocks noChangeAspect="1"/>
                    </pic:cNvPicPr>
                  </pic:nvPicPr>
                  <pic:blipFill>
                    <a:blip r:embed="rId7">
                      <a:extLst/>
                    </a:blip>
                    <a:stretch>
                      <a:fillRect/>
                    </a:stretch>
                  </pic:blipFill>
                  <pic:spPr>
                    <a:xfrm>
                      <a:off x="0" y="0"/>
                      <a:ext cx="1541780" cy="1550670"/>
                    </a:xfrm>
                    <a:prstGeom prst="rect">
                      <a:avLst/>
                    </a:prstGeom>
                    <a:ln w="12700" cap="flat">
                      <a:noFill/>
                      <a:miter lim="400000"/>
                    </a:ln>
                    <a:effectLst/>
                  </pic:spPr>
                </pic:pic>
              </a:graphicData>
            </a:graphic>
          </wp:anchor>
        </w:drawing>
      </w:r>
    </w:p>
    <w:p w:rsidR="002E2B97" w:rsidRDefault="002E2B97">
      <w:pPr>
        <w:pStyle w:val="a0"/>
        <w:spacing w:after="0" w:line="240" w:lineRule="auto"/>
        <w:jc w:val="center"/>
      </w:pPr>
    </w:p>
    <w:p w:rsidR="002E2B97" w:rsidRDefault="002E2B97">
      <w:pPr>
        <w:pStyle w:val="a0"/>
        <w:spacing w:after="0" w:line="240" w:lineRule="auto"/>
        <w:jc w:val="center"/>
      </w:pPr>
    </w:p>
    <w:p w:rsidR="002E2B97" w:rsidRDefault="002E2B97">
      <w:pPr>
        <w:pStyle w:val="a0"/>
        <w:spacing w:after="0" w:line="240" w:lineRule="auto"/>
        <w:jc w:val="center"/>
      </w:pPr>
    </w:p>
    <w:p w:rsidR="002E2B97" w:rsidRDefault="002E2B97">
      <w:pPr>
        <w:pStyle w:val="a0"/>
        <w:spacing w:after="0" w:line="240" w:lineRule="auto"/>
        <w:jc w:val="center"/>
      </w:pPr>
    </w:p>
    <w:p w:rsidR="002E2B97" w:rsidRDefault="002E2B97">
      <w:pPr>
        <w:pStyle w:val="a0"/>
        <w:spacing w:after="0" w:line="240" w:lineRule="auto"/>
        <w:jc w:val="center"/>
      </w:pPr>
    </w:p>
    <w:p w:rsidR="002E2B97" w:rsidRDefault="002E2B97">
      <w:pPr>
        <w:pStyle w:val="a0"/>
        <w:spacing w:after="0" w:line="240" w:lineRule="auto"/>
        <w:jc w:val="center"/>
      </w:pPr>
    </w:p>
    <w:p w:rsidR="002E2B97" w:rsidRDefault="002E2B97">
      <w:pPr>
        <w:pStyle w:val="a0"/>
        <w:spacing w:after="0" w:line="240" w:lineRule="auto"/>
        <w:jc w:val="center"/>
      </w:pPr>
    </w:p>
    <w:p w:rsidR="002E2B97" w:rsidRPr="00DE4C55" w:rsidRDefault="00331380">
      <w:pPr>
        <w:pStyle w:val="a0"/>
        <w:spacing w:after="0" w:line="240" w:lineRule="auto"/>
        <w:jc w:val="center"/>
        <w:rPr>
          <w:rFonts w:ascii="Times New Roman" w:eastAsia="Times New Roman" w:hAnsi="Times New Roman" w:cs="Times New Roman"/>
          <w:lang w:val="en-US"/>
        </w:rPr>
      </w:pPr>
      <w:r>
        <w:rPr>
          <w:rFonts w:ascii="Times New Roman" w:hAnsi="Times New Roman"/>
          <w:b/>
          <w:bCs/>
          <w:lang w:val="de-DE"/>
        </w:rPr>
        <w:t>REFERENCE INFORMATIO</w:t>
      </w:r>
      <w:bookmarkStart w:id="0" w:name="_GoBack"/>
      <w:bookmarkEnd w:id="0"/>
      <w:r>
        <w:rPr>
          <w:rFonts w:ascii="Times New Roman" w:hAnsi="Times New Roman"/>
          <w:b/>
          <w:bCs/>
          <w:lang w:val="de-DE"/>
        </w:rPr>
        <w:t>N</w:t>
      </w:r>
    </w:p>
    <w:p w:rsidR="002E2B97" w:rsidRPr="00DE4C55" w:rsidRDefault="002E2B97">
      <w:pPr>
        <w:pStyle w:val="a0"/>
        <w:spacing w:after="0" w:line="240" w:lineRule="auto"/>
        <w:ind w:firstLine="709"/>
        <w:rPr>
          <w:rFonts w:ascii="Times New Roman" w:eastAsia="Times New Roman" w:hAnsi="Times New Roman" w:cs="Times New Roman"/>
          <w:lang w:val="en-US"/>
        </w:rPr>
      </w:pPr>
    </w:p>
    <w:p w:rsidR="002E2B97" w:rsidRPr="00DE4C55" w:rsidRDefault="00331380">
      <w:pPr>
        <w:pStyle w:val="a0"/>
        <w:spacing w:after="0" w:line="240" w:lineRule="auto"/>
        <w:ind w:firstLine="709"/>
        <w:jc w:val="both"/>
        <w:rPr>
          <w:rFonts w:ascii="Times New Roman" w:eastAsia="Times New Roman" w:hAnsi="Times New Roman" w:cs="Times New Roman"/>
          <w:lang w:val="en-US"/>
        </w:rPr>
      </w:pPr>
      <w:r>
        <w:rPr>
          <w:rFonts w:ascii="Times New Roman" w:hAnsi="Times New Roman"/>
          <w:lang w:val="en-US"/>
        </w:rPr>
        <w:t xml:space="preserve">Starting from September 2015 new legislation on industry policy (Law </w:t>
      </w:r>
      <w:r w:rsidRPr="00DE4C55">
        <w:rPr>
          <w:rFonts w:ascii="Times New Roman" w:hAnsi="Times New Roman"/>
          <w:lang w:val="en-US"/>
        </w:rPr>
        <w:t xml:space="preserve">№ </w:t>
      </w:r>
      <w:r>
        <w:rPr>
          <w:rFonts w:ascii="Times New Roman" w:hAnsi="Times New Roman"/>
          <w:lang w:val="en-US"/>
        </w:rPr>
        <w:t xml:space="preserve">488-FZ dated December 31, 2014) came into force and effect.  Special investment contract (SPIC) has become one of the most investor-inviting means of state support. SPIC is an agreement between investor and the Russian Federation and/or region of the Russian Federation under which investor commits to invest certain amount of money in creation, development or modernization of production facilities at the territory of Russia while the government guarantees freezing of tax burden and stability of normative requirements to products for the duration of an investment project and is obliged to apply stimulating measures to the investor, including tax benefits. </w:t>
      </w:r>
    </w:p>
    <w:p w:rsidR="002E2B97" w:rsidRPr="00DE4C55" w:rsidRDefault="002E2B97">
      <w:pPr>
        <w:pStyle w:val="a0"/>
        <w:spacing w:after="0" w:line="240" w:lineRule="auto"/>
        <w:ind w:firstLine="709"/>
        <w:jc w:val="both"/>
        <w:rPr>
          <w:rFonts w:ascii="Times New Roman" w:eastAsia="Times New Roman" w:hAnsi="Times New Roman" w:cs="Times New Roman"/>
          <w:lang w:val="en-US"/>
        </w:rPr>
      </w:pPr>
    </w:p>
    <w:p w:rsidR="002E2B97" w:rsidRPr="00DE4C55" w:rsidRDefault="00331380">
      <w:pPr>
        <w:pStyle w:val="a0"/>
        <w:spacing w:after="0" w:line="240" w:lineRule="auto"/>
        <w:ind w:firstLine="709"/>
        <w:jc w:val="both"/>
        <w:rPr>
          <w:rFonts w:ascii="Times New Roman" w:eastAsia="Times New Roman" w:hAnsi="Times New Roman" w:cs="Times New Roman"/>
          <w:lang w:val="en-US"/>
        </w:rPr>
      </w:pPr>
      <w:r>
        <w:rPr>
          <w:rFonts w:ascii="Times New Roman" w:hAnsi="Times New Roman"/>
          <w:lang w:val="en-US"/>
        </w:rPr>
        <w:t>Starting from September 1, 201</w:t>
      </w:r>
      <w:r w:rsidR="00E223B4">
        <w:rPr>
          <w:rFonts w:ascii="Times New Roman" w:hAnsi="Times New Roman"/>
          <w:lang w:val="en-US"/>
        </w:rPr>
        <w:t>6</w:t>
      </w:r>
      <w:r>
        <w:rPr>
          <w:rFonts w:ascii="Times New Roman" w:hAnsi="Times New Roman"/>
          <w:lang w:val="en-US"/>
        </w:rPr>
        <w:t xml:space="preserve"> SPIC investors are entitled to claim the right to sell up to 30 % of produced merchandise under public procurement procedure on a non-competitive basis. This new option has become available as a result of entry into force of the Law </w:t>
      </w:r>
      <w:r w:rsidRPr="00DE4C55">
        <w:rPr>
          <w:rFonts w:ascii="Times New Roman" w:hAnsi="Times New Roman"/>
          <w:lang w:val="en-US"/>
        </w:rPr>
        <w:t xml:space="preserve">№ </w:t>
      </w:r>
      <w:r>
        <w:rPr>
          <w:rFonts w:ascii="Times New Roman" w:hAnsi="Times New Roman"/>
          <w:lang w:val="en-US"/>
        </w:rPr>
        <w:t xml:space="preserve">365-FZ dated July 03, 2016. </w:t>
      </w:r>
    </w:p>
    <w:p w:rsidR="002E2B97" w:rsidRPr="00DE4C55" w:rsidRDefault="002E2B97">
      <w:pPr>
        <w:pStyle w:val="a0"/>
        <w:spacing w:after="0" w:line="240" w:lineRule="auto"/>
        <w:ind w:firstLine="709"/>
        <w:jc w:val="both"/>
        <w:rPr>
          <w:rFonts w:ascii="Times New Roman" w:eastAsia="Times New Roman" w:hAnsi="Times New Roman" w:cs="Times New Roman"/>
          <w:lang w:val="en-US"/>
        </w:rPr>
      </w:pPr>
    </w:p>
    <w:p w:rsidR="002E2B97" w:rsidRPr="00DE4C55" w:rsidRDefault="00331380">
      <w:pPr>
        <w:pStyle w:val="a0"/>
        <w:spacing w:after="0" w:line="240" w:lineRule="auto"/>
        <w:ind w:firstLine="709"/>
        <w:jc w:val="both"/>
        <w:rPr>
          <w:rFonts w:ascii="Times New Roman" w:eastAsia="Times New Roman" w:hAnsi="Times New Roman" w:cs="Times New Roman"/>
          <w:lang w:val="en-US"/>
        </w:rPr>
      </w:pPr>
      <w:r>
        <w:rPr>
          <w:rFonts w:ascii="Times New Roman" w:hAnsi="Times New Roman"/>
          <w:lang w:val="en-US"/>
        </w:rPr>
        <w:t xml:space="preserve">New facilities have also become available for regional investors having won regionally-held tender for the right to conclude state contract with counter investment commitments. Opposite to SPIC, such state contracts enable investor to claim single-source supplier status only at the territory of the region where investment project is being implemented. </w:t>
      </w:r>
    </w:p>
    <w:p w:rsidR="002E2B97" w:rsidRPr="00DE4C55" w:rsidRDefault="002E2B97">
      <w:pPr>
        <w:pStyle w:val="a0"/>
        <w:spacing w:after="0" w:line="240" w:lineRule="auto"/>
        <w:ind w:firstLine="709"/>
        <w:jc w:val="both"/>
        <w:rPr>
          <w:rFonts w:ascii="Times New Roman" w:eastAsia="Times New Roman" w:hAnsi="Times New Roman" w:cs="Times New Roman"/>
          <w:lang w:val="en-US"/>
        </w:rPr>
      </w:pPr>
    </w:p>
    <w:p w:rsidR="002E2B97" w:rsidRPr="00DE4C55" w:rsidRDefault="00331380">
      <w:pPr>
        <w:pStyle w:val="a0"/>
        <w:spacing w:after="0" w:line="240" w:lineRule="auto"/>
        <w:ind w:firstLine="709"/>
        <w:jc w:val="both"/>
        <w:rPr>
          <w:rFonts w:ascii="Times New Roman" w:eastAsia="Times New Roman" w:hAnsi="Times New Roman" w:cs="Times New Roman"/>
          <w:lang w:val="en-US"/>
        </w:rPr>
      </w:pPr>
      <w:r>
        <w:rPr>
          <w:rFonts w:ascii="Times New Roman" w:hAnsi="Times New Roman"/>
          <w:lang w:val="en-US"/>
        </w:rPr>
        <w:t xml:space="preserve">The table below shows detailed key differences between SPIC and state contract with counter investment commitments: </w:t>
      </w:r>
    </w:p>
    <w:p w:rsidR="002E2B97" w:rsidRPr="00DE4C55" w:rsidRDefault="002E2B97">
      <w:pPr>
        <w:pStyle w:val="a0"/>
        <w:spacing w:after="0" w:line="240" w:lineRule="auto"/>
        <w:ind w:firstLine="540"/>
        <w:jc w:val="both"/>
        <w:rPr>
          <w:rFonts w:ascii="Times New Roman" w:eastAsia="Times New Roman" w:hAnsi="Times New Roman" w:cs="Times New Roman"/>
          <w:lang w:val="en-US"/>
        </w:rPr>
      </w:pPr>
    </w:p>
    <w:tbl>
      <w:tblPr>
        <w:tblStyle w:val="TableNormal1"/>
        <w:tblW w:w="145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139"/>
        <w:gridCol w:w="4140"/>
        <w:gridCol w:w="4140"/>
        <w:gridCol w:w="4141"/>
      </w:tblGrid>
      <w:tr w:rsidR="002E2B97">
        <w:trPr>
          <w:trHeight w:val="442"/>
        </w:trPr>
        <w:tc>
          <w:tcPr>
            <w:tcW w:w="213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2E2B97" w:rsidRDefault="002E2B97"/>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2E2B97" w:rsidRDefault="00331380">
            <w:pPr>
              <w:pStyle w:val="a0"/>
              <w:spacing w:after="0" w:line="240" w:lineRule="auto"/>
              <w:jc w:val="center"/>
            </w:pPr>
            <w:r>
              <w:rPr>
                <w:rFonts w:ascii="Times New Roman" w:hAnsi="Times New Roman"/>
                <w:b/>
                <w:bCs/>
                <w:sz w:val="20"/>
                <w:szCs w:val="20"/>
              </w:rPr>
              <w:t>SPIC</w:t>
            </w:r>
          </w:p>
        </w:tc>
        <w:tc>
          <w:tcPr>
            <w:tcW w:w="414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2E2B97" w:rsidRPr="00DE4C55" w:rsidRDefault="00331380">
            <w:pPr>
              <w:pStyle w:val="a0"/>
              <w:spacing w:after="0" w:line="240" w:lineRule="auto"/>
              <w:jc w:val="center"/>
              <w:rPr>
                <w:lang w:val="en-US"/>
              </w:rPr>
            </w:pPr>
            <w:r>
              <w:rPr>
                <w:rFonts w:ascii="Times New Roman" w:hAnsi="Times New Roman"/>
                <w:b/>
                <w:bCs/>
                <w:sz w:val="20"/>
                <w:szCs w:val="20"/>
                <w:lang w:val="en-US"/>
              </w:rPr>
              <w:t>State contract with counter investment commitments</w:t>
            </w:r>
          </w:p>
        </w:tc>
        <w:tc>
          <w:tcPr>
            <w:tcW w:w="414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2E2B97" w:rsidRDefault="00331380">
            <w:pPr>
              <w:pStyle w:val="a0"/>
              <w:spacing w:after="0" w:line="240" w:lineRule="auto"/>
              <w:jc w:val="center"/>
            </w:pPr>
            <w:r>
              <w:rPr>
                <w:rFonts w:ascii="Times New Roman" w:hAnsi="Times New Roman"/>
                <w:b/>
                <w:bCs/>
                <w:sz w:val="20"/>
                <w:szCs w:val="20"/>
                <w:lang w:val="en-US"/>
              </w:rPr>
              <w:t>Comment</w:t>
            </w:r>
          </w:p>
        </w:tc>
      </w:tr>
      <w:tr w:rsidR="002E2B97">
        <w:trPr>
          <w:trHeight w:val="3082"/>
        </w:trPr>
        <w:tc>
          <w:tcPr>
            <w:tcW w:w="213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2E2B97" w:rsidRDefault="00331380">
            <w:pPr>
              <w:pStyle w:val="a0"/>
              <w:spacing w:after="0" w:line="240" w:lineRule="auto"/>
              <w:jc w:val="both"/>
            </w:pPr>
            <w:r>
              <w:rPr>
                <w:rFonts w:ascii="Times New Roman" w:hAnsi="Times New Roman"/>
                <w:b/>
                <w:bCs/>
                <w:sz w:val="20"/>
                <w:szCs w:val="20"/>
                <w:lang w:val="en-US"/>
              </w:rPr>
              <w:lastRenderedPageBreak/>
              <w:t>Method of conclusion</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2B97" w:rsidRPr="00DE4C55" w:rsidRDefault="00331380">
            <w:pPr>
              <w:pStyle w:val="a0"/>
              <w:spacing w:after="0" w:line="240" w:lineRule="auto"/>
              <w:jc w:val="both"/>
              <w:rPr>
                <w:rFonts w:ascii="Times New Roman" w:eastAsia="Times New Roman" w:hAnsi="Times New Roman" w:cs="Times New Roman"/>
                <w:sz w:val="20"/>
                <w:szCs w:val="20"/>
                <w:lang w:val="en-US"/>
              </w:rPr>
            </w:pPr>
            <w:r>
              <w:rPr>
                <w:rFonts w:ascii="Times New Roman" w:hAnsi="Times New Roman"/>
                <w:sz w:val="20"/>
                <w:szCs w:val="20"/>
                <w:lang w:val="en-US"/>
              </w:rPr>
              <w:t xml:space="preserve">Non-competitive applicant procedure (Regulation of the Government of the Russian Federation </w:t>
            </w:r>
            <w:r w:rsidRPr="00DE4C55">
              <w:rPr>
                <w:rFonts w:ascii="Times New Roman" w:hAnsi="Times New Roman"/>
                <w:sz w:val="20"/>
                <w:szCs w:val="20"/>
                <w:lang w:val="en-US"/>
              </w:rPr>
              <w:t xml:space="preserve">№ </w:t>
            </w:r>
            <w:r>
              <w:rPr>
                <w:rFonts w:ascii="Times New Roman" w:hAnsi="Times New Roman"/>
                <w:sz w:val="20"/>
                <w:szCs w:val="20"/>
                <w:lang w:val="en-US"/>
              </w:rPr>
              <w:t xml:space="preserve">708 dated July 16, 2016). </w:t>
            </w:r>
          </w:p>
          <w:p w:rsidR="002E2B97" w:rsidRPr="00DE4C55" w:rsidRDefault="00331380">
            <w:pPr>
              <w:pStyle w:val="a0"/>
              <w:spacing w:after="0" w:line="240" w:lineRule="auto"/>
              <w:jc w:val="both"/>
              <w:rPr>
                <w:rFonts w:ascii="Times New Roman" w:eastAsia="Times New Roman" w:hAnsi="Times New Roman" w:cs="Times New Roman"/>
                <w:sz w:val="20"/>
                <w:szCs w:val="20"/>
                <w:lang w:val="en-US"/>
              </w:rPr>
            </w:pPr>
            <w:r>
              <w:rPr>
                <w:rFonts w:ascii="Times New Roman" w:hAnsi="Times New Roman"/>
                <w:sz w:val="20"/>
                <w:szCs w:val="20"/>
                <w:lang w:val="en-US"/>
              </w:rPr>
              <w:t xml:space="preserve">According to the formal procedure refusal to conclude SPIC may be given only in 3 cases: </w:t>
            </w:r>
          </w:p>
          <w:p w:rsidR="002E2B97" w:rsidRPr="00DE4C55" w:rsidRDefault="00331380">
            <w:pPr>
              <w:pStyle w:val="a0"/>
              <w:spacing w:after="0" w:line="240" w:lineRule="auto"/>
              <w:jc w:val="both"/>
              <w:rPr>
                <w:rFonts w:ascii="Times New Roman" w:eastAsia="Times New Roman" w:hAnsi="Times New Roman" w:cs="Times New Roman"/>
                <w:sz w:val="20"/>
                <w:szCs w:val="20"/>
                <w:lang w:val="en-US"/>
              </w:rPr>
            </w:pPr>
            <w:r>
              <w:rPr>
                <w:rFonts w:ascii="Times New Roman" w:hAnsi="Times New Roman"/>
                <w:sz w:val="20"/>
                <w:szCs w:val="20"/>
                <w:lang w:val="en-US"/>
              </w:rPr>
              <w:t xml:space="preserve">- investment project is not aimed at resolution of tasks and/or achievement of targets and indicators of state programs; </w:t>
            </w:r>
          </w:p>
          <w:p w:rsidR="002E2B97" w:rsidRPr="00DE4C55" w:rsidRDefault="00331380">
            <w:pPr>
              <w:pStyle w:val="a0"/>
              <w:spacing w:after="0" w:line="240" w:lineRule="auto"/>
              <w:jc w:val="both"/>
              <w:rPr>
                <w:rFonts w:ascii="Times New Roman" w:eastAsia="Times New Roman" w:hAnsi="Times New Roman" w:cs="Times New Roman"/>
                <w:sz w:val="20"/>
                <w:szCs w:val="20"/>
                <w:lang w:val="en-US"/>
              </w:rPr>
            </w:pPr>
            <w:r>
              <w:rPr>
                <w:rFonts w:ascii="Times New Roman" w:hAnsi="Times New Roman"/>
                <w:sz w:val="20"/>
                <w:szCs w:val="20"/>
                <w:lang w:val="en-US"/>
              </w:rPr>
              <w:t xml:space="preserve">- form and contents of submitted documents does not correspond to the requirements of Regulation of the Government of the Russian Federation </w:t>
            </w:r>
            <w:r w:rsidRPr="00DE4C55">
              <w:rPr>
                <w:rFonts w:ascii="Times New Roman" w:hAnsi="Times New Roman"/>
                <w:sz w:val="20"/>
                <w:szCs w:val="20"/>
                <w:lang w:val="en-US"/>
              </w:rPr>
              <w:t xml:space="preserve">№ </w:t>
            </w:r>
            <w:r>
              <w:rPr>
                <w:rFonts w:ascii="Times New Roman" w:hAnsi="Times New Roman"/>
                <w:sz w:val="20"/>
                <w:szCs w:val="20"/>
                <w:lang w:val="en-US"/>
              </w:rPr>
              <w:t>708 dated July 16, 2016;</w:t>
            </w:r>
          </w:p>
          <w:p w:rsidR="002E2B97" w:rsidRPr="00DE4C55" w:rsidRDefault="00331380">
            <w:pPr>
              <w:pStyle w:val="a0"/>
              <w:spacing w:after="0" w:line="240" w:lineRule="auto"/>
              <w:jc w:val="both"/>
              <w:rPr>
                <w:lang w:val="en-US"/>
              </w:rPr>
            </w:pPr>
            <w:r>
              <w:rPr>
                <w:rFonts w:ascii="Times New Roman" w:hAnsi="Times New Roman"/>
                <w:sz w:val="20"/>
                <w:szCs w:val="20"/>
                <w:lang w:val="en-US"/>
              </w:rPr>
              <w:t>- stimulating measures claimed by the investor do not comply with the legislation.</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2B97" w:rsidRDefault="00331380">
            <w:pPr>
              <w:pStyle w:val="a0"/>
              <w:spacing w:after="0" w:line="240" w:lineRule="auto"/>
              <w:jc w:val="both"/>
            </w:pPr>
            <w:r>
              <w:rPr>
                <w:rFonts w:ascii="Times New Roman" w:hAnsi="Times New Roman"/>
                <w:sz w:val="20"/>
                <w:szCs w:val="20"/>
                <w:lang w:val="nl-NL"/>
              </w:rPr>
              <w:t>Open tender</w:t>
            </w:r>
          </w:p>
        </w:tc>
        <w:tc>
          <w:tcPr>
            <w:tcW w:w="41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2B97" w:rsidRPr="00DE4C55" w:rsidRDefault="00331380">
            <w:pPr>
              <w:pStyle w:val="a0"/>
              <w:spacing w:after="0" w:line="240" w:lineRule="auto"/>
              <w:jc w:val="both"/>
              <w:rPr>
                <w:lang w:val="en-US"/>
              </w:rPr>
            </w:pPr>
            <w:r>
              <w:rPr>
                <w:rFonts w:ascii="Times New Roman" w:hAnsi="Times New Roman"/>
                <w:sz w:val="20"/>
                <w:szCs w:val="20"/>
                <w:lang w:val="en-US"/>
              </w:rPr>
              <w:t xml:space="preserve">Government of Russia is entitled to set forth special provisions on the planning and implementation of open tenders as well as on separate tariffs and contract price </w:t>
            </w:r>
          </w:p>
        </w:tc>
      </w:tr>
      <w:tr w:rsidR="002E2B97">
        <w:trPr>
          <w:trHeight w:val="1322"/>
        </w:trPr>
        <w:tc>
          <w:tcPr>
            <w:tcW w:w="213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2E2B97" w:rsidRPr="00DE4C55" w:rsidRDefault="00331380">
            <w:pPr>
              <w:pStyle w:val="a0"/>
              <w:spacing w:after="0" w:line="240" w:lineRule="auto"/>
              <w:jc w:val="both"/>
              <w:rPr>
                <w:lang w:val="en-US"/>
              </w:rPr>
            </w:pPr>
            <w:r>
              <w:rPr>
                <w:rFonts w:ascii="Times New Roman" w:hAnsi="Times New Roman"/>
                <w:b/>
                <w:bCs/>
                <w:sz w:val="20"/>
                <w:szCs w:val="20"/>
                <w:lang w:val="en-US"/>
              </w:rPr>
              <w:t>Subject matter of the contract</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2B97" w:rsidRPr="00DE4C55" w:rsidRDefault="00331380">
            <w:pPr>
              <w:pStyle w:val="a0"/>
              <w:spacing w:after="0" w:line="240" w:lineRule="auto"/>
              <w:jc w:val="both"/>
              <w:rPr>
                <w:rFonts w:ascii="Times New Roman" w:eastAsia="Times New Roman" w:hAnsi="Times New Roman" w:cs="Times New Roman"/>
                <w:sz w:val="20"/>
                <w:szCs w:val="20"/>
                <w:lang w:val="en-US"/>
              </w:rPr>
            </w:pPr>
            <w:r>
              <w:rPr>
                <w:rFonts w:ascii="Times New Roman" w:hAnsi="Times New Roman"/>
                <w:sz w:val="20"/>
                <w:szCs w:val="20"/>
                <w:lang w:val="en-US"/>
              </w:rPr>
              <w:t>Creation, modernization or development of industrial production with counter stimulating measures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2B97" w:rsidRPr="00DE4C55" w:rsidRDefault="00331380">
            <w:pPr>
              <w:pStyle w:val="a0"/>
              <w:spacing w:after="0" w:line="240" w:lineRule="auto"/>
              <w:jc w:val="both"/>
              <w:rPr>
                <w:lang w:val="en-US"/>
              </w:rPr>
            </w:pPr>
            <w:r>
              <w:rPr>
                <w:rFonts w:ascii="Times New Roman" w:hAnsi="Times New Roman"/>
                <w:sz w:val="20"/>
                <w:szCs w:val="20"/>
                <w:lang w:val="en-US"/>
              </w:rPr>
              <w:t>Supply of certain amount of product + creation, modernization or development of industrial production facilities with counter provision of single-source supplier status</w:t>
            </w:r>
          </w:p>
        </w:tc>
        <w:tc>
          <w:tcPr>
            <w:tcW w:w="41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2B97" w:rsidRPr="00DE4C55" w:rsidRDefault="00331380">
            <w:pPr>
              <w:pStyle w:val="a0"/>
              <w:spacing w:after="0" w:line="240" w:lineRule="auto"/>
              <w:jc w:val="both"/>
              <w:rPr>
                <w:lang w:val="en-US"/>
              </w:rPr>
            </w:pPr>
            <w:r>
              <w:rPr>
                <w:rFonts w:ascii="Times New Roman" w:hAnsi="Times New Roman"/>
                <w:sz w:val="20"/>
                <w:szCs w:val="20"/>
                <w:lang w:val="en-US"/>
              </w:rPr>
              <w:t xml:space="preserve">Opposite to SPIC, state contract with counter investment commitments apart from investment commitments sets forth obligation on supply of certain amount of product to the authorized executive regional body and, correspondingly, counter payment obligation. </w:t>
            </w:r>
          </w:p>
        </w:tc>
      </w:tr>
      <w:tr w:rsidR="002E2B97">
        <w:trPr>
          <w:trHeight w:val="882"/>
        </w:trPr>
        <w:tc>
          <w:tcPr>
            <w:tcW w:w="213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2E2B97" w:rsidRDefault="00331380">
            <w:pPr>
              <w:pStyle w:val="a0"/>
              <w:spacing w:after="0" w:line="240" w:lineRule="auto"/>
              <w:jc w:val="both"/>
            </w:pPr>
            <w:r>
              <w:rPr>
                <w:rFonts w:ascii="Times New Roman" w:hAnsi="Times New Roman"/>
                <w:b/>
                <w:bCs/>
                <w:sz w:val="20"/>
                <w:szCs w:val="20"/>
                <w:lang w:val="en-US"/>
              </w:rPr>
              <w:t>Minimum investment amount (RUB)</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2B97" w:rsidRPr="00DE4C55" w:rsidRDefault="00331380">
            <w:pPr>
              <w:pStyle w:val="a0"/>
              <w:spacing w:after="0" w:line="240" w:lineRule="auto"/>
              <w:jc w:val="both"/>
              <w:rPr>
                <w:rFonts w:ascii="Times New Roman" w:eastAsia="Times New Roman" w:hAnsi="Times New Roman" w:cs="Times New Roman"/>
                <w:sz w:val="20"/>
                <w:szCs w:val="20"/>
                <w:lang w:val="en-US"/>
              </w:rPr>
            </w:pPr>
            <w:r w:rsidRPr="00DE4C55">
              <w:rPr>
                <w:rFonts w:ascii="Times New Roman" w:hAnsi="Times New Roman"/>
                <w:sz w:val="20"/>
                <w:szCs w:val="20"/>
                <w:lang w:val="en-US"/>
              </w:rPr>
              <w:t xml:space="preserve">750 </w:t>
            </w:r>
            <w:proofErr w:type="spellStart"/>
            <w:r w:rsidRPr="00DE4C55">
              <w:rPr>
                <w:rFonts w:ascii="Times New Roman" w:hAnsi="Times New Roman"/>
                <w:sz w:val="20"/>
                <w:szCs w:val="20"/>
                <w:lang w:val="en-US"/>
              </w:rPr>
              <w:t>mln</w:t>
            </w:r>
            <w:proofErr w:type="spellEnd"/>
            <w:r w:rsidRPr="00DE4C55">
              <w:rPr>
                <w:rFonts w:ascii="Times New Roman" w:hAnsi="Times New Roman"/>
                <w:sz w:val="20"/>
                <w:szCs w:val="20"/>
                <w:lang w:val="en-US"/>
              </w:rPr>
              <w:t xml:space="preserve">. – </w:t>
            </w:r>
            <w:r>
              <w:rPr>
                <w:rFonts w:ascii="Times New Roman" w:hAnsi="Times New Roman"/>
                <w:sz w:val="20"/>
                <w:szCs w:val="20"/>
                <w:lang w:val="en-US"/>
              </w:rPr>
              <w:t>for conclusion of SPIC not providing for single-source supplier status</w:t>
            </w:r>
          </w:p>
          <w:p w:rsidR="002E2B97" w:rsidRPr="00DE4C55" w:rsidRDefault="00331380">
            <w:pPr>
              <w:pStyle w:val="a0"/>
              <w:spacing w:after="0" w:line="240" w:lineRule="auto"/>
              <w:jc w:val="both"/>
              <w:rPr>
                <w:lang w:val="en-US"/>
              </w:rPr>
            </w:pPr>
            <w:r>
              <w:rPr>
                <w:rFonts w:ascii="Times New Roman" w:hAnsi="Times New Roman"/>
                <w:sz w:val="20"/>
                <w:szCs w:val="20"/>
                <w:lang w:val="de-DE"/>
              </w:rPr>
              <w:t xml:space="preserve">3 </w:t>
            </w:r>
            <w:proofErr w:type="spellStart"/>
            <w:r>
              <w:rPr>
                <w:rFonts w:ascii="Times New Roman" w:hAnsi="Times New Roman"/>
                <w:sz w:val="20"/>
                <w:szCs w:val="20"/>
                <w:lang w:val="de-DE"/>
              </w:rPr>
              <w:t>bln</w:t>
            </w:r>
            <w:proofErr w:type="spellEnd"/>
            <w:r>
              <w:rPr>
                <w:rFonts w:ascii="Times New Roman" w:hAnsi="Times New Roman"/>
                <w:sz w:val="20"/>
                <w:szCs w:val="20"/>
                <w:lang w:val="de-DE"/>
              </w:rPr>
              <w:t xml:space="preserve"> </w:t>
            </w:r>
            <w:r w:rsidRPr="00DE4C55">
              <w:rPr>
                <w:rFonts w:ascii="Times New Roman" w:hAnsi="Times New Roman"/>
                <w:sz w:val="20"/>
                <w:szCs w:val="20"/>
                <w:lang w:val="en-US"/>
              </w:rPr>
              <w:t xml:space="preserve">– </w:t>
            </w:r>
            <w:r>
              <w:rPr>
                <w:rFonts w:ascii="Times New Roman" w:hAnsi="Times New Roman"/>
                <w:sz w:val="20"/>
                <w:szCs w:val="20"/>
                <w:lang w:val="en-US"/>
              </w:rPr>
              <w:t xml:space="preserve">for conclusion of SPIC providing for single-source supplier status </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2B97" w:rsidRDefault="00331380">
            <w:pPr>
              <w:pStyle w:val="a0"/>
              <w:spacing w:after="0" w:line="240" w:lineRule="auto"/>
              <w:jc w:val="both"/>
            </w:pPr>
            <w:r>
              <w:rPr>
                <w:rFonts w:ascii="Times New Roman" w:hAnsi="Times New Roman"/>
                <w:sz w:val="20"/>
                <w:szCs w:val="20"/>
                <w:lang w:val="de-DE"/>
              </w:rPr>
              <w:t xml:space="preserve">1 </w:t>
            </w:r>
            <w:proofErr w:type="spellStart"/>
            <w:r>
              <w:rPr>
                <w:rFonts w:ascii="Times New Roman" w:hAnsi="Times New Roman"/>
                <w:sz w:val="20"/>
                <w:szCs w:val="20"/>
                <w:lang w:val="de-DE"/>
              </w:rPr>
              <w:t>bln</w:t>
            </w:r>
            <w:proofErr w:type="spellEnd"/>
            <w:r>
              <w:rPr>
                <w:rFonts w:ascii="Times New Roman" w:hAnsi="Times New Roman"/>
                <w:sz w:val="20"/>
                <w:szCs w:val="20"/>
                <w:lang w:val="de-DE"/>
              </w:rPr>
              <w:t xml:space="preserve"> </w:t>
            </w:r>
          </w:p>
        </w:tc>
        <w:tc>
          <w:tcPr>
            <w:tcW w:w="41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2B97" w:rsidRDefault="002E2B97"/>
        </w:tc>
      </w:tr>
      <w:tr w:rsidR="002E2B97">
        <w:trPr>
          <w:trHeight w:val="442"/>
        </w:trPr>
        <w:tc>
          <w:tcPr>
            <w:tcW w:w="213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2E2B97" w:rsidRDefault="00331380">
            <w:pPr>
              <w:pStyle w:val="a0"/>
              <w:spacing w:after="0" w:line="240" w:lineRule="auto"/>
              <w:jc w:val="both"/>
            </w:pPr>
            <w:r>
              <w:rPr>
                <w:rFonts w:ascii="Times New Roman" w:hAnsi="Times New Roman"/>
                <w:b/>
                <w:bCs/>
                <w:sz w:val="20"/>
                <w:szCs w:val="20"/>
                <w:lang w:val="en-US"/>
              </w:rPr>
              <w:t xml:space="preserve">Validity term </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2B97" w:rsidRPr="00DE4C55" w:rsidRDefault="00331380">
            <w:pPr>
              <w:pStyle w:val="a0"/>
              <w:spacing w:after="0" w:line="240" w:lineRule="auto"/>
              <w:jc w:val="both"/>
              <w:rPr>
                <w:lang w:val="en-US"/>
              </w:rPr>
            </w:pPr>
            <w:r>
              <w:rPr>
                <w:rFonts w:ascii="Times New Roman" w:hAnsi="Times New Roman"/>
                <w:sz w:val="20"/>
                <w:szCs w:val="20"/>
                <w:lang w:val="en-US"/>
              </w:rPr>
              <w:t>Term of reaching operating profits  + 5 years, but no more than 10 years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2B97" w:rsidRPr="00DE4C55" w:rsidRDefault="00331380">
            <w:pPr>
              <w:pStyle w:val="a0"/>
              <w:spacing w:after="0" w:line="240" w:lineRule="auto"/>
              <w:jc w:val="both"/>
              <w:rPr>
                <w:lang w:val="en-US"/>
              </w:rPr>
            </w:pPr>
            <w:r>
              <w:rPr>
                <w:rFonts w:ascii="Times New Roman" w:hAnsi="Times New Roman"/>
                <w:sz w:val="20"/>
                <w:szCs w:val="20"/>
                <w:lang w:val="en-US"/>
              </w:rPr>
              <w:t>Defined by regions of the Russian Federation, but no more than 10 years</w:t>
            </w:r>
          </w:p>
        </w:tc>
        <w:tc>
          <w:tcPr>
            <w:tcW w:w="41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2B97" w:rsidRDefault="002E2B97"/>
        </w:tc>
      </w:tr>
      <w:tr w:rsidR="002E2B97">
        <w:trPr>
          <w:trHeight w:val="882"/>
        </w:trPr>
        <w:tc>
          <w:tcPr>
            <w:tcW w:w="213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2E2B97" w:rsidRDefault="00331380">
            <w:pPr>
              <w:pStyle w:val="a0"/>
              <w:spacing w:after="0" w:line="240" w:lineRule="auto"/>
              <w:jc w:val="both"/>
            </w:pPr>
            <w:r>
              <w:rPr>
                <w:rFonts w:ascii="Times New Roman" w:hAnsi="Times New Roman"/>
                <w:b/>
                <w:bCs/>
                <w:sz w:val="20"/>
                <w:szCs w:val="20"/>
                <w:lang w:val="en-US"/>
              </w:rPr>
              <w:t>Party-1 (public entity)</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2B97" w:rsidRPr="00DE4C55" w:rsidRDefault="00331380">
            <w:pPr>
              <w:pStyle w:val="a0"/>
              <w:spacing w:after="0" w:line="240" w:lineRule="auto"/>
              <w:jc w:val="both"/>
              <w:rPr>
                <w:lang w:val="en-US"/>
              </w:rPr>
            </w:pPr>
            <w:r>
              <w:rPr>
                <w:rFonts w:ascii="Times New Roman" w:hAnsi="Times New Roman"/>
                <w:sz w:val="20"/>
                <w:szCs w:val="20"/>
                <w:lang w:val="en-US"/>
              </w:rPr>
              <w:t>Russian Federation (Russian Federation + region of the Russian Federation/municipal body) represented by the authorized governmental body (The Ministry of Industry and Trade)</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2B97" w:rsidRPr="00DE4C55" w:rsidRDefault="00331380">
            <w:pPr>
              <w:pStyle w:val="a0"/>
              <w:spacing w:after="0" w:line="240" w:lineRule="auto"/>
              <w:jc w:val="both"/>
              <w:rPr>
                <w:lang w:val="en-US"/>
              </w:rPr>
            </w:pPr>
            <w:r>
              <w:rPr>
                <w:rFonts w:ascii="Times New Roman" w:hAnsi="Times New Roman"/>
                <w:sz w:val="20"/>
                <w:szCs w:val="20"/>
                <w:lang w:val="en-US"/>
              </w:rPr>
              <w:t xml:space="preserve">Region of  the Russian Federation represented by the authorized executive regional body </w:t>
            </w:r>
          </w:p>
        </w:tc>
        <w:tc>
          <w:tcPr>
            <w:tcW w:w="41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2B97" w:rsidRDefault="002E2B97"/>
        </w:tc>
      </w:tr>
      <w:tr w:rsidR="002E2B97">
        <w:trPr>
          <w:trHeight w:val="442"/>
        </w:trPr>
        <w:tc>
          <w:tcPr>
            <w:tcW w:w="213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2E2B97" w:rsidRDefault="00331380">
            <w:pPr>
              <w:pStyle w:val="a0"/>
              <w:spacing w:after="0" w:line="240" w:lineRule="auto"/>
              <w:jc w:val="both"/>
            </w:pPr>
            <w:r>
              <w:rPr>
                <w:rFonts w:ascii="Times New Roman" w:hAnsi="Times New Roman"/>
                <w:b/>
                <w:bCs/>
                <w:sz w:val="20"/>
                <w:szCs w:val="20"/>
                <w:lang w:val="en-US"/>
              </w:rPr>
              <w:t>Party-2 (private entity)</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2B97" w:rsidRPr="00DE4C55" w:rsidRDefault="00331380">
            <w:pPr>
              <w:pStyle w:val="a0"/>
              <w:spacing w:after="0" w:line="240" w:lineRule="auto"/>
              <w:jc w:val="both"/>
              <w:rPr>
                <w:lang w:val="en-US"/>
              </w:rPr>
            </w:pPr>
            <w:r>
              <w:rPr>
                <w:rFonts w:ascii="Times New Roman" w:hAnsi="Times New Roman"/>
                <w:sz w:val="20"/>
                <w:szCs w:val="20"/>
                <w:lang w:val="en-US"/>
              </w:rPr>
              <w:t xml:space="preserve">Investor and entities engaged by him </w:t>
            </w:r>
          </w:p>
        </w:tc>
        <w:tc>
          <w:tcPr>
            <w:tcW w:w="414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E2B97" w:rsidRPr="00DE4C55" w:rsidRDefault="00331380">
            <w:pPr>
              <w:pStyle w:val="a0"/>
              <w:spacing w:after="0" w:line="240" w:lineRule="auto"/>
              <w:rPr>
                <w:lang w:val="en-US"/>
              </w:rPr>
            </w:pPr>
            <w:r>
              <w:rPr>
                <w:rFonts w:ascii="Times New Roman" w:hAnsi="Times New Roman"/>
                <w:sz w:val="20"/>
                <w:szCs w:val="20"/>
                <w:lang w:val="en-US"/>
              </w:rPr>
              <w:t>Supplier-investor (Russian legal entities exclusively)</w:t>
            </w:r>
          </w:p>
        </w:tc>
        <w:tc>
          <w:tcPr>
            <w:tcW w:w="414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2B97" w:rsidRPr="00DE4C55" w:rsidRDefault="00331380">
            <w:pPr>
              <w:pStyle w:val="a0"/>
              <w:spacing w:after="0" w:line="240" w:lineRule="auto"/>
              <w:jc w:val="both"/>
              <w:rPr>
                <w:lang w:val="en-US"/>
              </w:rPr>
            </w:pPr>
            <w:r>
              <w:rPr>
                <w:rFonts w:ascii="Times New Roman" w:hAnsi="Times New Roman"/>
                <w:sz w:val="20"/>
                <w:szCs w:val="20"/>
                <w:lang w:val="en-US"/>
              </w:rPr>
              <w:t xml:space="preserve">Opposite to SPIC allowing separate entities for investor and manufacturer of the product, state contract concluded under article 111.4 of Law </w:t>
            </w:r>
            <w:r w:rsidRPr="00DE4C55">
              <w:rPr>
                <w:rFonts w:ascii="Times New Roman" w:hAnsi="Times New Roman"/>
                <w:sz w:val="20"/>
                <w:szCs w:val="20"/>
                <w:lang w:val="en-US"/>
              </w:rPr>
              <w:t xml:space="preserve">№ </w:t>
            </w:r>
            <w:r>
              <w:rPr>
                <w:rFonts w:ascii="Times New Roman" w:hAnsi="Times New Roman"/>
                <w:sz w:val="20"/>
                <w:szCs w:val="20"/>
                <w:lang w:val="en-US"/>
              </w:rPr>
              <w:t xml:space="preserve">44-FZ burdens single legal entity of supplier-investor with commitments on both investment and production and supply. </w:t>
            </w:r>
          </w:p>
        </w:tc>
      </w:tr>
      <w:tr w:rsidR="002E2B97">
        <w:trPr>
          <w:trHeight w:val="720"/>
        </w:trPr>
        <w:tc>
          <w:tcPr>
            <w:tcW w:w="213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2E2B97" w:rsidRPr="00DE4C55" w:rsidRDefault="00331380">
            <w:pPr>
              <w:pStyle w:val="a0"/>
              <w:spacing w:after="0" w:line="240" w:lineRule="auto"/>
              <w:jc w:val="both"/>
              <w:rPr>
                <w:lang w:val="en-US"/>
              </w:rPr>
            </w:pPr>
            <w:r>
              <w:rPr>
                <w:rFonts w:ascii="Times New Roman" w:hAnsi="Times New Roman"/>
                <w:b/>
                <w:bCs/>
                <w:sz w:val="20"/>
                <w:szCs w:val="20"/>
                <w:lang w:val="en-US"/>
              </w:rPr>
              <w:t>Who can act as a single-source supplier?</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2B97" w:rsidRPr="00DE4C55" w:rsidRDefault="00331380">
            <w:pPr>
              <w:pStyle w:val="a0"/>
              <w:spacing w:after="0" w:line="240" w:lineRule="auto"/>
              <w:jc w:val="both"/>
              <w:rPr>
                <w:lang w:val="en-US"/>
              </w:rPr>
            </w:pPr>
            <w:r>
              <w:rPr>
                <w:rFonts w:ascii="Times New Roman" w:hAnsi="Times New Roman"/>
                <w:sz w:val="20"/>
                <w:szCs w:val="20"/>
                <w:lang w:val="en-US"/>
              </w:rPr>
              <w:t xml:space="preserve">Product manufacturer (Russian legal entity exclusively </w:t>
            </w:r>
            <w:r w:rsidRPr="00DE4C55">
              <w:rPr>
                <w:rFonts w:ascii="Times New Roman" w:hAnsi="Times New Roman"/>
                <w:sz w:val="20"/>
                <w:szCs w:val="20"/>
                <w:lang w:val="en-US"/>
              </w:rPr>
              <w:t xml:space="preserve">– </w:t>
            </w:r>
            <w:r>
              <w:rPr>
                <w:rFonts w:ascii="Times New Roman" w:hAnsi="Times New Roman"/>
                <w:sz w:val="20"/>
                <w:szCs w:val="20"/>
                <w:lang w:val="en-US"/>
              </w:rPr>
              <w:t>investor or entities engaged by him)</w:t>
            </w:r>
          </w:p>
        </w:tc>
        <w:tc>
          <w:tcPr>
            <w:tcW w:w="4140" w:type="dxa"/>
            <w:vMerge/>
            <w:tcBorders>
              <w:top w:val="single" w:sz="4" w:space="0" w:color="000000"/>
              <w:left w:val="single" w:sz="4" w:space="0" w:color="000000"/>
              <w:bottom w:val="single" w:sz="4" w:space="0" w:color="000000"/>
              <w:right w:val="single" w:sz="4" w:space="0" w:color="000000"/>
            </w:tcBorders>
            <w:shd w:val="clear" w:color="auto" w:fill="auto"/>
          </w:tcPr>
          <w:p w:rsidR="002E2B97" w:rsidRDefault="002E2B97"/>
        </w:tc>
        <w:tc>
          <w:tcPr>
            <w:tcW w:w="4141" w:type="dxa"/>
            <w:vMerge/>
            <w:tcBorders>
              <w:top w:val="single" w:sz="4" w:space="0" w:color="000000"/>
              <w:left w:val="single" w:sz="4" w:space="0" w:color="000000"/>
              <w:bottom w:val="single" w:sz="4" w:space="0" w:color="000000"/>
              <w:right w:val="single" w:sz="4" w:space="0" w:color="000000"/>
            </w:tcBorders>
            <w:shd w:val="clear" w:color="auto" w:fill="auto"/>
          </w:tcPr>
          <w:p w:rsidR="002E2B97" w:rsidRDefault="002E2B97"/>
        </w:tc>
      </w:tr>
      <w:tr w:rsidR="002E2B97">
        <w:trPr>
          <w:trHeight w:val="5502"/>
        </w:trPr>
        <w:tc>
          <w:tcPr>
            <w:tcW w:w="213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2E2B97" w:rsidRDefault="00331380">
            <w:pPr>
              <w:pStyle w:val="a0"/>
              <w:spacing w:after="0" w:line="240" w:lineRule="auto"/>
              <w:jc w:val="both"/>
            </w:pPr>
            <w:r>
              <w:rPr>
                <w:rFonts w:ascii="Times New Roman" w:hAnsi="Times New Roman"/>
                <w:b/>
                <w:bCs/>
                <w:sz w:val="20"/>
                <w:szCs w:val="20"/>
                <w:lang w:val="en-US"/>
              </w:rPr>
              <w:lastRenderedPageBreak/>
              <w:t>Advantages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2B97" w:rsidRPr="00DE4C55" w:rsidRDefault="00331380">
            <w:pPr>
              <w:pStyle w:val="a0"/>
              <w:spacing w:after="0" w:line="240" w:lineRule="auto"/>
              <w:jc w:val="both"/>
              <w:rPr>
                <w:rFonts w:ascii="Times New Roman" w:eastAsia="Times New Roman" w:hAnsi="Times New Roman" w:cs="Times New Roman"/>
                <w:sz w:val="20"/>
                <w:szCs w:val="20"/>
                <w:lang w:val="en-US"/>
              </w:rPr>
            </w:pPr>
            <w:r>
              <w:rPr>
                <w:rFonts w:ascii="Times New Roman" w:hAnsi="Times New Roman"/>
                <w:sz w:val="20"/>
                <w:szCs w:val="20"/>
                <w:lang w:val="en-US"/>
              </w:rPr>
              <w:t>1. Stability of tax regime for the validity term of SPIC, including frozen aggregate tax burden on profits</w:t>
            </w:r>
          </w:p>
          <w:p w:rsidR="002E2B97" w:rsidRPr="00DE4C55" w:rsidRDefault="00331380">
            <w:pPr>
              <w:pStyle w:val="a0"/>
              <w:spacing w:after="0" w:line="240" w:lineRule="auto"/>
              <w:jc w:val="both"/>
              <w:rPr>
                <w:rFonts w:ascii="Times New Roman" w:eastAsia="Times New Roman" w:hAnsi="Times New Roman" w:cs="Times New Roman"/>
                <w:sz w:val="20"/>
                <w:szCs w:val="20"/>
                <w:lang w:val="en-US"/>
              </w:rPr>
            </w:pPr>
            <w:r>
              <w:rPr>
                <w:rFonts w:ascii="Times New Roman" w:hAnsi="Times New Roman"/>
                <w:sz w:val="20"/>
                <w:szCs w:val="20"/>
                <w:lang w:val="en-US"/>
              </w:rPr>
              <w:t>2. Stability of legal and technical regulation, including immunity against changes in legislation for investor and entities engaged by him (except for those changes connected with international commitments of the Russian Federation), imposing  ban or restriction regime on SPIC or altering obligatory requirements to industrial products and (or) to the processes connected with such requirements.</w:t>
            </w:r>
          </w:p>
          <w:p w:rsidR="002E2B97" w:rsidRPr="00DE4C55" w:rsidRDefault="00331380">
            <w:pPr>
              <w:pStyle w:val="a0"/>
              <w:spacing w:after="0" w:line="240" w:lineRule="auto"/>
              <w:jc w:val="both"/>
              <w:rPr>
                <w:rFonts w:ascii="Times New Roman" w:eastAsia="Times New Roman" w:hAnsi="Times New Roman" w:cs="Times New Roman"/>
                <w:sz w:val="20"/>
                <w:szCs w:val="20"/>
                <w:lang w:val="en-US"/>
              </w:rPr>
            </w:pPr>
            <w:r>
              <w:rPr>
                <w:rFonts w:ascii="Times New Roman" w:hAnsi="Times New Roman"/>
                <w:sz w:val="20"/>
                <w:szCs w:val="20"/>
                <w:lang w:val="en-US"/>
              </w:rPr>
              <w:t xml:space="preserve">3. Stimulating measures declared by the investor in the process of applying for SPIC conclusion and chosen from the list of measures set forth by Chapter 2 of the Federal law </w:t>
            </w:r>
            <w:r>
              <w:rPr>
                <w:rFonts w:ascii="Times New Roman" w:hAnsi="Times New Roman"/>
                <w:sz w:val="20"/>
                <w:szCs w:val="20"/>
                <w:lang w:val="de-DE"/>
              </w:rPr>
              <w:t>“</w:t>
            </w:r>
            <w:r>
              <w:rPr>
                <w:rFonts w:ascii="Times New Roman" w:hAnsi="Times New Roman"/>
                <w:sz w:val="20"/>
                <w:szCs w:val="20"/>
                <w:lang w:val="en-US"/>
              </w:rPr>
              <w:t>On industrial policy</w:t>
            </w:r>
            <w:r w:rsidRPr="00DE4C55">
              <w:rPr>
                <w:rFonts w:ascii="Times New Roman" w:hAnsi="Times New Roman"/>
                <w:sz w:val="20"/>
                <w:szCs w:val="20"/>
                <w:lang w:val="en-US"/>
              </w:rPr>
              <w:t>”</w:t>
            </w:r>
            <w:r>
              <w:rPr>
                <w:rFonts w:ascii="Times New Roman" w:hAnsi="Times New Roman"/>
                <w:sz w:val="20"/>
                <w:szCs w:val="20"/>
                <w:lang w:val="en-US"/>
              </w:rPr>
              <w:t>, including:</w:t>
            </w:r>
          </w:p>
          <w:p w:rsidR="002E2B97" w:rsidRPr="00DE4C55" w:rsidRDefault="00331380">
            <w:pPr>
              <w:pStyle w:val="a0"/>
              <w:spacing w:after="0" w:line="240" w:lineRule="auto"/>
              <w:jc w:val="both"/>
              <w:rPr>
                <w:rFonts w:ascii="Times New Roman" w:eastAsia="Times New Roman" w:hAnsi="Times New Roman" w:cs="Times New Roman"/>
                <w:sz w:val="20"/>
                <w:szCs w:val="20"/>
                <w:lang w:val="en-US"/>
              </w:rPr>
            </w:pPr>
            <w:r>
              <w:rPr>
                <w:rFonts w:ascii="Times New Roman" w:hAnsi="Times New Roman"/>
                <w:sz w:val="20"/>
                <w:szCs w:val="20"/>
                <w:lang w:val="en-US"/>
              </w:rPr>
              <w:t xml:space="preserve">1) tax benefits </w:t>
            </w:r>
            <w:r w:rsidRPr="00DE4C55">
              <w:rPr>
                <w:rFonts w:ascii="Times New Roman" w:hAnsi="Times New Roman"/>
                <w:sz w:val="20"/>
                <w:szCs w:val="20"/>
                <w:lang w:val="en-US"/>
              </w:rPr>
              <w:t xml:space="preserve">– </w:t>
            </w:r>
            <w:r>
              <w:rPr>
                <w:rFonts w:ascii="Times New Roman" w:hAnsi="Times New Roman"/>
                <w:sz w:val="20"/>
                <w:szCs w:val="20"/>
                <w:lang w:val="en-US"/>
              </w:rPr>
              <w:t>decreased tax rate of profit tax (cl.1.5 of art.284, art.284.3 + cl.2 of art. 25.9 of the Tax Code of the Russian Federation);</w:t>
            </w:r>
          </w:p>
          <w:p w:rsidR="002E2B97" w:rsidRPr="00DE4C55" w:rsidRDefault="00331380">
            <w:pPr>
              <w:pStyle w:val="a0"/>
              <w:spacing w:after="0" w:line="240" w:lineRule="auto"/>
              <w:jc w:val="both"/>
              <w:rPr>
                <w:lang w:val="en-US"/>
              </w:rPr>
            </w:pPr>
            <w:r>
              <w:rPr>
                <w:rFonts w:ascii="Times New Roman" w:hAnsi="Times New Roman"/>
                <w:sz w:val="20"/>
                <w:szCs w:val="20"/>
                <w:lang w:val="en-US"/>
              </w:rPr>
              <w:t>2) inclusion into the register of single-source suppliers for the validity term of SPIC + 1 year subject to export of no less than 10% of products, manufactured in the framework of SPIC for the last preceding year.</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2B97" w:rsidRPr="00DE4C55" w:rsidRDefault="00331380">
            <w:pPr>
              <w:pStyle w:val="a0"/>
              <w:spacing w:after="0" w:line="240" w:lineRule="auto"/>
              <w:jc w:val="both"/>
              <w:rPr>
                <w:lang w:val="en-US"/>
              </w:rPr>
            </w:pPr>
            <w:r>
              <w:rPr>
                <w:rFonts w:ascii="Times New Roman" w:hAnsi="Times New Roman"/>
                <w:sz w:val="20"/>
                <w:szCs w:val="20"/>
                <w:lang w:val="en-US"/>
              </w:rPr>
              <w:t>Inclusion into the register of single-source suppliers for the term not exceeding the validity term of the state contract</w:t>
            </w:r>
          </w:p>
        </w:tc>
        <w:tc>
          <w:tcPr>
            <w:tcW w:w="41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2B97" w:rsidRDefault="002E2B97"/>
        </w:tc>
      </w:tr>
      <w:tr w:rsidR="002E2B97">
        <w:trPr>
          <w:trHeight w:val="1102"/>
        </w:trPr>
        <w:tc>
          <w:tcPr>
            <w:tcW w:w="213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2E2B97" w:rsidRPr="00DE4C55" w:rsidRDefault="00331380">
            <w:pPr>
              <w:pStyle w:val="a0"/>
              <w:spacing w:after="0" w:line="240" w:lineRule="auto"/>
              <w:jc w:val="both"/>
              <w:rPr>
                <w:lang w:val="en-US"/>
              </w:rPr>
            </w:pPr>
            <w:r>
              <w:rPr>
                <w:rFonts w:ascii="Times New Roman" w:hAnsi="Times New Roman"/>
                <w:b/>
                <w:bCs/>
                <w:sz w:val="20"/>
                <w:szCs w:val="20"/>
                <w:lang w:val="en-US"/>
              </w:rPr>
              <w:t xml:space="preserve">Who is entitled to procure from the single-source supplier? </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2B97" w:rsidRPr="00DE4C55" w:rsidRDefault="00331380">
            <w:pPr>
              <w:pStyle w:val="a0"/>
              <w:spacing w:after="0" w:line="240" w:lineRule="auto"/>
              <w:jc w:val="both"/>
              <w:rPr>
                <w:lang w:val="en-US"/>
              </w:rPr>
            </w:pPr>
            <w:r>
              <w:rPr>
                <w:rFonts w:ascii="Times New Roman" w:hAnsi="Times New Roman"/>
                <w:sz w:val="20"/>
                <w:szCs w:val="20"/>
                <w:lang w:val="en-US"/>
              </w:rPr>
              <w:t xml:space="preserve">Any consumer procuring under Law </w:t>
            </w:r>
            <w:r w:rsidRPr="00DE4C55">
              <w:rPr>
                <w:rFonts w:ascii="Times New Roman" w:hAnsi="Times New Roman"/>
                <w:sz w:val="20"/>
                <w:szCs w:val="20"/>
                <w:lang w:val="en-US"/>
              </w:rPr>
              <w:t xml:space="preserve">№ </w:t>
            </w:r>
            <w:r>
              <w:rPr>
                <w:rFonts w:ascii="Times New Roman" w:hAnsi="Times New Roman"/>
                <w:sz w:val="20"/>
                <w:szCs w:val="20"/>
                <w:lang w:val="de-DE"/>
              </w:rPr>
              <w:t xml:space="preserve">44-FZ  </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2B97" w:rsidRPr="00DE4C55" w:rsidRDefault="00331380">
            <w:pPr>
              <w:pStyle w:val="a0"/>
              <w:spacing w:after="0" w:line="240" w:lineRule="auto"/>
              <w:jc w:val="both"/>
              <w:rPr>
                <w:lang w:val="en-US"/>
              </w:rPr>
            </w:pPr>
            <w:r>
              <w:rPr>
                <w:rFonts w:ascii="Times New Roman" w:hAnsi="Times New Roman"/>
                <w:sz w:val="20"/>
                <w:szCs w:val="20"/>
                <w:lang w:val="en-US"/>
              </w:rPr>
              <w:t>Regional and municipal customers having concluded state contract</w:t>
            </w:r>
          </w:p>
        </w:tc>
        <w:tc>
          <w:tcPr>
            <w:tcW w:w="41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2B97" w:rsidRPr="00DE4C55" w:rsidRDefault="00331380">
            <w:pPr>
              <w:pStyle w:val="a0"/>
              <w:spacing w:after="0" w:line="240" w:lineRule="auto"/>
              <w:jc w:val="both"/>
              <w:rPr>
                <w:lang w:val="en-US"/>
              </w:rPr>
            </w:pPr>
            <w:r>
              <w:rPr>
                <w:rFonts w:ascii="Times New Roman" w:hAnsi="Times New Roman"/>
                <w:sz w:val="20"/>
                <w:szCs w:val="20"/>
                <w:lang w:val="en-US"/>
              </w:rPr>
              <w:t>State contract with counter investment commitments enables investor to become single-source supplier only within procurement procedure of a specific region of Russia and municipalities situated within its territory</w:t>
            </w:r>
          </w:p>
        </w:tc>
      </w:tr>
      <w:tr w:rsidR="002E2B97">
        <w:trPr>
          <w:trHeight w:val="882"/>
        </w:trPr>
        <w:tc>
          <w:tcPr>
            <w:tcW w:w="213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2E2B97" w:rsidRPr="00DE4C55" w:rsidRDefault="00331380">
            <w:pPr>
              <w:pStyle w:val="a0"/>
              <w:spacing w:after="0" w:line="240" w:lineRule="auto"/>
              <w:jc w:val="both"/>
              <w:rPr>
                <w:lang w:val="en-US"/>
              </w:rPr>
            </w:pPr>
            <w:r>
              <w:rPr>
                <w:rFonts w:ascii="Times New Roman" w:hAnsi="Times New Roman"/>
                <w:b/>
                <w:bCs/>
                <w:sz w:val="20"/>
                <w:szCs w:val="20"/>
                <w:lang w:val="en-US"/>
              </w:rPr>
              <w:t>Quantitative restrictions on procurement by the single-source supplier</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2B97" w:rsidRPr="00DE4C55" w:rsidRDefault="00331380">
            <w:pPr>
              <w:pStyle w:val="a0"/>
              <w:spacing w:after="0" w:line="240" w:lineRule="auto"/>
              <w:jc w:val="both"/>
              <w:rPr>
                <w:lang w:val="en-US"/>
              </w:rPr>
            </w:pPr>
            <w:r>
              <w:rPr>
                <w:rFonts w:ascii="Times New Roman" w:hAnsi="Times New Roman"/>
                <w:sz w:val="20"/>
                <w:szCs w:val="20"/>
                <w:lang w:val="en-US"/>
              </w:rPr>
              <w:t xml:space="preserve">No more than 30% of the annual production amount of each unit </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2B97" w:rsidRDefault="00331380">
            <w:pPr>
              <w:pStyle w:val="a0"/>
              <w:spacing w:after="0" w:line="240" w:lineRule="auto"/>
              <w:jc w:val="both"/>
            </w:pPr>
            <w:r>
              <w:rPr>
                <w:rFonts w:ascii="Times New Roman" w:hAnsi="Times New Roman"/>
                <w:sz w:val="20"/>
                <w:szCs w:val="20"/>
                <w:lang w:val="en-US"/>
              </w:rPr>
              <w:t>No restrictions</w:t>
            </w:r>
          </w:p>
        </w:tc>
        <w:tc>
          <w:tcPr>
            <w:tcW w:w="41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2B97" w:rsidRDefault="002E2B97"/>
        </w:tc>
      </w:tr>
      <w:tr w:rsidR="002E2B97">
        <w:trPr>
          <w:trHeight w:val="662"/>
        </w:trPr>
        <w:tc>
          <w:tcPr>
            <w:tcW w:w="213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2E2B97" w:rsidRDefault="00331380">
            <w:pPr>
              <w:pStyle w:val="a0"/>
              <w:spacing w:after="0" w:line="240" w:lineRule="auto"/>
              <w:jc w:val="both"/>
            </w:pPr>
            <w:r>
              <w:rPr>
                <w:rFonts w:ascii="Times New Roman" w:hAnsi="Times New Roman"/>
                <w:b/>
                <w:bCs/>
                <w:sz w:val="20"/>
                <w:szCs w:val="20"/>
                <w:lang w:val="en-US"/>
              </w:rPr>
              <w:t>Price regulation for products</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2B97" w:rsidRPr="00DE4C55" w:rsidRDefault="00331380">
            <w:pPr>
              <w:pStyle w:val="a0"/>
              <w:spacing w:after="0" w:line="240" w:lineRule="auto"/>
              <w:jc w:val="both"/>
              <w:rPr>
                <w:lang w:val="en-US"/>
              </w:rPr>
            </w:pPr>
            <w:r>
              <w:rPr>
                <w:rFonts w:ascii="Times New Roman" w:hAnsi="Times New Roman"/>
                <w:sz w:val="20"/>
                <w:szCs w:val="20"/>
                <w:lang w:val="en-US"/>
              </w:rPr>
              <w:t>Procedure of defining maximum single prices and contract prices is set forth by the authorized state body (The Ministry of Industry and Trade)</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2B97" w:rsidRPr="00DE4C55" w:rsidRDefault="00331380">
            <w:pPr>
              <w:pStyle w:val="a0"/>
              <w:spacing w:after="0" w:line="240" w:lineRule="auto"/>
              <w:jc w:val="both"/>
              <w:rPr>
                <w:lang w:val="en-US"/>
              </w:rPr>
            </w:pPr>
            <w:r>
              <w:rPr>
                <w:rFonts w:ascii="Times New Roman" w:hAnsi="Times New Roman"/>
                <w:sz w:val="20"/>
                <w:szCs w:val="20"/>
                <w:lang w:val="en-US"/>
              </w:rPr>
              <w:t>Procedure of defining maximum single prices and contract prices is set forth by the authorized regional body</w:t>
            </w:r>
          </w:p>
        </w:tc>
        <w:tc>
          <w:tcPr>
            <w:tcW w:w="41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2B97" w:rsidRDefault="002E2B97"/>
        </w:tc>
      </w:tr>
    </w:tbl>
    <w:p w:rsidR="002E2B97" w:rsidRPr="00DE4C55" w:rsidRDefault="002E2B97">
      <w:pPr>
        <w:pStyle w:val="a0"/>
        <w:widowControl w:val="0"/>
        <w:spacing w:after="0" w:line="240" w:lineRule="auto"/>
        <w:jc w:val="both"/>
        <w:rPr>
          <w:rFonts w:ascii="Times New Roman" w:eastAsia="Times New Roman" w:hAnsi="Times New Roman" w:cs="Times New Roman"/>
          <w:lang w:val="en-US"/>
        </w:rPr>
      </w:pPr>
    </w:p>
    <w:p w:rsidR="002E2B97" w:rsidRPr="00DE4C55" w:rsidRDefault="002E2B97">
      <w:pPr>
        <w:pStyle w:val="a0"/>
        <w:spacing w:after="0" w:line="240" w:lineRule="auto"/>
        <w:ind w:firstLine="540"/>
        <w:jc w:val="both"/>
        <w:rPr>
          <w:rFonts w:ascii="Times New Roman" w:eastAsia="Times New Roman" w:hAnsi="Times New Roman" w:cs="Times New Roman"/>
          <w:lang w:val="en-US"/>
        </w:rPr>
      </w:pPr>
    </w:p>
    <w:p w:rsidR="002E2B97" w:rsidRPr="00DE4C55" w:rsidRDefault="00331380">
      <w:pPr>
        <w:pStyle w:val="a0"/>
        <w:ind w:firstLine="567"/>
        <w:jc w:val="both"/>
        <w:rPr>
          <w:lang w:val="en-US"/>
        </w:rPr>
      </w:pPr>
      <w:r w:rsidRPr="00DE4C55">
        <w:rPr>
          <w:rFonts w:ascii="Times New Roman" w:hAnsi="Times New Roman"/>
          <w:lang w:val="en-US"/>
        </w:rPr>
        <w:t>Public Procurement Institute (Moscow, www.roszakupki.</w:t>
      </w:r>
      <w:r>
        <w:rPr>
          <w:rFonts w:ascii="Times New Roman" w:hAnsi="Times New Roman"/>
          <w:lang w:val="en-US"/>
        </w:rPr>
        <w:t xml:space="preserve">com) is a leading scientific, expert and educational </w:t>
      </w:r>
      <w:proofErr w:type="spellStart"/>
      <w:r>
        <w:rPr>
          <w:rFonts w:ascii="Times New Roman" w:hAnsi="Times New Roman"/>
          <w:lang w:val="en-US"/>
        </w:rPr>
        <w:t>centre</w:t>
      </w:r>
      <w:proofErr w:type="spellEnd"/>
      <w:r>
        <w:rPr>
          <w:rFonts w:ascii="Times New Roman" w:hAnsi="Times New Roman"/>
          <w:lang w:val="en-US"/>
        </w:rPr>
        <w:t xml:space="preserve"> in the sphere of public procurement in Russia and offers services on support in conclusion of special investment contracts and organization of interaction with regional state bodies on holding tenders for conclusion of state contracts with counter investment commitments.</w:t>
      </w:r>
    </w:p>
    <w:sectPr w:rsidR="002E2B97" w:rsidRPr="00DE4C55">
      <w:pgSz w:w="16840" w:h="11900" w:orient="landscape"/>
      <w:pgMar w:top="1701" w:right="1134" w:bottom="850"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380" w:rsidRDefault="00331380">
      <w:r>
        <w:separator/>
      </w:r>
    </w:p>
  </w:endnote>
  <w:endnote w:type="continuationSeparator" w:id="0">
    <w:p w:rsidR="00331380" w:rsidRDefault="00331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380" w:rsidRDefault="00331380">
      <w:r>
        <w:separator/>
      </w:r>
    </w:p>
  </w:footnote>
  <w:footnote w:type="continuationSeparator" w:id="0">
    <w:p w:rsidR="00331380" w:rsidRDefault="003313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7"/>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docVars>
    <w:docVar w:name="DocIDAllPagesExceptFirst" w:val="True"/>
    <w:docVar w:name="DocIDAuthor" w:val="False"/>
    <w:docVar w:name="DocIDClientMatter" w:val="False"/>
    <w:docVar w:name="DocIDDate" w:val="False"/>
    <w:docVar w:name="DocIDLibrary" w:val="False"/>
    <w:docVar w:name="DocIDType" w:val="AllPagesExceptFirst"/>
    <w:docVar w:name="DocIDTypist" w:val="False"/>
  </w:docVars>
  <w:rsids>
    <w:rsidRoot w:val="002E2B97"/>
    <w:rsid w:val="002B6186"/>
    <w:rsid w:val="002E2B97"/>
    <w:rsid w:val="00331380"/>
    <w:rsid w:val="007F1C3F"/>
    <w:rsid w:val="00DE4C55"/>
    <w:rsid w:val="00E223B4"/>
    <w:rsid w:val="00FE54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a">
    <w:name w:val="Колонтитулы"/>
    <w:pPr>
      <w:tabs>
        <w:tab w:val="right" w:pos="9020"/>
      </w:tabs>
    </w:pPr>
    <w:rPr>
      <w:rFonts w:ascii="Helvetica" w:hAnsi="Helvetica" w:cs="Arial Unicode MS"/>
      <w:color w:val="000000"/>
      <w:sz w:val="24"/>
      <w:szCs w:val="24"/>
    </w:rPr>
  </w:style>
  <w:style w:type="paragraph" w:customStyle="1" w:styleId="a0">
    <w:name w:val="Текстовый блок"/>
    <w:pPr>
      <w:spacing w:after="200" w:line="276" w:lineRule="auto"/>
    </w:pPr>
    <w:rPr>
      <w:rFonts w:ascii="Calibri" w:eastAsia="Calibri" w:hAnsi="Calibri" w:cs="Calibri"/>
      <w:color w:val="000000"/>
      <w:sz w:val="22"/>
      <w:szCs w:val="22"/>
      <w:u w:color="000000"/>
    </w:rPr>
  </w:style>
  <w:style w:type="paragraph" w:styleId="Header">
    <w:name w:val="header"/>
    <w:basedOn w:val="Normal"/>
    <w:link w:val="HeaderChar"/>
    <w:uiPriority w:val="99"/>
    <w:unhideWhenUsed/>
    <w:rsid w:val="007F1C3F"/>
    <w:pPr>
      <w:tabs>
        <w:tab w:val="center" w:pos="4680"/>
        <w:tab w:val="right" w:pos="9360"/>
      </w:tabs>
    </w:pPr>
  </w:style>
  <w:style w:type="character" w:customStyle="1" w:styleId="HeaderChar">
    <w:name w:val="Header Char"/>
    <w:basedOn w:val="DefaultParagraphFont"/>
    <w:link w:val="Header"/>
    <w:uiPriority w:val="99"/>
    <w:rsid w:val="007F1C3F"/>
    <w:rPr>
      <w:sz w:val="24"/>
      <w:szCs w:val="24"/>
      <w:lang w:val="en-US" w:eastAsia="en-US"/>
    </w:rPr>
  </w:style>
  <w:style w:type="paragraph" w:styleId="Footer">
    <w:name w:val="footer"/>
    <w:basedOn w:val="Normal"/>
    <w:link w:val="FooterChar"/>
    <w:uiPriority w:val="99"/>
    <w:unhideWhenUsed/>
    <w:rsid w:val="007F1C3F"/>
    <w:pPr>
      <w:tabs>
        <w:tab w:val="center" w:pos="4680"/>
        <w:tab w:val="right" w:pos="9360"/>
      </w:tabs>
    </w:pPr>
  </w:style>
  <w:style w:type="character" w:customStyle="1" w:styleId="FooterChar">
    <w:name w:val="Footer Char"/>
    <w:basedOn w:val="DefaultParagraphFont"/>
    <w:link w:val="Footer"/>
    <w:uiPriority w:val="99"/>
    <w:rsid w:val="007F1C3F"/>
    <w:rPr>
      <w:sz w:val="24"/>
      <w:szCs w:val="24"/>
      <w:lang w:val="en-US" w:eastAsia="en-US"/>
    </w:rPr>
  </w:style>
  <w:style w:type="character" w:customStyle="1" w:styleId="DocID">
    <w:name w:val="DocID"/>
    <w:basedOn w:val="DefaultParagraphFont"/>
    <w:rsid w:val="007F1C3F"/>
    <w:rPr>
      <w:rFonts w:ascii="Times New Roman" w:hAnsi="Times New Roman" w:cs="Times New Roman"/>
      <w:b w:val="0"/>
      <w:i w:val="0"/>
      <w:caps w:val="0"/>
      <w:vanish w:val="0"/>
      <w:color w:val="000000"/>
      <w:sz w:val="18"/>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a">
    <w:name w:val="Колонтитулы"/>
    <w:pPr>
      <w:tabs>
        <w:tab w:val="right" w:pos="9020"/>
      </w:tabs>
    </w:pPr>
    <w:rPr>
      <w:rFonts w:ascii="Helvetica" w:hAnsi="Helvetica" w:cs="Arial Unicode MS"/>
      <w:color w:val="000000"/>
      <w:sz w:val="24"/>
      <w:szCs w:val="24"/>
    </w:rPr>
  </w:style>
  <w:style w:type="paragraph" w:customStyle="1" w:styleId="a0">
    <w:name w:val="Текстовый блок"/>
    <w:pPr>
      <w:spacing w:after="200" w:line="276" w:lineRule="auto"/>
    </w:pPr>
    <w:rPr>
      <w:rFonts w:ascii="Calibri" w:eastAsia="Calibri" w:hAnsi="Calibri" w:cs="Calibri"/>
      <w:color w:val="000000"/>
      <w:sz w:val="22"/>
      <w:szCs w:val="22"/>
      <w:u w:color="000000"/>
    </w:rPr>
  </w:style>
  <w:style w:type="paragraph" w:styleId="Header">
    <w:name w:val="header"/>
    <w:basedOn w:val="Normal"/>
    <w:link w:val="HeaderChar"/>
    <w:uiPriority w:val="99"/>
    <w:unhideWhenUsed/>
    <w:rsid w:val="007F1C3F"/>
    <w:pPr>
      <w:tabs>
        <w:tab w:val="center" w:pos="4680"/>
        <w:tab w:val="right" w:pos="9360"/>
      </w:tabs>
    </w:pPr>
  </w:style>
  <w:style w:type="character" w:customStyle="1" w:styleId="HeaderChar">
    <w:name w:val="Header Char"/>
    <w:basedOn w:val="DefaultParagraphFont"/>
    <w:link w:val="Header"/>
    <w:uiPriority w:val="99"/>
    <w:rsid w:val="007F1C3F"/>
    <w:rPr>
      <w:sz w:val="24"/>
      <w:szCs w:val="24"/>
      <w:lang w:val="en-US" w:eastAsia="en-US"/>
    </w:rPr>
  </w:style>
  <w:style w:type="paragraph" w:styleId="Footer">
    <w:name w:val="footer"/>
    <w:basedOn w:val="Normal"/>
    <w:link w:val="FooterChar"/>
    <w:uiPriority w:val="99"/>
    <w:unhideWhenUsed/>
    <w:rsid w:val="007F1C3F"/>
    <w:pPr>
      <w:tabs>
        <w:tab w:val="center" w:pos="4680"/>
        <w:tab w:val="right" w:pos="9360"/>
      </w:tabs>
    </w:pPr>
  </w:style>
  <w:style w:type="character" w:customStyle="1" w:styleId="FooterChar">
    <w:name w:val="Footer Char"/>
    <w:basedOn w:val="DefaultParagraphFont"/>
    <w:link w:val="Footer"/>
    <w:uiPriority w:val="99"/>
    <w:rsid w:val="007F1C3F"/>
    <w:rPr>
      <w:sz w:val="24"/>
      <w:szCs w:val="24"/>
      <w:lang w:val="en-US" w:eastAsia="en-US"/>
    </w:rPr>
  </w:style>
  <w:style w:type="character" w:customStyle="1" w:styleId="DocID">
    <w:name w:val="DocID"/>
    <w:basedOn w:val="DefaultParagraphFont"/>
    <w:rsid w:val="007F1C3F"/>
    <w:rPr>
      <w:rFonts w:ascii="Times New Roman" w:hAnsi="Times New Roman" w:cs="Times New Roman"/>
      <w:b w:val="0"/>
      <w:i w:val="0"/>
      <w:caps w:val="0"/>
      <w:vanish w:val="0"/>
      <w:color w:val="000000"/>
      <w:sz w:val="1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a:ea typeface="Helvetica"/>
        <a:cs typeface="Helvetica"/>
      </a:majorFont>
      <a:minorFont>
        <a:latin typeface="Helvetica"/>
        <a:ea typeface="Helvetica"/>
        <a:cs typeface="Helvetica"/>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975</Words>
  <Characters>5558</Characters>
  <Application>Microsoft Office Word</Application>
  <DocSecurity>0</DocSecurity>
  <Lines>46</Lines>
  <Paragraphs>13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AP</Company>
  <LinksUpToDate>false</LinksUpToDate>
  <CharactersWithSpaces>6520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Ермакова Анна Валентиновна</dc:creator>
  <cp:lastModifiedBy>Christopher Yukins</cp:lastModifiedBy>
  <cp:revision>4</cp:revision>
  <dcterms:created xsi:type="dcterms:W3CDTF">2016-10-04T15:57:00Z</dcterms:created>
  <dcterms:modified xsi:type="dcterms:W3CDTF">2016-10-04T16:15:00Z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investment contract Russia.docx</vt:lpwstr>
  </property>
</Properties>
</file>