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7C" w:rsidRPr="000260CC" w:rsidRDefault="009D517B" w:rsidP="009D517B">
      <w:pPr>
        <w:shd w:val="clear" w:color="auto" w:fill="FFFFFF"/>
        <w:spacing w:after="0" w:line="302" w:lineRule="atLeast"/>
        <w:rPr>
          <w:rFonts w:ascii="Calibri" w:eastAsia="Times New Roman" w:hAnsi="Calibri" w:cs="Calibri"/>
          <w:caps/>
          <w:sz w:val="16"/>
          <w:szCs w:val="16"/>
          <w:lang w:val="en-US" w:eastAsia="fr-BE"/>
        </w:rPr>
      </w:pPr>
      <w:r w:rsidRPr="000260CC">
        <w:rPr>
          <w:rFonts w:ascii="Calibri" w:eastAsia="Times New Roman" w:hAnsi="Calibri" w:cs="Calibri"/>
          <w:noProof/>
          <w:lang w:val="en-GB" w:eastAsia="en-GB"/>
        </w:rPr>
        <w:drawing>
          <wp:inline distT="0" distB="0" distL="0" distR="0">
            <wp:extent cx="1085850" cy="676275"/>
            <wp:effectExtent l="0" t="0" r="0" b="9525"/>
            <wp:docPr id="1" name="Picture 1" descr="European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uropean Commiss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05" cy="68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910">
        <w:rPr>
          <w:rFonts w:ascii="Calibri" w:hAnsi="Calibri" w:cs="Calibri"/>
          <w:b/>
          <w:bCs/>
          <w:sz w:val="24"/>
          <w:szCs w:val="20"/>
          <w:lang w:val="en-US"/>
        </w:rPr>
        <w:t xml:space="preserve">        </w:t>
      </w:r>
      <w:r w:rsidR="00796969" w:rsidRPr="00FB2910">
        <w:rPr>
          <w:rFonts w:ascii="Calibri" w:hAnsi="Calibri" w:cs="Calibri"/>
          <w:b/>
          <w:bCs/>
          <w:sz w:val="24"/>
          <w:szCs w:val="20"/>
          <w:lang w:val="en-US"/>
        </w:rPr>
        <w:t>Overview of the EU Early Detection and Exclusion System (EDES)</w:t>
      </w:r>
    </w:p>
    <w:p w:rsidR="003642AD" w:rsidRDefault="00796969" w:rsidP="00FB2910">
      <w:pPr>
        <w:pBdr>
          <w:bottom w:val="single" w:sz="6" w:space="0" w:color="auto"/>
        </w:pBdr>
        <w:spacing w:after="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  <w:r w:rsidRPr="000260CC">
        <w:rPr>
          <w:rFonts w:ascii="Calibri" w:hAnsi="Calibri" w:cs="Calibri"/>
          <w:b/>
          <w:bCs/>
          <w:sz w:val="20"/>
          <w:szCs w:val="20"/>
          <w:lang w:val="en-US"/>
        </w:rPr>
        <w:t xml:space="preserve">(King’s College, London - </w:t>
      </w:r>
      <w:r w:rsidR="003642AD" w:rsidRPr="000260CC">
        <w:rPr>
          <w:rFonts w:ascii="Calibri" w:hAnsi="Calibri" w:cs="Calibri"/>
          <w:b/>
          <w:bCs/>
          <w:sz w:val="20"/>
          <w:szCs w:val="20"/>
          <w:lang w:val="en-US"/>
        </w:rPr>
        <w:t>GWU Law School Annual Symposium: Exclusion and Debarment</w:t>
      </w:r>
      <w:r w:rsidR="00FB2910">
        <w:rPr>
          <w:rFonts w:ascii="Calibri" w:hAnsi="Calibri" w:cs="Calibri"/>
          <w:b/>
          <w:bCs/>
          <w:sz w:val="20"/>
          <w:szCs w:val="20"/>
          <w:lang w:val="en-US"/>
        </w:rPr>
        <w:t xml:space="preserve"> -</w:t>
      </w:r>
      <w:r w:rsidR="003642AD" w:rsidRPr="000260CC">
        <w:rPr>
          <w:rFonts w:ascii="Calibri" w:hAnsi="Calibri" w:cs="Calibri"/>
          <w:b/>
          <w:bCs/>
          <w:sz w:val="20"/>
          <w:szCs w:val="20"/>
          <w:lang w:val="en-US"/>
        </w:rPr>
        <w:t xml:space="preserve"> 18 March 2019</w:t>
      </w:r>
      <w:r w:rsidRPr="000260CC">
        <w:rPr>
          <w:rFonts w:ascii="Calibri" w:hAnsi="Calibri" w:cs="Calibri"/>
          <w:b/>
          <w:bCs/>
          <w:sz w:val="20"/>
          <w:szCs w:val="20"/>
          <w:lang w:val="en-US"/>
        </w:rPr>
        <w:t>)</w:t>
      </w:r>
    </w:p>
    <w:p w:rsidR="005660D6" w:rsidRPr="000260CC" w:rsidRDefault="005660D6" w:rsidP="00FB2910">
      <w:pPr>
        <w:pBdr>
          <w:bottom w:val="single" w:sz="6" w:space="0" w:color="auto"/>
        </w:pBdr>
        <w:spacing w:after="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5660D6" w:rsidRDefault="005660D6" w:rsidP="0064370D">
      <w:pPr>
        <w:spacing w:after="60"/>
        <w:jc w:val="both"/>
        <w:rPr>
          <w:rFonts w:ascii="Calibri" w:hAnsi="Calibri" w:cs="Calibri"/>
          <w:bCs/>
          <w:u w:val="single"/>
          <w:lang w:val="en-US"/>
        </w:rPr>
      </w:pPr>
    </w:p>
    <w:p w:rsidR="00D26476" w:rsidRPr="000260CC" w:rsidRDefault="00D26476" w:rsidP="0064370D">
      <w:pPr>
        <w:spacing w:after="60"/>
        <w:jc w:val="both"/>
        <w:rPr>
          <w:rFonts w:ascii="Calibri" w:hAnsi="Calibri" w:cs="Calibri"/>
          <w:bCs/>
          <w:u w:val="single"/>
          <w:lang w:val="en-US"/>
        </w:rPr>
      </w:pPr>
      <w:r w:rsidRPr="000260CC">
        <w:rPr>
          <w:rFonts w:ascii="Calibri" w:hAnsi="Calibri" w:cs="Calibri"/>
          <w:bCs/>
          <w:u w:val="single"/>
          <w:lang w:val="en-US"/>
        </w:rPr>
        <w:t xml:space="preserve">Purpose </w:t>
      </w:r>
      <w:r w:rsidR="00C33D41" w:rsidRPr="000260CC">
        <w:rPr>
          <w:rFonts w:ascii="Calibri" w:hAnsi="Calibri" w:cs="Calibri"/>
          <w:bCs/>
          <w:u w:val="single"/>
          <w:lang w:val="en-US"/>
        </w:rPr>
        <w:t xml:space="preserve">and scope </w:t>
      </w:r>
      <w:r w:rsidRPr="000260CC">
        <w:rPr>
          <w:rFonts w:ascii="Calibri" w:hAnsi="Calibri" w:cs="Calibri"/>
          <w:bCs/>
          <w:u w:val="single"/>
          <w:lang w:val="en-US"/>
        </w:rPr>
        <w:t xml:space="preserve">of EDES </w:t>
      </w:r>
    </w:p>
    <w:p w:rsidR="003E4AF9" w:rsidRPr="000260CC" w:rsidRDefault="003642AD" w:rsidP="0064370D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>E</w:t>
      </w:r>
      <w:r w:rsidR="006E43BE" w:rsidRPr="000260CC">
        <w:rPr>
          <w:rFonts w:ascii="Calibri" w:hAnsi="Calibri" w:cs="Calibri"/>
          <w:lang w:val="en-US"/>
        </w:rPr>
        <w:t xml:space="preserve">stablished in 2016 </w:t>
      </w:r>
      <w:r w:rsidR="007E1660" w:rsidRPr="000260CC">
        <w:rPr>
          <w:rFonts w:ascii="Calibri" w:hAnsi="Calibri" w:cs="Calibri"/>
          <w:lang w:val="en-US"/>
        </w:rPr>
        <w:t>t</w:t>
      </w:r>
      <w:r w:rsidR="00666C15" w:rsidRPr="000260CC">
        <w:rPr>
          <w:rFonts w:ascii="Calibri" w:hAnsi="Calibri" w:cs="Calibri"/>
          <w:lang w:val="en-US"/>
        </w:rPr>
        <w:t>o p</w:t>
      </w:r>
      <w:r w:rsidR="00D26476" w:rsidRPr="000260CC">
        <w:rPr>
          <w:rFonts w:ascii="Calibri" w:hAnsi="Calibri" w:cs="Calibri"/>
          <w:lang w:val="en-US"/>
        </w:rPr>
        <w:t xml:space="preserve">rotect the </w:t>
      </w:r>
      <w:r w:rsidR="00666C15" w:rsidRPr="000260CC">
        <w:rPr>
          <w:rFonts w:ascii="Calibri" w:hAnsi="Calibri" w:cs="Calibri"/>
          <w:lang w:val="en-US"/>
        </w:rPr>
        <w:t xml:space="preserve">EU </w:t>
      </w:r>
      <w:r w:rsidR="003E4AF9" w:rsidRPr="000260CC">
        <w:rPr>
          <w:rFonts w:ascii="Calibri" w:hAnsi="Calibri" w:cs="Calibri"/>
          <w:lang w:val="en-US"/>
        </w:rPr>
        <w:t>budget</w:t>
      </w:r>
      <w:r w:rsidR="00666C15" w:rsidRPr="000260CC">
        <w:rPr>
          <w:rFonts w:ascii="Calibri" w:hAnsi="Calibri" w:cs="Calibri"/>
          <w:lang w:val="en-US"/>
        </w:rPr>
        <w:t xml:space="preserve"> </w:t>
      </w:r>
      <w:r w:rsidR="00E2452A" w:rsidRPr="000260CC">
        <w:rPr>
          <w:rFonts w:ascii="Calibri" w:hAnsi="Calibri" w:cs="Calibri"/>
          <w:lang w:val="en-US"/>
        </w:rPr>
        <w:t>from unreliable</w:t>
      </w:r>
      <w:r w:rsidR="003E4AF9" w:rsidRPr="000260CC">
        <w:rPr>
          <w:rFonts w:ascii="Calibri" w:hAnsi="Calibri" w:cs="Calibri"/>
          <w:lang w:val="en-US"/>
        </w:rPr>
        <w:t>/fraudulent</w:t>
      </w:r>
      <w:r w:rsidR="00E2452A" w:rsidRPr="000260CC">
        <w:rPr>
          <w:rFonts w:ascii="Calibri" w:hAnsi="Calibri" w:cs="Calibri"/>
          <w:lang w:val="en-US"/>
        </w:rPr>
        <w:t xml:space="preserve"> economic operators</w:t>
      </w:r>
      <w:r w:rsidR="007E1660" w:rsidRPr="000260CC">
        <w:rPr>
          <w:rFonts w:ascii="Calibri" w:hAnsi="Calibri" w:cs="Calibri"/>
          <w:lang w:val="en-US"/>
        </w:rPr>
        <w:t xml:space="preserve"> </w:t>
      </w:r>
    </w:p>
    <w:p w:rsidR="00AD69C0" w:rsidRPr="000260CC" w:rsidRDefault="006E43BE" w:rsidP="0064370D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>C</w:t>
      </w:r>
      <w:r w:rsidR="0032616A" w:rsidRPr="000260CC">
        <w:rPr>
          <w:rFonts w:ascii="Calibri" w:hAnsi="Calibri" w:cs="Calibri"/>
          <w:lang w:val="en-US"/>
        </w:rPr>
        <w:t>ommon to all EU Institutions</w:t>
      </w:r>
      <w:r w:rsidR="00C33D41" w:rsidRPr="000260CC">
        <w:rPr>
          <w:rFonts w:ascii="Calibri" w:hAnsi="Calibri" w:cs="Calibri"/>
          <w:lang w:val="en-US"/>
        </w:rPr>
        <w:t xml:space="preserve"> (Parliament, Council, Commission, Court of Auditors and Court of Justice)</w:t>
      </w:r>
      <w:r w:rsidR="0064370D" w:rsidRPr="000260CC">
        <w:rPr>
          <w:rFonts w:ascii="Calibri" w:hAnsi="Calibri" w:cs="Calibri"/>
          <w:lang w:val="en-US"/>
        </w:rPr>
        <w:t>, EU agencies and other EU bodies</w:t>
      </w:r>
    </w:p>
    <w:p w:rsidR="00F16397" w:rsidRPr="000260CC" w:rsidRDefault="00AD69C0" w:rsidP="0064370D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lang w:val="en-GB"/>
        </w:rPr>
      </w:pPr>
      <w:r w:rsidRPr="000260CC">
        <w:rPr>
          <w:rFonts w:ascii="Calibri" w:hAnsi="Calibri" w:cs="Calibri"/>
          <w:lang w:val="en-US"/>
        </w:rPr>
        <w:t>A</w:t>
      </w:r>
      <w:r w:rsidR="00F16397" w:rsidRPr="000260CC">
        <w:rPr>
          <w:rFonts w:ascii="Calibri" w:hAnsi="Calibri" w:cs="Calibri"/>
          <w:lang w:val="en-US"/>
        </w:rPr>
        <w:t>pplies to economic operators recei</w:t>
      </w:r>
      <w:r w:rsidR="0064370D" w:rsidRPr="000260CC">
        <w:rPr>
          <w:rFonts w:ascii="Calibri" w:hAnsi="Calibri" w:cs="Calibri"/>
          <w:lang w:val="en-US"/>
        </w:rPr>
        <w:t xml:space="preserve">ving funds directly </w:t>
      </w:r>
      <w:r w:rsidR="003C7963" w:rsidRPr="000260CC">
        <w:rPr>
          <w:rFonts w:ascii="Calibri" w:hAnsi="Calibri" w:cs="Calibri"/>
          <w:lang w:val="en-US"/>
        </w:rPr>
        <w:t xml:space="preserve">(representing </w:t>
      </w:r>
      <w:r w:rsidR="003642AD" w:rsidRPr="000260CC">
        <w:rPr>
          <w:rFonts w:ascii="Calibri" w:hAnsi="Calibri" w:cs="Calibri"/>
          <w:lang w:val="en-US"/>
        </w:rPr>
        <w:t>24% of the EU Budget, around 33</w:t>
      </w:r>
      <w:r w:rsidR="003C7963" w:rsidRPr="000260CC">
        <w:rPr>
          <w:rFonts w:ascii="Calibri" w:hAnsi="Calibri" w:cs="Calibri"/>
          <w:lang w:val="en-US"/>
        </w:rPr>
        <w:t xml:space="preserve"> </w:t>
      </w:r>
      <w:r w:rsidR="003642AD" w:rsidRPr="000260CC">
        <w:rPr>
          <w:rFonts w:ascii="Calibri" w:hAnsi="Calibri" w:cs="Calibri"/>
          <w:lang w:val="en-US"/>
        </w:rPr>
        <w:t xml:space="preserve">billion </w:t>
      </w:r>
      <w:r w:rsidR="003C7963" w:rsidRPr="000260CC">
        <w:rPr>
          <w:rFonts w:ascii="Calibri" w:hAnsi="Calibri" w:cs="Calibri"/>
          <w:lang w:val="en-US"/>
        </w:rPr>
        <w:t>€)</w:t>
      </w:r>
      <w:r w:rsidR="00D12862" w:rsidRPr="000260CC">
        <w:rPr>
          <w:rFonts w:ascii="Calibri" w:hAnsi="Calibri" w:cs="Calibri"/>
          <w:lang w:val="en-US"/>
        </w:rPr>
        <w:t xml:space="preserve"> as well as</w:t>
      </w:r>
      <w:r w:rsidR="003642AD" w:rsidRPr="000260CC">
        <w:rPr>
          <w:rFonts w:ascii="Calibri" w:hAnsi="Calibri" w:cs="Calibri"/>
          <w:lang w:val="en-US"/>
        </w:rPr>
        <w:t>,</w:t>
      </w:r>
      <w:r w:rsidR="00D12862" w:rsidRPr="000260CC">
        <w:rPr>
          <w:rFonts w:ascii="Calibri" w:hAnsi="Calibri" w:cs="Calibri"/>
          <w:lang w:val="en-US"/>
        </w:rPr>
        <w:t xml:space="preserve"> </w:t>
      </w:r>
      <w:r w:rsidR="003642AD" w:rsidRPr="000260CC">
        <w:rPr>
          <w:rFonts w:ascii="Calibri" w:hAnsi="Calibri" w:cs="Calibri"/>
          <w:lang w:val="en-US"/>
        </w:rPr>
        <w:t xml:space="preserve">from 02 August 2018, </w:t>
      </w:r>
      <w:r w:rsidR="00D12862" w:rsidRPr="000260CC">
        <w:rPr>
          <w:rFonts w:ascii="Calibri" w:hAnsi="Calibri" w:cs="Calibri"/>
          <w:lang w:val="en-US"/>
        </w:rPr>
        <w:t xml:space="preserve">to </w:t>
      </w:r>
      <w:r w:rsidR="00666C15" w:rsidRPr="000260CC">
        <w:rPr>
          <w:rFonts w:ascii="Calibri" w:hAnsi="Calibri" w:cs="Calibri"/>
          <w:lang w:val="en-US"/>
        </w:rPr>
        <w:t>the end</w:t>
      </w:r>
      <w:r w:rsidR="00F16397" w:rsidRPr="000260CC">
        <w:rPr>
          <w:rFonts w:ascii="Calibri" w:hAnsi="Calibri" w:cs="Calibri"/>
          <w:lang w:val="en-US"/>
        </w:rPr>
        <w:t xml:space="preserve"> recipient</w:t>
      </w:r>
      <w:r w:rsidR="003642AD" w:rsidRPr="000260CC">
        <w:rPr>
          <w:rFonts w:ascii="Calibri" w:hAnsi="Calibri" w:cs="Calibri"/>
          <w:lang w:val="en-US"/>
        </w:rPr>
        <w:t>s</w:t>
      </w:r>
      <w:r w:rsidR="00F16397" w:rsidRPr="000260CC">
        <w:rPr>
          <w:rFonts w:ascii="Calibri" w:hAnsi="Calibri" w:cs="Calibri"/>
          <w:lang w:val="en-US"/>
        </w:rPr>
        <w:t xml:space="preserve"> </w:t>
      </w:r>
      <w:r w:rsidR="003642AD" w:rsidRPr="000260CC">
        <w:rPr>
          <w:rFonts w:ascii="Calibri" w:hAnsi="Calibri" w:cs="Calibri"/>
          <w:lang w:val="en-US"/>
        </w:rPr>
        <w:t>of EU</w:t>
      </w:r>
      <w:r w:rsidR="00666C15" w:rsidRPr="000260CC">
        <w:rPr>
          <w:rFonts w:ascii="Calibri" w:hAnsi="Calibri" w:cs="Calibri"/>
          <w:lang w:val="en-US"/>
        </w:rPr>
        <w:t xml:space="preserve"> </w:t>
      </w:r>
      <w:r w:rsidR="00F16397" w:rsidRPr="000260CC">
        <w:rPr>
          <w:rFonts w:ascii="Calibri" w:hAnsi="Calibri" w:cs="Calibri"/>
          <w:lang w:val="en-US"/>
        </w:rPr>
        <w:t xml:space="preserve">funds </w:t>
      </w:r>
      <w:r w:rsidR="000A3AA5" w:rsidRPr="000260CC">
        <w:rPr>
          <w:rFonts w:ascii="Calibri" w:hAnsi="Calibri" w:cs="Calibri"/>
          <w:lang w:val="en-US"/>
        </w:rPr>
        <w:t xml:space="preserve">indirectly via implementing partners </w:t>
      </w:r>
      <w:r w:rsidR="00666C15" w:rsidRPr="000260CC">
        <w:rPr>
          <w:rFonts w:ascii="Calibri" w:hAnsi="Calibri" w:cs="Calibri"/>
          <w:lang w:val="en-US"/>
        </w:rPr>
        <w:t>(e.g. international org</w:t>
      </w:r>
      <w:r w:rsidR="0064370D" w:rsidRPr="000260CC">
        <w:rPr>
          <w:rFonts w:ascii="Calibri" w:hAnsi="Calibri" w:cs="Calibri"/>
          <w:lang w:val="en-US"/>
        </w:rPr>
        <w:t>anis</w:t>
      </w:r>
      <w:r w:rsidR="00666C15" w:rsidRPr="000260CC">
        <w:rPr>
          <w:rFonts w:ascii="Calibri" w:hAnsi="Calibri" w:cs="Calibri"/>
          <w:lang w:val="en-US"/>
        </w:rPr>
        <w:t>ation</w:t>
      </w:r>
      <w:r w:rsidR="0064370D" w:rsidRPr="000260CC">
        <w:rPr>
          <w:rFonts w:ascii="Calibri" w:hAnsi="Calibri" w:cs="Calibri"/>
          <w:lang w:val="en-US"/>
        </w:rPr>
        <w:t>s</w:t>
      </w:r>
      <w:r w:rsidR="000A3AA5" w:rsidRPr="000260CC">
        <w:rPr>
          <w:rFonts w:ascii="Calibri" w:hAnsi="Calibri" w:cs="Calibri"/>
          <w:lang w:val="en-US"/>
        </w:rPr>
        <w:t>, third countries</w:t>
      </w:r>
      <w:r w:rsidR="00666C15" w:rsidRPr="000260CC">
        <w:rPr>
          <w:rFonts w:ascii="Calibri" w:hAnsi="Calibri" w:cs="Calibri"/>
          <w:lang w:val="en-US"/>
        </w:rPr>
        <w:t>)</w:t>
      </w:r>
      <w:r w:rsidR="00D12862" w:rsidRPr="000260CC">
        <w:rPr>
          <w:rFonts w:ascii="Calibri" w:hAnsi="Calibri" w:cs="Calibri"/>
          <w:lang w:val="en-US"/>
        </w:rPr>
        <w:t xml:space="preserve"> </w:t>
      </w:r>
    </w:p>
    <w:p w:rsidR="00D26476" w:rsidRPr="000260CC" w:rsidRDefault="00D26476" w:rsidP="0064370D">
      <w:pPr>
        <w:spacing w:after="60"/>
        <w:jc w:val="both"/>
        <w:rPr>
          <w:rFonts w:ascii="Calibri" w:hAnsi="Calibri" w:cs="Calibri"/>
          <w:bCs/>
          <w:u w:val="single"/>
          <w:lang w:val="en-US"/>
        </w:rPr>
      </w:pPr>
      <w:r w:rsidRPr="000260CC">
        <w:rPr>
          <w:rFonts w:ascii="Calibri" w:hAnsi="Calibri" w:cs="Calibri"/>
          <w:bCs/>
          <w:u w:val="single"/>
          <w:lang w:val="en-US"/>
        </w:rPr>
        <w:t>Types of measures</w:t>
      </w:r>
    </w:p>
    <w:p w:rsidR="00D26476" w:rsidRPr="000260CC" w:rsidRDefault="00D26476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t>Early detection</w:t>
      </w:r>
      <w:r w:rsidRPr="000260CC">
        <w:rPr>
          <w:rFonts w:ascii="Calibri" w:hAnsi="Calibri" w:cs="Calibri"/>
          <w:lang w:val="en-US"/>
        </w:rPr>
        <w:t xml:space="preserve">: information </w:t>
      </w:r>
      <w:r w:rsidR="003C7963" w:rsidRPr="000260CC">
        <w:rPr>
          <w:rFonts w:ascii="Calibri" w:hAnsi="Calibri" w:cs="Calibri"/>
          <w:lang w:val="en-US"/>
        </w:rPr>
        <w:t>on suspicion; enhanced contract</w:t>
      </w:r>
      <w:r w:rsidRPr="000260CC">
        <w:rPr>
          <w:rFonts w:ascii="Calibri" w:hAnsi="Calibri" w:cs="Calibri"/>
          <w:lang w:val="en-US"/>
        </w:rPr>
        <w:t xml:space="preserve"> monitoring </w:t>
      </w:r>
      <w:r w:rsidR="00D12862" w:rsidRPr="000260CC">
        <w:rPr>
          <w:rFonts w:ascii="Calibri" w:hAnsi="Calibri" w:cs="Calibri"/>
          <w:lang w:val="en-US"/>
        </w:rPr>
        <w:t xml:space="preserve">(no adverse effect) </w:t>
      </w:r>
    </w:p>
    <w:p w:rsidR="00D26476" w:rsidRPr="000260CC" w:rsidRDefault="00D26476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t>Exclusion</w:t>
      </w:r>
      <w:r w:rsidRPr="000260CC">
        <w:rPr>
          <w:rFonts w:ascii="Calibri" w:hAnsi="Calibri" w:cs="Calibri"/>
          <w:lang w:val="en-US"/>
        </w:rPr>
        <w:t xml:space="preserve">: </w:t>
      </w:r>
      <w:r w:rsidR="003642AD" w:rsidRPr="000260CC">
        <w:rPr>
          <w:rFonts w:ascii="Calibri" w:hAnsi="Calibri" w:cs="Calibri"/>
          <w:lang w:val="en-US"/>
        </w:rPr>
        <w:t>p</w:t>
      </w:r>
      <w:r w:rsidR="003C7963" w:rsidRPr="000260CC">
        <w:rPr>
          <w:rFonts w:ascii="Calibri" w:hAnsi="Calibri" w:cs="Calibri"/>
          <w:lang w:val="en-US"/>
        </w:rPr>
        <w:t xml:space="preserve">rohibition to obtain </w:t>
      </w:r>
      <w:r w:rsidR="006E43BE" w:rsidRPr="000260CC">
        <w:rPr>
          <w:rFonts w:ascii="Calibri" w:hAnsi="Calibri" w:cs="Calibri"/>
          <w:lang w:val="en-US"/>
        </w:rPr>
        <w:t xml:space="preserve">EU funds </w:t>
      </w:r>
      <w:r w:rsidRPr="000260CC">
        <w:rPr>
          <w:rFonts w:ascii="Calibri" w:hAnsi="Calibri" w:cs="Calibri"/>
          <w:lang w:val="en-US"/>
        </w:rPr>
        <w:t>for a determined period</w:t>
      </w:r>
      <w:r w:rsidR="004760CB" w:rsidRPr="000260CC">
        <w:rPr>
          <w:rFonts w:ascii="Calibri" w:hAnsi="Calibri" w:cs="Calibri"/>
          <w:lang w:val="en-US"/>
        </w:rPr>
        <w:t xml:space="preserve"> (max </w:t>
      </w:r>
      <w:r w:rsidR="003642AD" w:rsidRPr="000260CC">
        <w:rPr>
          <w:rFonts w:ascii="Calibri" w:hAnsi="Calibri" w:cs="Calibri"/>
          <w:lang w:val="en-US"/>
        </w:rPr>
        <w:t xml:space="preserve">3 to </w:t>
      </w:r>
      <w:r w:rsidR="004760CB" w:rsidRPr="000260CC">
        <w:rPr>
          <w:rFonts w:ascii="Calibri" w:hAnsi="Calibri" w:cs="Calibri"/>
          <w:lang w:val="en-US"/>
        </w:rPr>
        <w:t>5 years)</w:t>
      </w:r>
    </w:p>
    <w:p w:rsidR="00D26476" w:rsidRPr="000260CC" w:rsidRDefault="00D26476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t>Financial penalty</w:t>
      </w:r>
      <w:r w:rsidRPr="000260CC">
        <w:rPr>
          <w:rFonts w:ascii="Calibri" w:hAnsi="Calibri" w:cs="Calibri"/>
          <w:lang w:val="en-US"/>
        </w:rPr>
        <w:t>: proportional to the value of the contract (max 10%)</w:t>
      </w:r>
      <w:r w:rsidR="006E43BE" w:rsidRPr="000260CC">
        <w:rPr>
          <w:rFonts w:ascii="Calibri" w:hAnsi="Calibri" w:cs="Calibri"/>
          <w:lang w:val="en-US"/>
        </w:rPr>
        <w:t xml:space="preserve"> but rarely used</w:t>
      </w:r>
      <w:r w:rsidR="003642AD" w:rsidRPr="000260CC">
        <w:rPr>
          <w:rFonts w:ascii="Calibri" w:hAnsi="Calibri" w:cs="Calibri"/>
          <w:lang w:val="en-US"/>
        </w:rPr>
        <w:t xml:space="preserve"> (in addition or as alternative to the exclusion)</w:t>
      </w:r>
    </w:p>
    <w:p w:rsidR="00771C68" w:rsidRPr="000260CC" w:rsidRDefault="00D26476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t>Publication</w:t>
      </w:r>
      <w:r w:rsidR="00771C68" w:rsidRPr="000260CC">
        <w:rPr>
          <w:rFonts w:ascii="Calibri" w:hAnsi="Calibri" w:cs="Calibri"/>
          <w:b/>
          <w:lang w:val="en-US"/>
        </w:rPr>
        <w:t xml:space="preserve"> </w:t>
      </w:r>
      <w:r w:rsidR="00771C68" w:rsidRPr="000260CC">
        <w:rPr>
          <w:rFonts w:ascii="Calibri" w:hAnsi="Calibri" w:cs="Calibri"/>
          <w:lang w:val="en-US"/>
        </w:rPr>
        <w:t>of most severe cases</w:t>
      </w:r>
      <w:r w:rsidR="0064370D" w:rsidRPr="000260CC">
        <w:rPr>
          <w:rFonts w:ascii="Calibri" w:hAnsi="Calibri" w:cs="Calibri"/>
          <w:lang w:val="en-US"/>
        </w:rPr>
        <w:t xml:space="preserve"> (obstructions to investigations, </w:t>
      </w:r>
      <w:r w:rsidR="000260DE">
        <w:rPr>
          <w:rFonts w:ascii="Calibri" w:hAnsi="Calibri" w:cs="Calibri"/>
          <w:lang w:val="en-US"/>
        </w:rPr>
        <w:t xml:space="preserve">to </w:t>
      </w:r>
      <w:r w:rsidR="0064370D" w:rsidRPr="000260CC">
        <w:rPr>
          <w:rFonts w:ascii="Calibri" w:hAnsi="Calibri" w:cs="Calibri"/>
          <w:lang w:val="en-US"/>
        </w:rPr>
        <w:t xml:space="preserve">audits or </w:t>
      </w:r>
      <w:r w:rsidR="000260DE">
        <w:rPr>
          <w:rFonts w:ascii="Calibri" w:hAnsi="Calibri" w:cs="Calibri"/>
          <w:lang w:val="en-US"/>
        </w:rPr>
        <w:t xml:space="preserve">to first demand </w:t>
      </w:r>
      <w:r w:rsidR="0064370D" w:rsidRPr="000260CC">
        <w:rPr>
          <w:rFonts w:ascii="Calibri" w:hAnsi="Calibri" w:cs="Calibri"/>
          <w:lang w:val="en-US"/>
        </w:rPr>
        <w:t>guarantees</w:t>
      </w:r>
      <w:r w:rsidR="000260DE">
        <w:rPr>
          <w:rFonts w:ascii="Calibri" w:hAnsi="Calibri" w:cs="Calibri"/>
          <w:lang w:val="en-US"/>
        </w:rPr>
        <w:t xml:space="preserve">; use of </w:t>
      </w:r>
      <w:r w:rsidR="0064370D" w:rsidRPr="000260CC">
        <w:rPr>
          <w:rFonts w:ascii="Calibri" w:hAnsi="Calibri" w:cs="Calibri"/>
          <w:lang w:val="en-US"/>
        </w:rPr>
        <w:t>fake guarantees)</w:t>
      </w:r>
      <w:r w:rsidR="00771C68" w:rsidRPr="000260CC">
        <w:rPr>
          <w:rFonts w:ascii="Calibri" w:hAnsi="Calibri" w:cs="Calibri"/>
          <w:b/>
          <w:lang w:val="en-US"/>
        </w:rPr>
        <w:t xml:space="preserve"> </w:t>
      </w:r>
      <w:hyperlink r:id="rId9" w:history="1">
        <w:r w:rsidR="00771C68" w:rsidRPr="000260CC">
          <w:rPr>
            <w:rStyle w:val="Hyperlink"/>
            <w:rFonts w:ascii="Calibri" w:hAnsi="Calibri" w:cs="Calibri"/>
            <w:lang w:val="en-US"/>
          </w:rPr>
          <w:t>http://ec.europa.eu/budget/edes/index_en.cfm</w:t>
        </w:r>
      </w:hyperlink>
      <w:r w:rsidR="00771C68" w:rsidRPr="000260CC">
        <w:rPr>
          <w:rFonts w:ascii="Calibri" w:hAnsi="Calibri" w:cs="Calibri"/>
          <w:lang w:val="en-US"/>
        </w:rPr>
        <w:t xml:space="preserve"> </w:t>
      </w:r>
    </w:p>
    <w:p w:rsidR="00587629" w:rsidRPr="000260CC" w:rsidRDefault="001E7496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t>Central</w:t>
      </w:r>
      <w:r w:rsidRPr="000260CC">
        <w:rPr>
          <w:rFonts w:ascii="Calibri" w:hAnsi="Calibri" w:cs="Calibri"/>
          <w:lang w:val="en-US"/>
        </w:rPr>
        <w:t xml:space="preserve"> </w:t>
      </w:r>
      <w:r w:rsidRPr="000260CC">
        <w:rPr>
          <w:rFonts w:ascii="Calibri" w:hAnsi="Calibri" w:cs="Calibri"/>
          <w:b/>
          <w:lang w:val="en-US"/>
        </w:rPr>
        <w:t>EDES Database:</w:t>
      </w:r>
      <w:r w:rsidRPr="000260CC">
        <w:rPr>
          <w:rFonts w:ascii="Calibri" w:hAnsi="Calibri" w:cs="Calibri"/>
          <w:lang w:val="en-US"/>
        </w:rPr>
        <w:t xml:space="preserve"> </w:t>
      </w:r>
      <w:r w:rsidR="00771C68" w:rsidRPr="000260CC">
        <w:rPr>
          <w:rFonts w:ascii="Calibri" w:hAnsi="Calibri" w:cs="Calibri"/>
          <w:lang w:val="en-US"/>
        </w:rPr>
        <w:t xml:space="preserve">accessible to </w:t>
      </w:r>
      <w:r w:rsidR="003642AD" w:rsidRPr="000260CC">
        <w:rPr>
          <w:rFonts w:ascii="Calibri" w:hAnsi="Calibri" w:cs="Calibri"/>
          <w:lang w:val="en-US"/>
        </w:rPr>
        <w:t xml:space="preserve">all </w:t>
      </w:r>
      <w:r w:rsidR="00771C68" w:rsidRPr="000260CC">
        <w:rPr>
          <w:rFonts w:ascii="Calibri" w:hAnsi="Calibri" w:cs="Calibri"/>
          <w:lang w:val="en-US"/>
        </w:rPr>
        <w:t>financial actors of the EU budget</w:t>
      </w:r>
      <w:r w:rsidR="0064370D" w:rsidRPr="000260CC">
        <w:rPr>
          <w:rFonts w:ascii="Calibri" w:hAnsi="Calibri" w:cs="Calibri"/>
          <w:b/>
          <w:lang w:val="en-US"/>
        </w:rPr>
        <w:t xml:space="preserve">; </w:t>
      </w:r>
      <w:r w:rsidR="003642AD" w:rsidRPr="000260CC">
        <w:rPr>
          <w:rFonts w:ascii="Calibri" w:hAnsi="Calibri" w:cs="Calibri"/>
          <w:lang w:val="en-US"/>
        </w:rPr>
        <w:t>possibility to</w:t>
      </w:r>
      <w:r w:rsidR="00C145B8" w:rsidRPr="000260CC">
        <w:rPr>
          <w:rFonts w:ascii="Calibri" w:hAnsi="Calibri" w:cs="Calibri"/>
          <w:lang w:val="en-US"/>
        </w:rPr>
        <w:t xml:space="preserve"> identify the individual who has powers of representation</w:t>
      </w:r>
      <w:r w:rsidR="0064370D" w:rsidRPr="000260CC">
        <w:rPr>
          <w:rFonts w:ascii="Calibri" w:hAnsi="Calibri" w:cs="Calibri"/>
          <w:lang w:val="en-US"/>
        </w:rPr>
        <w:t>/decision/</w:t>
      </w:r>
      <w:r w:rsidR="00C145B8" w:rsidRPr="000260CC">
        <w:rPr>
          <w:rFonts w:ascii="Calibri" w:hAnsi="Calibri" w:cs="Calibri"/>
          <w:lang w:val="en-US"/>
        </w:rPr>
        <w:t>control over the</w:t>
      </w:r>
      <w:r w:rsidRPr="000260CC">
        <w:rPr>
          <w:rFonts w:ascii="Calibri" w:hAnsi="Calibri" w:cs="Calibri"/>
          <w:lang w:val="en-US"/>
        </w:rPr>
        <w:t xml:space="preserve"> economic operator</w:t>
      </w:r>
      <w:r w:rsidR="0064370D" w:rsidRPr="000260CC">
        <w:rPr>
          <w:rFonts w:ascii="Calibri" w:hAnsi="Calibri" w:cs="Calibri"/>
          <w:lang w:val="en-US"/>
        </w:rPr>
        <w:t>.</w:t>
      </w:r>
    </w:p>
    <w:p w:rsidR="00D26476" w:rsidRPr="000260CC" w:rsidRDefault="004760CB" w:rsidP="0064370D">
      <w:pPr>
        <w:spacing w:after="60"/>
        <w:jc w:val="both"/>
        <w:rPr>
          <w:rFonts w:ascii="Calibri" w:hAnsi="Calibri" w:cs="Calibri"/>
          <w:bCs/>
          <w:u w:val="single"/>
          <w:lang w:val="en-US"/>
        </w:rPr>
      </w:pPr>
      <w:r w:rsidRPr="000260CC">
        <w:rPr>
          <w:rFonts w:ascii="Calibri" w:hAnsi="Calibri" w:cs="Calibri"/>
          <w:bCs/>
          <w:u w:val="single"/>
          <w:lang w:val="en-US"/>
        </w:rPr>
        <w:t xml:space="preserve">Grounds of exclusion </w:t>
      </w:r>
    </w:p>
    <w:p w:rsidR="00557C6C" w:rsidRPr="000260CC" w:rsidRDefault="00557C6C" w:rsidP="0064370D">
      <w:pPr>
        <w:spacing w:after="60"/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t>Broad list</w:t>
      </w:r>
      <w:r w:rsidRPr="000260CC">
        <w:rPr>
          <w:rFonts w:ascii="Calibri" w:hAnsi="Calibri" w:cs="Calibri"/>
          <w:lang w:val="en-US"/>
        </w:rPr>
        <w:t xml:space="preserve"> of </w:t>
      </w:r>
      <w:r w:rsidR="00556F18" w:rsidRPr="000260CC">
        <w:rPr>
          <w:rFonts w:ascii="Calibri" w:hAnsi="Calibri" w:cs="Calibri"/>
          <w:lang w:val="en-US"/>
        </w:rPr>
        <w:t xml:space="preserve">mandatory </w:t>
      </w:r>
      <w:r w:rsidRPr="000260CC">
        <w:rPr>
          <w:rFonts w:ascii="Calibri" w:hAnsi="Calibri" w:cs="Calibri"/>
          <w:lang w:val="en-US"/>
        </w:rPr>
        <w:t>exclusion grounds</w:t>
      </w:r>
      <w:r w:rsidR="00556F18" w:rsidRPr="000260CC">
        <w:rPr>
          <w:rFonts w:ascii="Calibri" w:hAnsi="Calibri" w:cs="Calibri"/>
          <w:lang w:val="en-US"/>
        </w:rPr>
        <w:t xml:space="preserve"> </w:t>
      </w:r>
      <w:r w:rsidRPr="000260CC">
        <w:rPr>
          <w:rFonts w:ascii="Calibri" w:hAnsi="Calibri" w:cs="Calibri"/>
          <w:lang w:val="en-US"/>
        </w:rPr>
        <w:t xml:space="preserve">covering both </w:t>
      </w:r>
      <w:r w:rsidRPr="000260CC">
        <w:rPr>
          <w:rFonts w:ascii="Calibri" w:hAnsi="Calibri" w:cs="Calibri"/>
          <w:b/>
          <w:lang w:val="en-US"/>
        </w:rPr>
        <w:t xml:space="preserve">integrity </w:t>
      </w:r>
      <w:r w:rsidRPr="000260CC">
        <w:rPr>
          <w:rFonts w:ascii="Calibri" w:hAnsi="Calibri" w:cs="Calibri"/>
          <w:lang w:val="en-US"/>
        </w:rPr>
        <w:t>and</w:t>
      </w:r>
      <w:r w:rsidRPr="000260CC">
        <w:rPr>
          <w:rFonts w:ascii="Calibri" w:hAnsi="Calibri" w:cs="Calibri"/>
          <w:b/>
          <w:lang w:val="en-US"/>
        </w:rPr>
        <w:t xml:space="preserve"> bad performance</w:t>
      </w:r>
      <w:r w:rsidR="00C145B8" w:rsidRPr="000260CC">
        <w:rPr>
          <w:rFonts w:ascii="Calibri" w:hAnsi="Calibri" w:cs="Calibri"/>
          <w:lang w:val="en-US"/>
        </w:rPr>
        <w:t xml:space="preserve"> (</w:t>
      </w:r>
      <w:r w:rsidR="00671F98" w:rsidRPr="000260CC">
        <w:rPr>
          <w:rFonts w:ascii="Calibri" w:hAnsi="Calibri" w:cs="Calibri"/>
          <w:lang w:val="en-US"/>
        </w:rPr>
        <w:t xml:space="preserve">inspired from </w:t>
      </w:r>
      <w:r w:rsidR="00A833CF" w:rsidRPr="000260CC">
        <w:rPr>
          <w:rFonts w:ascii="Calibri" w:hAnsi="Calibri" w:cs="Calibri"/>
          <w:lang w:val="en-US"/>
        </w:rPr>
        <w:t xml:space="preserve">the </w:t>
      </w:r>
      <w:r w:rsidR="00972DE4" w:rsidRPr="000260CC">
        <w:rPr>
          <w:rFonts w:ascii="Calibri" w:hAnsi="Calibri" w:cs="Calibri"/>
          <w:lang w:val="en-US"/>
        </w:rPr>
        <w:t xml:space="preserve">2014/24/EU </w:t>
      </w:r>
      <w:r w:rsidR="00A833CF" w:rsidRPr="000260CC">
        <w:rPr>
          <w:rFonts w:ascii="Calibri" w:hAnsi="Calibri" w:cs="Calibri"/>
          <w:lang w:val="en-US"/>
        </w:rPr>
        <w:t xml:space="preserve">Procurement </w:t>
      </w:r>
      <w:r w:rsidR="00C145B8" w:rsidRPr="000260CC">
        <w:rPr>
          <w:rFonts w:ascii="Calibri" w:hAnsi="Calibri" w:cs="Calibri"/>
          <w:lang w:val="en-US"/>
        </w:rPr>
        <w:t>Directive</w:t>
      </w:r>
      <w:r w:rsidR="00972DE4" w:rsidRPr="000260CC">
        <w:rPr>
          <w:rFonts w:ascii="Calibri" w:hAnsi="Calibri" w:cs="Calibri"/>
          <w:lang w:val="en-US"/>
        </w:rPr>
        <w:t>)</w:t>
      </w:r>
    </w:p>
    <w:p w:rsidR="00C145B8" w:rsidRPr="000260CC" w:rsidRDefault="00C145B8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t>G</w:t>
      </w:r>
      <w:r w:rsidR="00556F18" w:rsidRPr="000260CC">
        <w:rPr>
          <w:rFonts w:ascii="Calibri" w:hAnsi="Calibri" w:cs="Calibri"/>
          <w:b/>
          <w:lang w:val="en-US"/>
        </w:rPr>
        <w:t>rave professional misconduct</w:t>
      </w:r>
      <w:r w:rsidR="00556F18" w:rsidRPr="000260CC">
        <w:rPr>
          <w:rFonts w:ascii="Calibri" w:hAnsi="Calibri" w:cs="Calibri"/>
          <w:lang w:val="en-US"/>
        </w:rPr>
        <w:t xml:space="preserve">: violation of applicable laws or ethical standards of the profession, or wrongful conduct which has an impact on professional credibility where such conduct denotes wrongful intent or gross negligence, including, </w:t>
      </w:r>
      <w:r w:rsidRPr="000260CC">
        <w:rPr>
          <w:rFonts w:ascii="Calibri" w:hAnsi="Calibri" w:cs="Calibri"/>
          <w:lang w:val="en-US"/>
        </w:rPr>
        <w:t>e.g:</w:t>
      </w:r>
    </w:p>
    <w:p w:rsidR="00C145B8" w:rsidRPr="000260CC" w:rsidRDefault="00556F18" w:rsidP="0064370D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>fraudulently or negligently misr</w:t>
      </w:r>
      <w:r w:rsidR="00A55C0F" w:rsidRPr="000260CC">
        <w:rPr>
          <w:rFonts w:ascii="Calibri" w:hAnsi="Calibri" w:cs="Calibri"/>
          <w:lang w:val="en-US"/>
        </w:rPr>
        <w:t>epresenting information</w:t>
      </w:r>
      <w:r w:rsidRPr="000260CC">
        <w:rPr>
          <w:rFonts w:ascii="Calibri" w:hAnsi="Calibri" w:cs="Calibri"/>
          <w:lang w:val="en-US"/>
        </w:rPr>
        <w:t xml:space="preserve"> </w:t>
      </w:r>
      <w:r w:rsidR="00C145B8" w:rsidRPr="000260CC">
        <w:rPr>
          <w:rFonts w:ascii="Calibri" w:hAnsi="Calibri" w:cs="Calibri"/>
          <w:lang w:val="en-US"/>
        </w:rPr>
        <w:t>when applying for EU funds</w:t>
      </w:r>
    </w:p>
    <w:p w:rsidR="00C145B8" w:rsidRPr="000260CC" w:rsidRDefault="00C145B8" w:rsidP="0064370D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>agreement with other economic operators distorting competition</w:t>
      </w:r>
    </w:p>
    <w:p w:rsidR="00C145B8" w:rsidRPr="000260CC" w:rsidRDefault="00556F18" w:rsidP="0064370D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>violatin</w:t>
      </w:r>
      <w:r w:rsidR="00C145B8" w:rsidRPr="000260CC">
        <w:rPr>
          <w:rFonts w:ascii="Calibri" w:hAnsi="Calibri" w:cs="Calibri"/>
          <w:lang w:val="en-US"/>
        </w:rPr>
        <w:t>g intellectual property rights</w:t>
      </w:r>
    </w:p>
    <w:p w:rsidR="00C145B8" w:rsidRPr="000260CC" w:rsidRDefault="00B80A8E" w:rsidP="0064370D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>attempt</w:t>
      </w:r>
      <w:r w:rsidR="00556F18" w:rsidRPr="000260CC">
        <w:rPr>
          <w:rFonts w:ascii="Calibri" w:hAnsi="Calibri" w:cs="Calibri"/>
          <w:lang w:val="en-US"/>
        </w:rPr>
        <w:t xml:space="preserve"> to influence </w:t>
      </w:r>
      <w:r w:rsidR="00C145B8" w:rsidRPr="000260CC">
        <w:rPr>
          <w:rFonts w:ascii="Calibri" w:hAnsi="Calibri" w:cs="Calibri"/>
          <w:lang w:val="en-US"/>
        </w:rPr>
        <w:t>the procurement procedure</w:t>
      </w:r>
      <w:r w:rsidR="00832A16" w:rsidRPr="000260CC">
        <w:rPr>
          <w:rFonts w:ascii="Calibri" w:hAnsi="Calibri" w:cs="Calibri"/>
          <w:lang w:val="en-US"/>
        </w:rPr>
        <w:t xml:space="preserve">, obtain confidential information </w:t>
      </w:r>
    </w:p>
    <w:p w:rsidR="00556F18" w:rsidRPr="000260CC" w:rsidRDefault="00556F18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t>fraud</w:t>
      </w:r>
      <w:r w:rsidRPr="000260CC">
        <w:rPr>
          <w:rFonts w:ascii="Calibri" w:hAnsi="Calibri" w:cs="Calibri"/>
          <w:lang w:val="en-US"/>
        </w:rPr>
        <w:t xml:space="preserve">, </w:t>
      </w:r>
      <w:r w:rsidRPr="000260CC">
        <w:rPr>
          <w:rFonts w:ascii="Calibri" w:hAnsi="Calibri" w:cs="Calibri"/>
          <w:b/>
          <w:lang w:val="en-US"/>
        </w:rPr>
        <w:t>corruption</w:t>
      </w:r>
      <w:r w:rsidRPr="000260CC">
        <w:rPr>
          <w:rFonts w:ascii="Calibri" w:hAnsi="Calibri" w:cs="Calibri"/>
          <w:lang w:val="en-US"/>
        </w:rPr>
        <w:t xml:space="preserve">, </w:t>
      </w:r>
      <w:r w:rsidR="00C145B8" w:rsidRPr="000260CC">
        <w:rPr>
          <w:rFonts w:ascii="Calibri" w:hAnsi="Calibri" w:cs="Calibri"/>
          <w:lang w:val="en-US"/>
        </w:rPr>
        <w:t xml:space="preserve">other forms of </w:t>
      </w:r>
      <w:r w:rsidR="00C145B8" w:rsidRPr="000260CC">
        <w:rPr>
          <w:rFonts w:ascii="Calibri" w:hAnsi="Calibri" w:cs="Calibri"/>
          <w:b/>
          <w:lang w:val="en-US"/>
        </w:rPr>
        <w:t xml:space="preserve">criminal behaviors </w:t>
      </w:r>
    </w:p>
    <w:p w:rsidR="00556F18" w:rsidRPr="000260CC" w:rsidRDefault="00C145B8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t>serious breach of contract</w:t>
      </w:r>
      <w:r w:rsidR="00832A16" w:rsidRPr="000260CC">
        <w:rPr>
          <w:rFonts w:ascii="Calibri" w:hAnsi="Calibri" w:cs="Calibri"/>
          <w:lang w:val="en-US"/>
        </w:rPr>
        <w:t xml:space="preserve"> (bad performance)</w:t>
      </w:r>
    </w:p>
    <w:p w:rsidR="00556F18" w:rsidRPr="000260CC" w:rsidRDefault="00556F18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t>irregularity</w:t>
      </w:r>
      <w:r w:rsidR="000321E8" w:rsidRPr="000260CC">
        <w:rPr>
          <w:rFonts w:ascii="Calibri" w:hAnsi="Calibri" w:cs="Calibri"/>
          <w:lang w:val="en-US"/>
        </w:rPr>
        <w:t xml:space="preserve">: </w:t>
      </w:r>
      <w:r w:rsidRPr="000260CC">
        <w:rPr>
          <w:rFonts w:ascii="Calibri" w:hAnsi="Calibri" w:cs="Calibri"/>
          <w:lang w:val="en-US"/>
        </w:rPr>
        <w:t xml:space="preserve">any infringement of Community law </w:t>
      </w:r>
      <w:r w:rsidR="000321E8" w:rsidRPr="000260CC">
        <w:rPr>
          <w:rFonts w:ascii="Calibri" w:hAnsi="Calibri" w:cs="Calibri"/>
          <w:lang w:val="en-US"/>
        </w:rPr>
        <w:t>prejudicing the EU budget</w:t>
      </w:r>
    </w:p>
    <w:p w:rsidR="00556F18" w:rsidRPr="000260CC" w:rsidRDefault="00972DE4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t>letter box company</w:t>
      </w:r>
      <w:r w:rsidRPr="000260CC">
        <w:rPr>
          <w:rFonts w:ascii="Calibri" w:hAnsi="Calibri" w:cs="Calibri"/>
          <w:lang w:val="en-US"/>
        </w:rPr>
        <w:t xml:space="preserve"> </w:t>
      </w:r>
      <w:r w:rsidR="00E2452A" w:rsidRPr="000260CC">
        <w:rPr>
          <w:rFonts w:ascii="Calibri" w:hAnsi="Calibri" w:cs="Calibri"/>
          <w:lang w:val="en-US"/>
        </w:rPr>
        <w:t>(new)</w:t>
      </w:r>
      <w:r w:rsidRPr="000260CC">
        <w:rPr>
          <w:rFonts w:ascii="Calibri" w:hAnsi="Calibri" w:cs="Calibri"/>
          <w:lang w:val="en-US"/>
        </w:rPr>
        <w:t>:</w:t>
      </w:r>
      <w:r w:rsidR="00E2452A" w:rsidRPr="000260CC">
        <w:rPr>
          <w:rFonts w:ascii="Calibri" w:hAnsi="Calibri" w:cs="Calibri"/>
          <w:lang w:val="en-US"/>
        </w:rPr>
        <w:t xml:space="preserve"> </w:t>
      </w:r>
      <w:r w:rsidR="00556F18" w:rsidRPr="000260CC">
        <w:rPr>
          <w:rFonts w:ascii="Calibri" w:hAnsi="Calibri" w:cs="Calibri"/>
          <w:lang w:val="en-US"/>
        </w:rPr>
        <w:t xml:space="preserve">creation of an entity </w:t>
      </w:r>
      <w:r w:rsidRPr="000260CC">
        <w:rPr>
          <w:rFonts w:ascii="Calibri" w:hAnsi="Calibri" w:cs="Calibri"/>
          <w:lang w:val="en-US"/>
        </w:rPr>
        <w:t xml:space="preserve">to </w:t>
      </w:r>
      <w:r w:rsidR="00556F18" w:rsidRPr="000260CC">
        <w:rPr>
          <w:rFonts w:ascii="Calibri" w:hAnsi="Calibri" w:cs="Calibri"/>
          <w:lang w:val="en-US"/>
        </w:rPr>
        <w:t>circumvent</w:t>
      </w:r>
      <w:r w:rsidRPr="000260CC">
        <w:rPr>
          <w:rFonts w:ascii="Calibri" w:hAnsi="Calibri" w:cs="Calibri"/>
          <w:lang w:val="en-US"/>
        </w:rPr>
        <w:t>ing fiscal or social obligations</w:t>
      </w:r>
    </w:p>
    <w:p w:rsidR="00556F18" w:rsidRPr="000260CC" w:rsidRDefault="00556F18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 xml:space="preserve">non-payment of </w:t>
      </w:r>
      <w:r w:rsidRPr="000260CC">
        <w:rPr>
          <w:rFonts w:ascii="Calibri" w:hAnsi="Calibri" w:cs="Calibri"/>
          <w:b/>
          <w:lang w:val="en-US"/>
        </w:rPr>
        <w:t>taxes</w:t>
      </w:r>
      <w:r w:rsidRPr="000260CC">
        <w:rPr>
          <w:rFonts w:ascii="Calibri" w:hAnsi="Calibri" w:cs="Calibri"/>
          <w:lang w:val="en-US"/>
        </w:rPr>
        <w:t xml:space="preserve"> o</w:t>
      </w:r>
      <w:r w:rsidR="00832A16" w:rsidRPr="000260CC">
        <w:rPr>
          <w:rFonts w:ascii="Calibri" w:hAnsi="Calibri" w:cs="Calibri"/>
          <w:lang w:val="en-US"/>
        </w:rPr>
        <w:t xml:space="preserve">r </w:t>
      </w:r>
      <w:r w:rsidR="00832A16" w:rsidRPr="000260CC">
        <w:rPr>
          <w:rFonts w:ascii="Calibri" w:hAnsi="Calibri" w:cs="Calibri"/>
          <w:b/>
          <w:lang w:val="en-US"/>
        </w:rPr>
        <w:t>social security contributions</w:t>
      </w:r>
    </w:p>
    <w:p w:rsidR="00556F18" w:rsidRPr="000260CC" w:rsidRDefault="00556F18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t>bankruptcy</w:t>
      </w:r>
      <w:r w:rsidRPr="000260CC">
        <w:rPr>
          <w:rFonts w:ascii="Calibri" w:hAnsi="Calibri" w:cs="Calibri"/>
          <w:lang w:val="en-US"/>
        </w:rPr>
        <w:t xml:space="preserve"> and similar situations (insolvency) </w:t>
      </w:r>
    </w:p>
    <w:p w:rsidR="000321E8" w:rsidRPr="000260CC" w:rsidRDefault="000321E8" w:rsidP="0064370D">
      <w:pPr>
        <w:spacing w:after="60"/>
        <w:jc w:val="both"/>
        <w:rPr>
          <w:rFonts w:ascii="Calibri" w:hAnsi="Calibri" w:cs="Calibri"/>
          <w:bCs/>
          <w:u w:val="single"/>
          <w:lang w:val="en-US"/>
        </w:rPr>
      </w:pPr>
      <w:r w:rsidRPr="000260CC">
        <w:rPr>
          <w:rFonts w:ascii="Calibri" w:hAnsi="Calibri" w:cs="Calibri"/>
          <w:bCs/>
          <w:u w:val="single"/>
          <w:lang w:val="en-US"/>
        </w:rPr>
        <w:t xml:space="preserve">Sources of information </w:t>
      </w:r>
    </w:p>
    <w:p w:rsidR="000321E8" w:rsidRPr="000260CC" w:rsidRDefault="001D586D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t>F</w:t>
      </w:r>
      <w:r w:rsidR="000321E8" w:rsidRPr="000260CC">
        <w:rPr>
          <w:rFonts w:ascii="Calibri" w:hAnsi="Calibri" w:cs="Calibri"/>
          <w:b/>
          <w:lang w:val="en-US"/>
        </w:rPr>
        <w:t>inal</w:t>
      </w:r>
      <w:r w:rsidR="000321E8" w:rsidRPr="000260CC">
        <w:rPr>
          <w:rFonts w:ascii="Calibri" w:hAnsi="Calibri" w:cs="Calibri"/>
          <w:lang w:val="en-US"/>
        </w:rPr>
        <w:t xml:space="preserve"> </w:t>
      </w:r>
      <w:r w:rsidR="00972DE4" w:rsidRPr="000260CC">
        <w:rPr>
          <w:rFonts w:ascii="Calibri" w:hAnsi="Calibri" w:cs="Calibri"/>
          <w:lang w:val="en-US"/>
        </w:rPr>
        <w:t xml:space="preserve">and </w:t>
      </w:r>
      <w:r w:rsidR="00972DE4" w:rsidRPr="000260CC">
        <w:rPr>
          <w:rFonts w:ascii="Calibri" w:hAnsi="Calibri" w:cs="Calibri"/>
          <w:b/>
          <w:lang w:val="en-US"/>
        </w:rPr>
        <w:t xml:space="preserve">non-final </w:t>
      </w:r>
      <w:r w:rsidR="000321E8" w:rsidRPr="000260CC">
        <w:rPr>
          <w:rFonts w:ascii="Calibri" w:hAnsi="Calibri" w:cs="Calibri"/>
          <w:lang w:val="en-US"/>
        </w:rPr>
        <w:t xml:space="preserve">judgment or </w:t>
      </w:r>
      <w:r w:rsidR="00771C68" w:rsidRPr="000260CC">
        <w:rPr>
          <w:rFonts w:ascii="Calibri" w:hAnsi="Calibri" w:cs="Calibri"/>
          <w:lang w:val="en-US"/>
        </w:rPr>
        <w:t>administrative decisions</w:t>
      </w:r>
      <w:r w:rsidR="00972DE4" w:rsidRPr="000260CC">
        <w:rPr>
          <w:rFonts w:ascii="Calibri" w:hAnsi="Calibri" w:cs="Calibri"/>
          <w:lang w:val="en-US"/>
        </w:rPr>
        <w:t xml:space="preserve"> of a Member State</w:t>
      </w:r>
    </w:p>
    <w:p w:rsidR="000321E8" w:rsidRPr="000260CC" w:rsidRDefault="001D586D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t>F</w:t>
      </w:r>
      <w:r w:rsidR="000321E8" w:rsidRPr="000260CC">
        <w:rPr>
          <w:rFonts w:ascii="Calibri" w:hAnsi="Calibri" w:cs="Calibri"/>
          <w:b/>
          <w:lang w:val="en-US"/>
        </w:rPr>
        <w:t xml:space="preserve">acts and findings from the Anti-fraud </w:t>
      </w:r>
      <w:r w:rsidR="007E29C6">
        <w:rPr>
          <w:rFonts w:ascii="Calibri" w:hAnsi="Calibri" w:cs="Calibri"/>
          <w:b/>
          <w:lang w:val="en-US"/>
        </w:rPr>
        <w:t>O</w:t>
      </w:r>
      <w:r w:rsidR="000321E8" w:rsidRPr="000260CC">
        <w:rPr>
          <w:rFonts w:ascii="Calibri" w:hAnsi="Calibri" w:cs="Calibri"/>
          <w:b/>
          <w:lang w:val="en-US"/>
        </w:rPr>
        <w:t>ffice</w:t>
      </w:r>
      <w:r w:rsidR="000321E8" w:rsidRPr="000260CC">
        <w:rPr>
          <w:rFonts w:ascii="Calibri" w:hAnsi="Calibri" w:cs="Calibri"/>
          <w:lang w:val="en-US"/>
        </w:rPr>
        <w:t xml:space="preserve"> of the Commission (OLAF), </w:t>
      </w:r>
      <w:r w:rsidR="000321E8" w:rsidRPr="000260CC">
        <w:rPr>
          <w:rFonts w:ascii="Calibri" w:hAnsi="Calibri" w:cs="Calibri"/>
          <w:b/>
          <w:lang w:val="en-US"/>
        </w:rPr>
        <w:t>Court of Auditors,</w:t>
      </w:r>
      <w:r w:rsidR="000321E8" w:rsidRPr="000260CC">
        <w:rPr>
          <w:rFonts w:ascii="Calibri" w:hAnsi="Calibri" w:cs="Calibri"/>
          <w:lang w:val="en-US"/>
        </w:rPr>
        <w:t xml:space="preserve"> </w:t>
      </w:r>
      <w:r w:rsidR="000321E8" w:rsidRPr="000260CC">
        <w:rPr>
          <w:rFonts w:ascii="Calibri" w:hAnsi="Calibri" w:cs="Calibri"/>
          <w:b/>
          <w:lang w:val="en-US"/>
        </w:rPr>
        <w:t>audits</w:t>
      </w:r>
      <w:r w:rsidR="000321E8" w:rsidRPr="000260CC">
        <w:rPr>
          <w:rFonts w:ascii="Calibri" w:hAnsi="Calibri" w:cs="Calibri"/>
          <w:lang w:val="en-US"/>
        </w:rPr>
        <w:t xml:space="preserve"> or any other check</w:t>
      </w:r>
      <w:r w:rsidR="007E29C6">
        <w:rPr>
          <w:rFonts w:ascii="Calibri" w:hAnsi="Calibri" w:cs="Calibri"/>
          <w:lang w:val="en-US"/>
        </w:rPr>
        <w:t>s</w:t>
      </w:r>
      <w:r w:rsidR="000321E8" w:rsidRPr="000260CC">
        <w:rPr>
          <w:rFonts w:ascii="Calibri" w:hAnsi="Calibri" w:cs="Calibri"/>
          <w:lang w:val="en-US"/>
        </w:rPr>
        <w:t xml:space="preserve"> or control</w:t>
      </w:r>
      <w:r w:rsidR="007E29C6">
        <w:rPr>
          <w:rFonts w:ascii="Calibri" w:hAnsi="Calibri" w:cs="Calibri"/>
          <w:lang w:val="en-US"/>
        </w:rPr>
        <w:t>s</w:t>
      </w:r>
      <w:r w:rsidR="000321E8" w:rsidRPr="000260CC">
        <w:rPr>
          <w:rFonts w:ascii="Calibri" w:hAnsi="Calibri" w:cs="Calibri"/>
          <w:lang w:val="en-US"/>
        </w:rPr>
        <w:t xml:space="preserve"> performed by the </w:t>
      </w:r>
      <w:r w:rsidR="000321E8" w:rsidRPr="000260CC">
        <w:rPr>
          <w:rFonts w:ascii="Calibri" w:hAnsi="Calibri" w:cs="Calibri"/>
          <w:b/>
          <w:lang w:val="en-US"/>
        </w:rPr>
        <w:t xml:space="preserve">EU </w:t>
      </w:r>
      <w:r w:rsidRPr="000260CC">
        <w:rPr>
          <w:rFonts w:ascii="Calibri" w:hAnsi="Calibri" w:cs="Calibri"/>
          <w:b/>
          <w:lang w:val="en-US"/>
        </w:rPr>
        <w:t>Institutions</w:t>
      </w:r>
      <w:r w:rsidRPr="000260CC">
        <w:rPr>
          <w:rFonts w:ascii="Calibri" w:hAnsi="Calibri" w:cs="Calibri"/>
          <w:lang w:val="en-US"/>
        </w:rPr>
        <w:t>, bodies and agencies</w:t>
      </w:r>
    </w:p>
    <w:p w:rsidR="00B80A8E" w:rsidRPr="000260CC" w:rsidRDefault="00B80A8E" w:rsidP="00FE2C5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t>EPPO</w:t>
      </w:r>
      <w:r w:rsidRPr="000260CC">
        <w:rPr>
          <w:rFonts w:ascii="Calibri" w:hAnsi="Calibri" w:cs="Calibri"/>
          <w:lang w:val="en-US"/>
        </w:rPr>
        <w:t xml:space="preserve"> (European Public Prosecutor Office) </w:t>
      </w:r>
      <w:r w:rsidRPr="000260CC">
        <w:rPr>
          <w:rFonts w:ascii="Calibri" w:hAnsi="Calibri" w:cs="Calibri"/>
          <w:b/>
          <w:lang w:val="en-US"/>
        </w:rPr>
        <w:t>findings</w:t>
      </w:r>
      <w:r w:rsidRPr="000260CC">
        <w:rPr>
          <w:rFonts w:ascii="Calibri" w:hAnsi="Calibri" w:cs="Calibri"/>
          <w:lang w:val="en-US"/>
        </w:rPr>
        <w:t xml:space="preserve"> </w:t>
      </w:r>
      <w:r w:rsidR="00FE2C5F">
        <w:rPr>
          <w:rFonts w:ascii="Calibri" w:hAnsi="Calibri" w:cs="Calibri"/>
          <w:lang w:val="en-US"/>
        </w:rPr>
        <w:t>(</w:t>
      </w:r>
      <w:r w:rsidR="00FE2C5F" w:rsidRPr="00FE2C5F">
        <w:rPr>
          <w:rFonts w:ascii="Calibri" w:hAnsi="Calibri" w:cs="Calibri"/>
          <w:lang w:val="en-US"/>
        </w:rPr>
        <w:t>the EPPO is envisaged to take up its functions by the end of 2020</w:t>
      </w:r>
      <w:r w:rsidR="00FE2C5F">
        <w:rPr>
          <w:rFonts w:ascii="Calibri" w:hAnsi="Calibri" w:cs="Calibri"/>
          <w:lang w:val="en-US"/>
        </w:rPr>
        <w:t>)</w:t>
      </w:r>
    </w:p>
    <w:p w:rsidR="000321E8" w:rsidRPr="000260CC" w:rsidRDefault="001D586D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lastRenderedPageBreak/>
        <w:t>Judgments</w:t>
      </w:r>
      <w:r w:rsidRPr="000260CC">
        <w:rPr>
          <w:rFonts w:ascii="Calibri" w:hAnsi="Calibri" w:cs="Calibri"/>
          <w:lang w:val="en-US"/>
        </w:rPr>
        <w:t xml:space="preserve"> </w:t>
      </w:r>
      <w:r w:rsidR="0064370D" w:rsidRPr="000260CC">
        <w:rPr>
          <w:rFonts w:ascii="Calibri" w:hAnsi="Calibri" w:cs="Calibri"/>
          <w:lang w:val="en-US"/>
        </w:rPr>
        <w:t>of third countries</w:t>
      </w:r>
      <w:r w:rsidR="00972DE4" w:rsidRPr="000260CC">
        <w:rPr>
          <w:rFonts w:ascii="Calibri" w:hAnsi="Calibri" w:cs="Calibri"/>
          <w:lang w:val="en-US"/>
        </w:rPr>
        <w:t xml:space="preserve"> and </w:t>
      </w:r>
      <w:r w:rsidR="00972DE4" w:rsidRPr="000260CC">
        <w:rPr>
          <w:rFonts w:ascii="Calibri" w:hAnsi="Calibri" w:cs="Calibri"/>
          <w:b/>
          <w:lang w:val="en-US"/>
        </w:rPr>
        <w:t>d</w:t>
      </w:r>
      <w:r w:rsidR="000321E8" w:rsidRPr="000260CC">
        <w:rPr>
          <w:rFonts w:ascii="Calibri" w:hAnsi="Calibri" w:cs="Calibri"/>
          <w:b/>
          <w:lang w:val="en-US"/>
        </w:rPr>
        <w:t>ecisions</w:t>
      </w:r>
      <w:r w:rsidR="000321E8" w:rsidRPr="000260CC">
        <w:rPr>
          <w:rFonts w:ascii="Calibri" w:hAnsi="Calibri" w:cs="Calibri"/>
          <w:lang w:val="en-US"/>
        </w:rPr>
        <w:t xml:space="preserve"> of other </w:t>
      </w:r>
      <w:r w:rsidR="006F30A4" w:rsidRPr="000260CC">
        <w:rPr>
          <w:rFonts w:ascii="Calibri" w:hAnsi="Calibri" w:cs="Calibri"/>
          <w:lang w:val="en-US"/>
        </w:rPr>
        <w:t xml:space="preserve">International Organisations </w:t>
      </w:r>
      <w:r w:rsidR="00796969" w:rsidRPr="000260CC">
        <w:rPr>
          <w:rFonts w:ascii="Calibri" w:hAnsi="Calibri" w:cs="Calibri"/>
          <w:lang w:val="en-US"/>
        </w:rPr>
        <w:t>(</w:t>
      </w:r>
      <w:r w:rsidR="00771C68" w:rsidRPr="000260CC">
        <w:rPr>
          <w:rFonts w:ascii="Calibri" w:hAnsi="Calibri" w:cs="Calibri"/>
          <w:lang w:val="en-US"/>
        </w:rPr>
        <w:t>as facts</w:t>
      </w:r>
      <w:r w:rsidR="00796969" w:rsidRPr="000260CC">
        <w:rPr>
          <w:rFonts w:ascii="Calibri" w:hAnsi="Calibri" w:cs="Calibri"/>
          <w:lang w:val="en-US"/>
        </w:rPr>
        <w:t>)</w:t>
      </w:r>
    </w:p>
    <w:p w:rsidR="000321E8" w:rsidRPr="000260CC" w:rsidRDefault="001D586D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t>F</w:t>
      </w:r>
      <w:r w:rsidR="000321E8" w:rsidRPr="000260CC">
        <w:rPr>
          <w:rFonts w:ascii="Calibri" w:hAnsi="Calibri" w:cs="Calibri"/>
          <w:b/>
          <w:lang w:val="en-US"/>
        </w:rPr>
        <w:t>raud</w:t>
      </w:r>
      <w:r w:rsidR="000321E8" w:rsidRPr="000260CC">
        <w:rPr>
          <w:rFonts w:ascii="Calibri" w:hAnsi="Calibri" w:cs="Calibri"/>
          <w:lang w:val="en-US"/>
        </w:rPr>
        <w:t xml:space="preserve"> or </w:t>
      </w:r>
      <w:r w:rsidR="000321E8" w:rsidRPr="000260CC">
        <w:rPr>
          <w:rFonts w:ascii="Calibri" w:hAnsi="Calibri" w:cs="Calibri"/>
          <w:b/>
          <w:lang w:val="en-US"/>
        </w:rPr>
        <w:t>irregularity</w:t>
      </w:r>
      <w:r w:rsidR="000321E8" w:rsidRPr="000260CC">
        <w:rPr>
          <w:rFonts w:ascii="Calibri" w:hAnsi="Calibri" w:cs="Calibri"/>
          <w:lang w:val="en-US"/>
        </w:rPr>
        <w:t xml:space="preserve"> notified by other partners implementing the EU budget</w:t>
      </w:r>
      <w:r w:rsidR="00A55C0F" w:rsidRPr="000260CC">
        <w:rPr>
          <w:rFonts w:ascii="Calibri" w:hAnsi="Calibri" w:cs="Calibri"/>
          <w:lang w:val="en-US"/>
        </w:rPr>
        <w:t xml:space="preserve"> (Member States, other Internationa</w:t>
      </w:r>
      <w:r w:rsidR="00972DE4" w:rsidRPr="000260CC">
        <w:rPr>
          <w:rFonts w:ascii="Calibri" w:hAnsi="Calibri" w:cs="Calibri"/>
          <w:lang w:val="en-US"/>
        </w:rPr>
        <w:t>l Organisations such as the Worl</w:t>
      </w:r>
      <w:r w:rsidR="0064370D" w:rsidRPr="000260CC">
        <w:rPr>
          <w:rFonts w:ascii="Calibri" w:hAnsi="Calibri" w:cs="Calibri"/>
          <w:lang w:val="en-US"/>
        </w:rPr>
        <w:t>d bank, third</w:t>
      </w:r>
      <w:r w:rsidR="00A55C0F" w:rsidRPr="000260CC">
        <w:rPr>
          <w:rFonts w:ascii="Calibri" w:hAnsi="Calibri" w:cs="Calibri"/>
          <w:lang w:val="en-US"/>
        </w:rPr>
        <w:t xml:space="preserve"> countries, etc.)</w:t>
      </w:r>
    </w:p>
    <w:p w:rsidR="00B80A8E" w:rsidRPr="000260CC" w:rsidRDefault="00B80A8E" w:rsidP="0064370D">
      <w:pPr>
        <w:spacing w:after="60"/>
        <w:jc w:val="both"/>
        <w:rPr>
          <w:rFonts w:ascii="Calibri" w:hAnsi="Calibri" w:cs="Calibri"/>
          <w:bCs/>
          <w:u w:val="single"/>
          <w:lang w:val="en-US"/>
        </w:rPr>
      </w:pPr>
      <w:r w:rsidRPr="000260CC">
        <w:rPr>
          <w:rFonts w:ascii="Calibri" w:hAnsi="Calibri" w:cs="Calibri"/>
          <w:bCs/>
          <w:u w:val="single"/>
          <w:lang w:val="en-US"/>
        </w:rPr>
        <w:t xml:space="preserve">Remedial measures – self cleaning </w:t>
      </w:r>
    </w:p>
    <w:p w:rsidR="00972DE4" w:rsidRPr="000260CC" w:rsidRDefault="00B80A8E" w:rsidP="0064370D">
      <w:pPr>
        <w:spacing w:after="0" w:line="240" w:lineRule="auto"/>
        <w:jc w:val="both"/>
        <w:rPr>
          <w:rFonts w:ascii="Calibri" w:hAnsi="Calibri" w:cs="Calibri"/>
          <w:lang w:val="en-GB"/>
        </w:rPr>
      </w:pPr>
      <w:r w:rsidRPr="000260CC">
        <w:rPr>
          <w:rFonts w:ascii="Calibri" w:hAnsi="Calibri" w:cs="Calibri"/>
          <w:b/>
          <w:lang w:val="en-US"/>
        </w:rPr>
        <w:t>No exclusion</w:t>
      </w:r>
      <w:r w:rsidRPr="000260CC">
        <w:rPr>
          <w:rFonts w:ascii="Calibri" w:hAnsi="Calibri" w:cs="Calibri"/>
          <w:lang w:val="en-US"/>
        </w:rPr>
        <w:t xml:space="preserve"> where the economic operator has taken </w:t>
      </w:r>
      <w:r w:rsidRPr="000260CC">
        <w:rPr>
          <w:rFonts w:ascii="Calibri" w:hAnsi="Calibri" w:cs="Calibri"/>
          <w:b/>
          <w:lang w:val="en-US"/>
        </w:rPr>
        <w:t>remedial measures</w:t>
      </w:r>
      <w:r w:rsidRPr="000260CC">
        <w:rPr>
          <w:rFonts w:ascii="Calibri" w:hAnsi="Calibri" w:cs="Calibri"/>
          <w:lang w:val="en-US"/>
        </w:rPr>
        <w:t xml:space="preserve"> sufficient to correct the situation (except in the case of fraud):</w:t>
      </w:r>
    </w:p>
    <w:p w:rsidR="009342A6" w:rsidRPr="000260CC" w:rsidRDefault="00972DE4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GB"/>
        </w:rPr>
        <w:t>concr</w:t>
      </w:r>
      <w:r w:rsidRPr="000260CC">
        <w:rPr>
          <w:rFonts w:ascii="Calibri" w:hAnsi="Calibri" w:cs="Calibri"/>
          <w:lang w:val="en-US"/>
        </w:rPr>
        <w:t>e</w:t>
      </w:r>
      <w:r w:rsidR="00552FCF" w:rsidRPr="000260CC">
        <w:rPr>
          <w:rFonts w:ascii="Calibri" w:hAnsi="Calibri" w:cs="Calibri"/>
          <w:lang w:val="en-US"/>
        </w:rPr>
        <w:t>te</w:t>
      </w:r>
      <w:r w:rsidRPr="000260CC">
        <w:rPr>
          <w:rFonts w:ascii="Calibri" w:hAnsi="Calibri" w:cs="Calibri"/>
          <w:lang w:val="en-US"/>
        </w:rPr>
        <w:t xml:space="preserve"> technical, organisational and personnel measures to correct the conduct</w:t>
      </w:r>
    </w:p>
    <w:p w:rsidR="009342A6" w:rsidRPr="000260CC" w:rsidRDefault="009342A6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>measures to compensate or redress the damage or harm caused to the Union's budget</w:t>
      </w:r>
    </w:p>
    <w:p w:rsidR="009342A6" w:rsidRPr="000260CC" w:rsidRDefault="009342A6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>payment of any fine imposed by the competent authority</w:t>
      </w:r>
    </w:p>
    <w:p w:rsidR="009342A6" w:rsidRPr="000260CC" w:rsidRDefault="009342A6" w:rsidP="0064370D">
      <w:pPr>
        <w:spacing w:after="60"/>
        <w:jc w:val="both"/>
        <w:rPr>
          <w:rFonts w:ascii="Calibri" w:hAnsi="Calibri" w:cs="Calibri"/>
          <w:bCs/>
          <w:u w:val="single"/>
          <w:lang w:val="en-US"/>
        </w:rPr>
      </w:pPr>
      <w:r w:rsidRPr="000260CC">
        <w:rPr>
          <w:rFonts w:ascii="Calibri" w:hAnsi="Calibri" w:cs="Calibri"/>
          <w:bCs/>
          <w:u w:val="single"/>
          <w:lang w:val="en-US"/>
        </w:rPr>
        <w:t xml:space="preserve">Proportionality principle – mitigating/aggravating circumstances </w:t>
      </w:r>
    </w:p>
    <w:p w:rsidR="009342A6" w:rsidRPr="000260CC" w:rsidRDefault="009342A6" w:rsidP="0064370D">
      <w:pPr>
        <w:spacing w:after="0" w:line="240" w:lineRule="auto"/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t>Duration</w:t>
      </w:r>
      <w:r w:rsidRPr="000260CC">
        <w:rPr>
          <w:rFonts w:ascii="Calibri" w:hAnsi="Calibri" w:cs="Calibri"/>
          <w:lang w:val="en-US"/>
        </w:rPr>
        <w:t xml:space="preserve"> of the exclusion, </w:t>
      </w:r>
      <w:r w:rsidRPr="000260CC">
        <w:rPr>
          <w:rFonts w:ascii="Calibri" w:hAnsi="Calibri" w:cs="Calibri"/>
          <w:b/>
          <w:lang w:val="en-US"/>
        </w:rPr>
        <w:t>amount</w:t>
      </w:r>
      <w:r w:rsidRPr="000260CC">
        <w:rPr>
          <w:rFonts w:ascii="Calibri" w:hAnsi="Calibri" w:cs="Calibri"/>
          <w:lang w:val="en-US"/>
        </w:rPr>
        <w:t xml:space="preserve"> of the financial penalty or </w:t>
      </w:r>
      <w:r w:rsidRPr="000260CC">
        <w:rPr>
          <w:rFonts w:ascii="Calibri" w:hAnsi="Calibri" w:cs="Calibri"/>
          <w:b/>
          <w:lang w:val="en-US"/>
        </w:rPr>
        <w:t>need for publication</w:t>
      </w:r>
      <w:r w:rsidRPr="000260CC">
        <w:rPr>
          <w:rFonts w:ascii="Calibri" w:hAnsi="Calibri" w:cs="Calibri"/>
          <w:lang w:val="en-US"/>
        </w:rPr>
        <w:t xml:space="preserve"> depend on</w:t>
      </w:r>
    </w:p>
    <w:p w:rsidR="009342A6" w:rsidRPr="000260CC" w:rsidRDefault="009342A6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 xml:space="preserve">seriousness of the situation, including the impact on the financial interests </w:t>
      </w:r>
    </w:p>
    <w:p w:rsidR="009342A6" w:rsidRPr="000260CC" w:rsidRDefault="009342A6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 xml:space="preserve">time elapsed since the conduct, duration of the conduct and recurrence </w:t>
      </w:r>
    </w:p>
    <w:p w:rsidR="009342A6" w:rsidRPr="000260CC" w:rsidRDefault="009342A6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 xml:space="preserve">intentionality or degree of negligence </w:t>
      </w:r>
    </w:p>
    <w:p w:rsidR="009342A6" w:rsidRPr="000260CC" w:rsidRDefault="009342A6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>degree of collaboration of the economic</w:t>
      </w:r>
      <w:r w:rsidR="001B5304">
        <w:rPr>
          <w:rFonts w:ascii="Calibri" w:hAnsi="Calibri" w:cs="Calibri"/>
          <w:lang w:val="en-US"/>
        </w:rPr>
        <w:t xml:space="preserve"> operator in the investigation</w:t>
      </w:r>
    </w:p>
    <w:p w:rsidR="009342A6" w:rsidRPr="000260CC" w:rsidRDefault="009342A6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 xml:space="preserve">disclosure of the exclusion situation </w:t>
      </w:r>
    </w:p>
    <w:p w:rsidR="00556F18" w:rsidRPr="000260CC" w:rsidRDefault="00972DE4" w:rsidP="0064370D">
      <w:pPr>
        <w:spacing w:after="60"/>
        <w:jc w:val="both"/>
        <w:rPr>
          <w:rFonts w:ascii="Calibri" w:hAnsi="Calibri" w:cs="Calibri"/>
          <w:bCs/>
          <w:u w:val="single"/>
          <w:lang w:val="en-US"/>
        </w:rPr>
      </w:pPr>
      <w:r w:rsidRPr="000260CC">
        <w:rPr>
          <w:rFonts w:ascii="Calibri" w:hAnsi="Calibri" w:cs="Calibri"/>
          <w:bCs/>
          <w:u w:val="single"/>
          <w:lang w:val="en-US"/>
        </w:rPr>
        <w:t>E</w:t>
      </w:r>
      <w:r w:rsidR="00C770C0" w:rsidRPr="000260CC">
        <w:rPr>
          <w:rFonts w:ascii="Calibri" w:hAnsi="Calibri" w:cs="Calibri"/>
          <w:bCs/>
          <w:u w:val="single"/>
          <w:lang w:val="en-US"/>
        </w:rPr>
        <w:t xml:space="preserve">xclusion procedure </w:t>
      </w:r>
    </w:p>
    <w:p w:rsidR="009342A6" w:rsidRPr="000260CC" w:rsidRDefault="00A7258E" w:rsidP="0064370D">
      <w:pPr>
        <w:spacing w:after="0" w:line="240" w:lineRule="auto"/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>Obligation to refer</w:t>
      </w:r>
      <w:r w:rsidR="008B0E3F" w:rsidRPr="000260CC">
        <w:rPr>
          <w:rFonts w:ascii="Calibri" w:hAnsi="Calibri" w:cs="Calibri"/>
          <w:lang w:val="en-US"/>
        </w:rPr>
        <w:t xml:space="preserve"> the case to </w:t>
      </w:r>
      <w:r w:rsidRPr="000260CC">
        <w:rPr>
          <w:rFonts w:ascii="Calibri" w:hAnsi="Calibri" w:cs="Calibri"/>
          <w:b/>
          <w:lang w:val="en-US"/>
        </w:rPr>
        <w:t>a high-level</w:t>
      </w:r>
      <w:r w:rsidR="0047382F" w:rsidRPr="000260CC">
        <w:rPr>
          <w:rFonts w:ascii="Calibri" w:hAnsi="Calibri" w:cs="Calibri"/>
          <w:b/>
          <w:lang w:val="en-US"/>
        </w:rPr>
        <w:t xml:space="preserve"> </w:t>
      </w:r>
      <w:r w:rsidRPr="000260CC">
        <w:rPr>
          <w:rFonts w:ascii="Calibri" w:hAnsi="Calibri" w:cs="Calibri"/>
          <w:b/>
          <w:lang w:val="en-US"/>
        </w:rPr>
        <w:t>inter-institutional Panel</w:t>
      </w:r>
      <w:r w:rsidRPr="000260CC">
        <w:rPr>
          <w:rFonts w:ascii="Calibri" w:hAnsi="Calibri" w:cs="Calibri"/>
          <w:lang w:val="en-US"/>
        </w:rPr>
        <w:t xml:space="preserve"> (independent Chair) in charge of the </w:t>
      </w:r>
      <w:r w:rsidRPr="000260CC">
        <w:rPr>
          <w:rFonts w:ascii="Calibri" w:hAnsi="Calibri" w:cs="Calibri"/>
          <w:b/>
          <w:lang w:val="en-US"/>
        </w:rPr>
        <w:t>adversarial procedure</w:t>
      </w:r>
      <w:r w:rsidRPr="000260CC">
        <w:rPr>
          <w:rFonts w:ascii="Calibri" w:hAnsi="Calibri" w:cs="Calibri"/>
          <w:lang w:val="en-US"/>
        </w:rPr>
        <w:t xml:space="preserve"> with the econo</w:t>
      </w:r>
      <w:r w:rsidR="009342A6" w:rsidRPr="000260CC">
        <w:rPr>
          <w:rFonts w:ascii="Calibri" w:hAnsi="Calibri" w:cs="Calibri"/>
          <w:lang w:val="en-US"/>
        </w:rPr>
        <w:t>mic operator (right</w:t>
      </w:r>
      <w:r w:rsidR="0047382F" w:rsidRPr="000260CC">
        <w:rPr>
          <w:rFonts w:ascii="Calibri" w:hAnsi="Calibri" w:cs="Calibri"/>
          <w:lang w:val="en-US"/>
        </w:rPr>
        <w:t>s</w:t>
      </w:r>
      <w:r w:rsidR="009342A6" w:rsidRPr="000260CC">
        <w:rPr>
          <w:rFonts w:ascii="Calibri" w:hAnsi="Calibri" w:cs="Calibri"/>
          <w:lang w:val="en-US"/>
        </w:rPr>
        <w:t xml:space="preserve"> of defense) that:</w:t>
      </w:r>
    </w:p>
    <w:p w:rsidR="009342A6" w:rsidRDefault="007C01E4" w:rsidP="006437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>acts in the absence of final judgment or final administrative decision</w:t>
      </w:r>
      <w:r w:rsidR="001D3983">
        <w:rPr>
          <w:rFonts w:ascii="Calibri" w:hAnsi="Calibri" w:cs="Calibri"/>
          <w:lang w:val="en-US"/>
        </w:rPr>
        <w:t>,</w:t>
      </w:r>
    </w:p>
    <w:p w:rsidR="001D3983" w:rsidRPr="00870C49" w:rsidRDefault="008C0703" w:rsidP="00B65CE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870C49">
        <w:rPr>
          <w:rFonts w:ascii="Calibri" w:hAnsi="Calibri" w:cs="Calibri"/>
          <w:lang w:val="en-US"/>
        </w:rPr>
        <w:t>has no investigative powers</w:t>
      </w:r>
      <w:r w:rsidR="00AE1071">
        <w:rPr>
          <w:rFonts w:ascii="Calibri" w:hAnsi="Calibri" w:cs="Calibri"/>
          <w:lang w:val="en-US"/>
        </w:rPr>
        <w:t>: the Panel</w:t>
      </w:r>
      <w:r w:rsidR="001D3983" w:rsidRPr="00870C49">
        <w:rPr>
          <w:rFonts w:ascii="Calibri" w:hAnsi="Calibri" w:cs="Calibri"/>
          <w:lang w:val="en-US"/>
        </w:rPr>
        <w:t xml:space="preserve"> looks at</w:t>
      </w:r>
      <w:bookmarkStart w:id="0" w:name="_GoBack"/>
      <w:bookmarkEnd w:id="0"/>
      <w:r w:rsidR="001D3983" w:rsidRPr="00870C49">
        <w:rPr>
          <w:rFonts w:ascii="Calibri" w:hAnsi="Calibri" w:cs="Calibri"/>
          <w:lang w:val="en-US"/>
        </w:rPr>
        <w:t xml:space="preserve"> established facts or findings and makes a preliminary qualification in law (not binding for the Member States which remain competent for criminal matters),</w:t>
      </w:r>
    </w:p>
    <w:p w:rsidR="000A16ED" w:rsidRPr="000260CC" w:rsidRDefault="00A7258E" w:rsidP="00EB1B20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 xml:space="preserve">adopts a </w:t>
      </w:r>
      <w:r w:rsidRPr="000260CC">
        <w:rPr>
          <w:rFonts w:ascii="Calibri" w:hAnsi="Calibri" w:cs="Calibri"/>
          <w:b/>
          <w:lang w:val="en-US"/>
        </w:rPr>
        <w:t xml:space="preserve">recommendation </w:t>
      </w:r>
      <w:r w:rsidRPr="000260CC">
        <w:rPr>
          <w:rFonts w:ascii="Calibri" w:hAnsi="Calibri" w:cs="Calibri"/>
          <w:lang w:val="en-US"/>
        </w:rPr>
        <w:t>taking into account possible remedial measures an</w:t>
      </w:r>
      <w:r w:rsidR="000A16ED" w:rsidRPr="000260CC">
        <w:rPr>
          <w:rFonts w:ascii="Calibri" w:hAnsi="Calibri" w:cs="Calibri"/>
          <w:lang w:val="en-US"/>
        </w:rPr>
        <w:t>d the proportionality principle</w:t>
      </w:r>
      <w:r w:rsidR="001D3983">
        <w:rPr>
          <w:rFonts w:ascii="Calibri" w:hAnsi="Calibri" w:cs="Calibri"/>
          <w:lang w:val="en-US"/>
        </w:rPr>
        <w:t>.</w:t>
      </w:r>
    </w:p>
    <w:p w:rsidR="00587629" w:rsidRPr="000260CC" w:rsidRDefault="00A7258E" w:rsidP="0064370D">
      <w:p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/>
          <w:lang w:val="en-US"/>
        </w:rPr>
        <w:t xml:space="preserve">The EU Institution takes the </w:t>
      </w:r>
      <w:r w:rsidR="00587629" w:rsidRPr="000260CC">
        <w:rPr>
          <w:rFonts w:ascii="Calibri" w:hAnsi="Calibri" w:cs="Calibri"/>
          <w:b/>
          <w:lang w:val="en-US"/>
        </w:rPr>
        <w:t xml:space="preserve">final decision </w:t>
      </w:r>
      <w:r w:rsidR="00587629" w:rsidRPr="000260CC">
        <w:rPr>
          <w:rFonts w:ascii="Calibri" w:hAnsi="Calibri" w:cs="Calibri"/>
          <w:lang w:val="en-US"/>
        </w:rPr>
        <w:t xml:space="preserve">to exclude based on the recommendation of the </w:t>
      </w:r>
      <w:r w:rsidR="00EB1B20" w:rsidRPr="000260CC">
        <w:rPr>
          <w:rFonts w:ascii="Calibri" w:hAnsi="Calibri" w:cs="Calibri"/>
          <w:lang w:val="en-US"/>
        </w:rPr>
        <w:t xml:space="preserve">EDES </w:t>
      </w:r>
      <w:r w:rsidR="00587629" w:rsidRPr="000260CC">
        <w:rPr>
          <w:rFonts w:ascii="Calibri" w:hAnsi="Calibri" w:cs="Calibri"/>
          <w:lang w:val="en-US"/>
        </w:rPr>
        <w:t xml:space="preserve">Panel </w:t>
      </w:r>
      <w:r w:rsidRPr="000260CC">
        <w:rPr>
          <w:rFonts w:ascii="Calibri" w:hAnsi="Calibri" w:cs="Calibri"/>
          <w:lang w:val="en-US"/>
        </w:rPr>
        <w:t xml:space="preserve">– decision different from the </w:t>
      </w:r>
      <w:r w:rsidR="00EB1B20" w:rsidRPr="000260CC">
        <w:rPr>
          <w:rFonts w:ascii="Calibri" w:hAnsi="Calibri" w:cs="Calibri"/>
          <w:lang w:val="en-US"/>
        </w:rPr>
        <w:t xml:space="preserve">EDES </w:t>
      </w:r>
      <w:r w:rsidRPr="000260CC">
        <w:rPr>
          <w:rFonts w:ascii="Calibri" w:hAnsi="Calibri" w:cs="Calibri"/>
          <w:lang w:val="en-US"/>
        </w:rPr>
        <w:t>Panel recommendation must be justified</w:t>
      </w:r>
    </w:p>
    <w:p w:rsidR="009C2CD8" w:rsidRPr="000260CC" w:rsidRDefault="00292925" w:rsidP="009C2CD8">
      <w:p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bCs/>
          <w:u w:val="single"/>
          <w:lang w:val="en-US"/>
        </w:rPr>
        <w:t>F</w:t>
      </w:r>
      <w:r w:rsidR="008B0E3F" w:rsidRPr="000260CC">
        <w:rPr>
          <w:rFonts w:ascii="Calibri" w:hAnsi="Calibri" w:cs="Calibri"/>
          <w:bCs/>
          <w:u w:val="single"/>
          <w:lang w:val="en-US"/>
        </w:rPr>
        <w:t>ull judicial review at EU level</w:t>
      </w:r>
      <w:r w:rsidRPr="000260CC">
        <w:rPr>
          <w:rFonts w:ascii="Calibri" w:hAnsi="Calibri" w:cs="Calibri"/>
          <w:bCs/>
          <w:lang w:val="en-US"/>
        </w:rPr>
        <w:t xml:space="preserve">: </w:t>
      </w:r>
      <w:r w:rsidR="000A16ED" w:rsidRPr="000260CC">
        <w:rPr>
          <w:rFonts w:ascii="Calibri" w:hAnsi="Calibri" w:cs="Calibri"/>
          <w:lang w:val="en-US"/>
        </w:rPr>
        <w:t>d</w:t>
      </w:r>
      <w:r w:rsidR="008B0E3F" w:rsidRPr="000260CC">
        <w:rPr>
          <w:rFonts w:ascii="Calibri" w:hAnsi="Calibri" w:cs="Calibri"/>
          <w:lang w:val="en-US"/>
        </w:rPr>
        <w:t>ecision</w:t>
      </w:r>
      <w:r w:rsidR="0047382F" w:rsidRPr="000260CC">
        <w:rPr>
          <w:rFonts w:ascii="Calibri" w:hAnsi="Calibri" w:cs="Calibri"/>
          <w:lang w:val="en-US"/>
        </w:rPr>
        <w:t>s</w:t>
      </w:r>
      <w:r w:rsidR="000A16ED" w:rsidRPr="000260CC">
        <w:rPr>
          <w:rFonts w:ascii="Calibri" w:hAnsi="Calibri" w:cs="Calibri"/>
          <w:lang w:val="en-US"/>
        </w:rPr>
        <w:t xml:space="preserve"> taken by the EU Institution</w:t>
      </w:r>
      <w:r w:rsidR="000260CC">
        <w:rPr>
          <w:rFonts w:ascii="Calibri" w:hAnsi="Calibri" w:cs="Calibri"/>
          <w:lang w:val="en-US"/>
        </w:rPr>
        <w:t>/agency</w:t>
      </w:r>
      <w:r w:rsidR="00796969" w:rsidRPr="000260CC">
        <w:rPr>
          <w:rFonts w:ascii="Calibri" w:hAnsi="Calibri" w:cs="Calibri"/>
          <w:lang w:val="en-US"/>
        </w:rPr>
        <w:t>/body</w:t>
      </w:r>
      <w:r w:rsidR="000A16ED" w:rsidRPr="000260CC">
        <w:rPr>
          <w:rFonts w:ascii="Calibri" w:hAnsi="Calibri" w:cs="Calibri"/>
          <w:lang w:val="en-US"/>
        </w:rPr>
        <w:t xml:space="preserve"> on the basis of the Panel recommendation </w:t>
      </w:r>
      <w:r w:rsidR="008B0E3F" w:rsidRPr="000260CC">
        <w:rPr>
          <w:rFonts w:ascii="Calibri" w:hAnsi="Calibri" w:cs="Calibri"/>
          <w:lang w:val="en-US"/>
        </w:rPr>
        <w:t xml:space="preserve">may be </w:t>
      </w:r>
      <w:r w:rsidR="000A16ED" w:rsidRPr="000260CC">
        <w:rPr>
          <w:rFonts w:ascii="Calibri" w:hAnsi="Calibri" w:cs="Calibri"/>
          <w:lang w:val="en-US"/>
        </w:rPr>
        <w:t>appeal</w:t>
      </w:r>
      <w:r w:rsidRPr="000260CC">
        <w:rPr>
          <w:rFonts w:ascii="Calibri" w:hAnsi="Calibri" w:cs="Calibri"/>
          <w:lang w:val="en-US"/>
        </w:rPr>
        <w:t xml:space="preserve">ed before the </w:t>
      </w:r>
      <w:r w:rsidR="00A7258E" w:rsidRPr="000260CC">
        <w:rPr>
          <w:rFonts w:ascii="Calibri" w:hAnsi="Calibri" w:cs="Calibri"/>
          <w:lang w:val="en-US"/>
        </w:rPr>
        <w:t xml:space="preserve">EU </w:t>
      </w:r>
      <w:r w:rsidRPr="000260CC">
        <w:rPr>
          <w:rFonts w:ascii="Calibri" w:hAnsi="Calibri" w:cs="Calibri"/>
          <w:lang w:val="en-US"/>
        </w:rPr>
        <w:t>Court of Justice</w:t>
      </w:r>
      <w:r w:rsidR="009C2CD8" w:rsidRPr="000260CC">
        <w:rPr>
          <w:rFonts w:ascii="Calibri" w:hAnsi="Calibri" w:cs="Calibri"/>
          <w:lang w:val="en-US"/>
        </w:rPr>
        <w:t>.</w:t>
      </w:r>
    </w:p>
    <w:p w:rsidR="00721E3F" w:rsidRPr="000260CC" w:rsidRDefault="00721E3F" w:rsidP="009C2CD8">
      <w:pPr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>The Court of Justice has</w:t>
      </w:r>
      <w:r w:rsidR="005D0824" w:rsidRPr="000260CC">
        <w:rPr>
          <w:rFonts w:ascii="Calibri" w:hAnsi="Calibri" w:cs="Calibri"/>
          <w:lang w:val="en-US"/>
        </w:rPr>
        <w:t xml:space="preserve"> </w:t>
      </w:r>
      <w:r w:rsidR="00471597" w:rsidRPr="000260CC">
        <w:rPr>
          <w:rFonts w:ascii="Calibri" w:hAnsi="Calibri" w:cs="Calibri"/>
          <w:lang w:val="en-US"/>
        </w:rPr>
        <w:t>upheld the validity of EDES system established in 2016</w:t>
      </w:r>
      <w:r w:rsidRPr="000260CC">
        <w:rPr>
          <w:rFonts w:ascii="Calibri" w:hAnsi="Calibri" w:cs="Calibri"/>
          <w:lang w:val="en-US"/>
        </w:rPr>
        <w:t xml:space="preserve"> </w:t>
      </w:r>
      <w:r w:rsidR="00471597" w:rsidRPr="000260CC">
        <w:rPr>
          <w:rFonts w:ascii="Calibri" w:hAnsi="Calibri" w:cs="Calibri"/>
          <w:lang w:val="en-US"/>
        </w:rPr>
        <w:t>both concerning the early detection</w:t>
      </w:r>
      <w:r w:rsidR="009C2CD8" w:rsidRPr="000260CC">
        <w:rPr>
          <w:rFonts w:ascii="Calibri" w:hAnsi="Calibri" w:cs="Calibri"/>
          <w:lang w:val="en-US"/>
        </w:rPr>
        <w:t xml:space="preserve"> (Judgment of the General Court of 24 October 2018 in Case T-477/16, </w:t>
      </w:r>
      <w:r w:rsidR="009C2CD8" w:rsidRPr="000260CC">
        <w:rPr>
          <w:rFonts w:ascii="Calibri" w:hAnsi="Calibri" w:cs="Calibri"/>
          <w:lang w:val="en-GB"/>
        </w:rPr>
        <w:t>Epsilon International SA v European Commission</w:t>
      </w:r>
      <w:r w:rsidR="009C2CD8" w:rsidRPr="000260CC">
        <w:rPr>
          <w:rStyle w:val="FootnoteReference"/>
          <w:rFonts w:ascii="Calibri" w:hAnsi="Calibri" w:cs="Calibri"/>
          <w:lang w:val="en-GB"/>
        </w:rPr>
        <w:footnoteReference w:id="1"/>
      </w:r>
      <w:r w:rsidR="009C2CD8" w:rsidRPr="000260CC">
        <w:rPr>
          <w:rFonts w:ascii="Calibri" w:hAnsi="Calibri" w:cs="Calibri"/>
          <w:lang w:val="en-GB"/>
        </w:rPr>
        <w:t>)</w:t>
      </w:r>
      <w:r w:rsidR="009C2CD8" w:rsidRPr="000260CC">
        <w:rPr>
          <w:rFonts w:ascii="Calibri" w:hAnsi="Calibri" w:cs="Calibri"/>
          <w:lang w:val="en-US"/>
        </w:rPr>
        <w:t xml:space="preserve"> </w:t>
      </w:r>
      <w:r w:rsidR="00471597" w:rsidRPr="000260CC">
        <w:rPr>
          <w:rFonts w:ascii="Calibri" w:hAnsi="Calibri" w:cs="Calibri"/>
          <w:lang w:val="en-US"/>
        </w:rPr>
        <w:t>and the exclusion part</w:t>
      </w:r>
      <w:r w:rsidRPr="000260CC">
        <w:rPr>
          <w:rFonts w:ascii="Calibri" w:hAnsi="Calibri" w:cs="Calibri"/>
          <w:lang w:val="en-US"/>
        </w:rPr>
        <w:t xml:space="preserve"> (</w:t>
      </w:r>
      <w:r w:rsidR="002B5253" w:rsidRPr="000260CC">
        <w:rPr>
          <w:rFonts w:ascii="Calibri" w:hAnsi="Calibri" w:cs="Calibri"/>
          <w:lang w:val="en-US"/>
        </w:rPr>
        <w:t>Judgment of the General Court of 8 November 2018 in Case T-454/17, “Pro NGO!” v Commission</w:t>
      </w:r>
      <w:r w:rsidR="009C2CD8" w:rsidRPr="000260CC">
        <w:rPr>
          <w:rFonts w:ascii="Calibri" w:hAnsi="Calibri" w:cs="Calibri"/>
          <w:lang w:val="en-US"/>
        </w:rPr>
        <w:t xml:space="preserve">). </w:t>
      </w:r>
      <w:r w:rsidR="005D0824" w:rsidRPr="000260CC">
        <w:rPr>
          <w:rFonts w:ascii="Calibri" w:hAnsi="Calibri" w:cs="Calibri"/>
          <w:lang w:val="en-US"/>
        </w:rPr>
        <w:t>A</w:t>
      </w:r>
      <w:r w:rsidRPr="000260CC">
        <w:rPr>
          <w:rFonts w:ascii="Calibri" w:hAnsi="Calibri" w:cs="Calibri"/>
          <w:lang w:val="en-US"/>
        </w:rPr>
        <w:t xml:space="preserve"> number of appeals have</w:t>
      </w:r>
      <w:r w:rsidR="00893055" w:rsidRPr="000260CC">
        <w:rPr>
          <w:rFonts w:ascii="Calibri" w:hAnsi="Calibri" w:cs="Calibri"/>
          <w:lang w:val="en-US"/>
        </w:rPr>
        <w:t xml:space="preserve"> been dismissed as inadmissible</w:t>
      </w:r>
      <w:r w:rsidR="00893055" w:rsidRPr="000260CC">
        <w:rPr>
          <w:rStyle w:val="FootnoteReference"/>
          <w:rFonts w:ascii="Calibri" w:hAnsi="Calibri" w:cs="Calibri"/>
          <w:lang w:val="en-US"/>
        </w:rPr>
        <w:footnoteReference w:id="2"/>
      </w:r>
      <w:r w:rsidR="00893055" w:rsidRPr="000260CC">
        <w:rPr>
          <w:rFonts w:ascii="Calibri" w:hAnsi="Calibri" w:cs="Calibri"/>
          <w:lang w:val="en-US"/>
        </w:rPr>
        <w:t>.</w:t>
      </w:r>
    </w:p>
    <w:p w:rsidR="00140603" w:rsidRPr="000260CC" w:rsidRDefault="005D0824" w:rsidP="005D0824">
      <w:pPr>
        <w:spacing w:after="60"/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lang w:val="en-US"/>
        </w:rPr>
        <w:t>Two other cases have allowed – w</w:t>
      </w:r>
      <w:r w:rsidR="00893055" w:rsidRPr="000260CC">
        <w:rPr>
          <w:rFonts w:ascii="Calibri" w:hAnsi="Calibri" w:cs="Calibri"/>
          <w:lang w:val="en-US"/>
        </w:rPr>
        <w:t>ithout</w:t>
      </w:r>
      <w:r w:rsidRPr="000260CC">
        <w:rPr>
          <w:rFonts w:ascii="Calibri" w:hAnsi="Calibri" w:cs="Calibri"/>
          <w:lang w:val="en-US"/>
        </w:rPr>
        <w:t xml:space="preserve"> </w:t>
      </w:r>
      <w:r w:rsidR="00893055" w:rsidRPr="000260CC">
        <w:rPr>
          <w:rFonts w:ascii="Calibri" w:hAnsi="Calibri" w:cs="Calibri"/>
          <w:lang w:val="en-US"/>
        </w:rPr>
        <w:t>quest</w:t>
      </w:r>
      <w:r w:rsidRPr="000260CC">
        <w:rPr>
          <w:rFonts w:ascii="Calibri" w:hAnsi="Calibri" w:cs="Calibri"/>
          <w:lang w:val="en-US"/>
        </w:rPr>
        <w:t>ioning the validity of the EDES –</w:t>
      </w:r>
      <w:r w:rsidR="00893055" w:rsidRPr="000260CC">
        <w:rPr>
          <w:rFonts w:ascii="Calibri" w:hAnsi="Calibri" w:cs="Calibri"/>
          <w:lang w:val="en-US"/>
        </w:rPr>
        <w:t xml:space="preserve"> to</w:t>
      </w:r>
      <w:r w:rsidRPr="000260CC">
        <w:rPr>
          <w:rFonts w:ascii="Calibri" w:hAnsi="Calibri" w:cs="Calibri"/>
          <w:lang w:val="en-US"/>
        </w:rPr>
        <w:t xml:space="preserve"> </w:t>
      </w:r>
      <w:r w:rsidR="00893055" w:rsidRPr="000260CC">
        <w:rPr>
          <w:rFonts w:ascii="Calibri" w:hAnsi="Calibri" w:cs="Calibri"/>
          <w:lang w:val="en-US"/>
        </w:rPr>
        <w:t xml:space="preserve">clarify certain procedural issues, such as the retroactive application of the more lenient law in favor of the economic operator despite </w:t>
      </w:r>
      <w:r w:rsidRPr="000260CC">
        <w:rPr>
          <w:rFonts w:ascii="Calibri" w:hAnsi="Calibri" w:cs="Calibri"/>
          <w:lang w:val="en-US"/>
        </w:rPr>
        <w:t>the existence of a stricter</w:t>
      </w:r>
      <w:r w:rsidR="00140603" w:rsidRPr="000260CC">
        <w:rPr>
          <w:rFonts w:ascii="Calibri" w:hAnsi="Calibri" w:cs="Calibri"/>
          <w:lang w:val="en-US"/>
        </w:rPr>
        <w:t xml:space="preserve"> substantive law in</w:t>
      </w:r>
      <w:r w:rsidR="002B5253" w:rsidRPr="000260CC">
        <w:rPr>
          <w:rFonts w:ascii="Calibri" w:hAnsi="Calibri" w:cs="Calibri"/>
          <w:lang w:val="en-US"/>
        </w:rPr>
        <w:t xml:space="preserve"> force at the time of the facts</w:t>
      </w:r>
      <w:r w:rsidRPr="000260CC">
        <w:rPr>
          <w:rStyle w:val="FootnoteReference"/>
          <w:rFonts w:ascii="Calibri" w:hAnsi="Calibri" w:cs="Calibri"/>
          <w:lang w:val="en-US"/>
        </w:rPr>
        <w:footnoteReference w:id="3"/>
      </w:r>
      <w:r w:rsidRPr="000260CC">
        <w:rPr>
          <w:rFonts w:ascii="Calibri" w:hAnsi="Calibri" w:cs="Calibri"/>
          <w:lang w:val="en-US"/>
        </w:rPr>
        <w:t xml:space="preserve"> and </w:t>
      </w:r>
      <w:r w:rsidR="002B5253" w:rsidRPr="000260CC">
        <w:rPr>
          <w:rFonts w:ascii="Calibri" w:hAnsi="Calibri" w:cs="Calibri"/>
          <w:lang w:val="en-US"/>
        </w:rPr>
        <w:t>the non admissibility of electronic proof of receipt as evidence that the economic operator has effectively become aware of the notification</w:t>
      </w:r>
      <w:r w:rsidR="009C2CD8" w:rsidRPr="000260CC">
        <w:rPr>
          <w:rFonts w:ascii="Calibri" w:hAnsi="Calibri" w:cs="Calibri"/>
          <w:lang w:val="en-US"/>
        </w:rPr>
        <w:t>.</w:t>
      </w:r>
      <w:r w:rsidRPr="000260CC">
        <w:rPr>
          <w:rStyle w:val="FootnoteReference"/>
          <w:rFonts w:ascii="Calibri" w:hAnsi="Calibri" w:cs="Calibri"/>
          <w:lang w:val="en-US"/>
        </w:rPr>
        <w:footnoteReference w:id="4"/>
      </w:r>
    </w:p>
    <w:p w:rsidR="00E83328" w:rsidRPr="000260CC" w:rsidRDefault="00A835F9" w:rsidP="00EB1B20">
      <w:pPr>
        <w:rPr>
          <w:rFonts w:ascii="Calibri" w:eastAsia="Calibri" w:hAnsi="Calibri" w:cs="Calibri"/>
          <w:lang w:val="en-GB"/>
        </w:rPr>
      </w:pPr>
      <w:r w:rsidRPr="000260CC">
        <w:rPr>
          <w:rFonts w:ascii="Calibri" w:hAnsi="Calibri" w:cs="Calibri"/>
          <w:lang w:val="en-US"/>
        </w:rPr>
        <w:br w:type="page"/>
      </w:r>
      <w:r w:rsidR="00E83328" w:rsidRPr="000260CC">
        <w:rPr>
          <w:rFonts w:ascii="Calibri" w:eastAsia="Calibri" w:hAnsi="Calibri" w:cs="Calibri"/>
          <w:noProof/>
          <w:lang w:val="en-GB" w:eastAsia="en-GB"/>
        </w:rPr>
        <w:lastRenderedPageBreak/>
        <w:drawing>
          <wp:inline distT="0" distB="0" distL="0" distR="0" wp14:anchorId="1B044CE9" wp14:editId="0F075253">
            <wp:extent cx="5760720" cy="3763010"/>
            <wp:effectExtent l="0" t="0" r="11430" b="889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3328" w:rsidRPr="000260CC" w:rsidRDefault="00E83328" w:rsidP="00E83328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0260CC">
        <w:rPr>
          <w:rFonts w:ascii="Calibri" w:eastAsia="Calibri" w:hAnsi="Calibri" w:cs="Calibri"/>
          <w:noProof/>
          <w:lang w:val="en-GB" w:eastAsia="en-GB"/>
        </w:rPr>
        <w:drawing>
          <wp:inline distT="0" distB="0" distL="0" distR="0" wp14:anchorId="26EDFF2A" wp14:editId="1362ACE7">
            <wp:extent cx="5760720" cy="42576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3328" w:rsidRPr="000260CC" w:rsidRDefault="00E83328">
      <w:pPr>
        <w:rPr>
          <w:rFonts w:ascii="Calibri" w:hAnsi="Calibri" w:cs="Calibri"/>
          <w:b/>
          <w:bCs/>
          <w:lang w:val="en-US"/>
        </w:rPr>
      </w:pPr>
      <w:r w:rsidRPr="000260CC">
        <w:rPr>
          <w:rFonts w:ascii="Calibri" w:hAnsi="Calibri" w:cs="Calibri"/>
          <w:b/>
          <w:bCs/>
          <w:lang w:val="en-US"/>
        </w:rPr>
        <w:br w:type="page"/>
      </w:r>
    </w:p>
    <w:p w:rsidR="00A835F9" w:rsidRPr="000260CC" w:rsidRDefault="00796969" w:rsidP="005B7179">
      <w:pPr>
        <w:spacing w:after="240"/>
        <w:jc w:val="both"/>
        <w:rPr>
          <w:rFonts w:ascii="Calibri" w:hAnsi="Calibri" w:cs="Calibri"/>
          <w:b/>
          <w:bCs/>
          <w:lang w:val="en-US"/>
        </w:rPr>
      </w:pPr>
      <w:r w:rsidRPr="000260CC">
        <w:rPr>
          <w:rFonts w:ascii="Calibri" w:hAnsi="Calibri" w:cs="Calibri"/>
          <w:b/>
          <w:bCs/>
          <w:lang w:val="en-US"/>
        </w:rPr>
        <w:lastRenderedPageBreak/>
        <w:t>E</w:t>
      </w:r>
      <w:r w:rsidR="00A835F9" w:rsidRPr="000260CC">
        <w:rPr>
          <w:rFonts w:ascii="Calibri" w:hAnsi="Calibri" w:cs="Calibri"/>
          <w:b/>
          <w:bCs/>
          <w:lang w:val="en-US"/>
        </w:rPr>
        <w:t xml:space="preserve">xamples </w:t>
      </w:r>
      <w:r w:rsidRPr="000260CC">
        <w:rPr>
          <w:rFonts w:ascii="Calibri" w:hAnsi="Calibri" w:cs="Calibri"/>
          <w:b/>
          <w:bCs/>
          <w:lang w:val="en-US"/>
        </w:rPr>
        <w:t>of application of the EDES</w:t>
      </w:r>
    </w:p>
    <w:p w:rsidR="00A835F9" w:rsidRPr="000260CC" w:rsidRDefault="0064370D" w:rsidP="00443C06">
      <w:pPr>
        <w:pStyle w:val="ListParagraph"/>
        <w:numPr>
          <w:ilvl w:val="0"/>
          <w:numId w:val="11"/>
        </w:numPr>
        <w:spacing w:after="200"/>
        <w:ind w:left="351" w:hanging="357"/>
        <w:contextualSpacing w:val="0"/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i/>
          <w:lang w:val="en-US"/>
        </w:rPr>
        <w:t>Successful tenderer</w:t>
      </w:r>
      <w:r w:rsidR="00A835F9" w:rsidRPr="000260CC">
        <w:rPr>
          <w:rFonts w:ascii="Calibri" w:hAnsi="Calibri" w:cs="Calibri"/>
          <w:i/>
          <w:lang w:val="en-US"/>
        </w:rPr>
        <w:t xml:space="preserve"> pleaded guilty of a bribery scheme</w:t>
      </w:r>
      <w:r w:rsidR="00A835F9" w:rsidRPr="000260CC">
        <w:rPr>
          <w:rFonts w:ascii="Calibri" w:hAnsi="Calibri" w:cs="Calibri"/>
          <w:lang w:val="en-US"/>
        </w:rPr>
        <w:t>, case recorded in a Non-Prosecution Agreement (NPA) in the US Department of Just</w:t>
      </w:r>
      <w:r w:rsidRPr="000260CC">
        <w:rPr>
          <w:rFonts w:ascii="Calibri" w:hAnsi="Calibri" w:cs="Calibri"/>
          <w:lang w:val="en-US"/>
        </w:rPr>
        <w:t xml:space="preserve">ice. </w:t>
      </w:r>
      <w:r w:rsidR="00E83426" w:rsidRPr="000260CC">
        <w:rPr>
          <w:rFonts w:ascii="Calibri" w:hAnsi="Calibri" w:cs="Calibri"/>
          <w:lang w:val="en-US"/>
        </w:rPr>
        <w:t xml:space="preserve">These factual elements led under EU rules to </w:t>
      </w:r>
      <w:r w:rsidR="00A835F9" w:rsidRPr="000260CC">
        <w:rPr>
          <w:rFonts w:ascii="Calibri" w:hAnsi="Calibri" w:cs="Calibri"/>
          <w:lang w:val="en-US"/>
        </w:rPr>
        <w:t xml:space="preserve">2 years of exclusion for grave professional misconduct </w:t>
      </w:r>
      <w:r w:rsidR="00E83426" w:rsidRPr="000260CC">
        <w:rPr>
          <w:rFonts w:ascii="Calibri" w:hAnsi="Calibri" w:cs="Calibri"/>
          <w:lang w:val="en-US"/>
        </w:rPr>
        <w:t xml:space="preserve">– parallel to debarment period </w:t>
      </w:r>
      <w:r w:rsidR="00A835F9" w:rsidRPr="000260CC">
        <w:rPr>
          <w:rFonts w:ascii="Calibri" w:hAnsi="Calibri" w:cs="Calibri"/>
          <w:lang w:val="en-US"/>
        </w:rPr>
        <w:t>(legislation applicable at the ti</w:t>
      </w:r>
      <w:r w:rsidR="00443C06" w:rsidRPr="000260CC">
        <w:rPr>
          <w:rFonts w:ascii="Calibri" w:hAnsi="Calibri" w:cs="Calibri"/>
          <w:lang w:val="en-US"/>
        </w:rPr>
        <w:t xml:space="preserve">me of the facts did </w:t>
      </w:r>
      <w:r w:rsidR="00A835F9" w:rsidRPr="000260CC">
        <w:rPr>
          <w:rFonts w:ascii="Calibri" w:hAnsi="Calibri" w:cs="Calibri"/>
          <w:lang w:val="en-US"/>
        </w:rPr>
        <w:t>not allow the qualification of corruption if legal proceedings were outside the EU jurisdiction).</w:t>
      </w:r>
    </w:p>
    <w:p w:rsidR="00A835F9" w:rsidRPr="000260CC" w:rsidRDefault="00A835F9" w:rsidP="00443C06">
      <w:pPr>
        <w:pStyle w:val="ListParagraph"/>
        <w:numPr>
          <w:ilvl w:val="0"/>
          <w:numId w:val="11"/>
        </w:numPr>
        <w:spacing w:after="200"/>
        <w:ind w:left="351" w:hanging="357"/>
        <w:contextualSpacing w:val="0"/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i/>
          <w:lang w:val="en-US"/>
        </w:rPr>
        <w:t xml:space="preserve">Grant beneficiary chairperson used fraudulent means to justify activities </w:t>
      </w:r>
      <w:r w:rsidR="00E83426" w:rsidRPr="000260CC">
        <w:rPr>
          <w:rFonts w:ascii="Calibri" w:hAnsi="Calibri" w:cs="Calibri"/>
          <w:i/>
          <w:lang w:val="en-US"/>
        </w:rPr>
        <w:t>that had not taken place</w:t>
      </w:r>
      <w:r w:rsidRPr="000260CC">
        <w:rPr>
          <w:rFonts w:ascii="Calibri" w:hAnsi="Calibri" w:cs="Calibri"/>
          <w:lang w:val="en-US"/>
        </w:rPr>
        <w:t xml:space="preserve">. </w:t>
      </w:r>
      <w:r w:rsidR="00E83426" w:rsidRPr="000260CC">
        <w:rPr>
          <w:rFonts w:ascii="Calibri" w:hAnsi="Calibri" w:cs="Calibri"/>
          <w:lang w:val="en-US"/>
        </w:rPr>
        <w:t>T</w:t>
      </w:r>
      <w:r w:rsidR="00443C06" w:rsidRPr="000260CC">
        <w:rPr>
          <w:rFonts w:ascii="Calibri" w:hAnsi="Calibri" w:cs="Calibri"/>
          <w:lang w:val="en-US"/>
        </w:rPr>
        <w:t xml:space="preserve">he facts established in the final judgment of a third </w:t>
      </w:r>
      <w:r w:rsidRPr="000260CC">
        <w:rPr>
          <w:rFonts w:ascii="Calibri" w:hAnsi="Calibri" w:cs="Calibri"/>
          <w:lang w:val="en-US"/>
        </w:rPr>
        <w:t xml:space="preserve">country and </w:t>
      </w:r>
      <w:r w:rsidR="00443C06" w:rsidRPr="000260CC">
        <w:rPr>
          <w:rFonts w:ascii="Calibri" w:hAnsi="Calibri" w:cs="Calibri"/>
          <w:lang w:val="en-US"/>
        </w:rPr>
        <w:t xml:space="preserve">the findings of the </w:t>
      </w:r>
      <w:r w:rsidRPr="000260CC">
        <w:rPr>
          <w:rFonts w:ascii="Calibri" w:hAnsi="Calibri" w:cs="Calibri"/>
          <w:lang w:val="en-US"/>
        </w:rPr>
        <w:t xml:space="preserve">OLAF report </w:t>
      </w:r>
      <w:r w:rsidR="00E83426" w:rsidRPr="000260CC">
        <w:rPr>
          <w:rFonts w:ascii="Calibri" w:hAnsi="Calibri" w:cs="Calibri"/>
          <w:lang w:val="en-US"/>
        </w:rPr>
        <w:t xml:space="preserve">were concurring evidence </w:t>
      </w:r>
      <w:r w:rsidRPr="000260CC">
        <w:rPr>
          <w:rFonts w:ascii="Calibri" w:hAnsi="Calibri" w:cs="Calibri"/>
          <w:lang w:val="en-US"/>
        </w:rPr>
        <w:t>that the company</w:t>
      </w:r>
      <w:r w:rsidR="00443C06" w:rsidRPr="000260CC">
        <w:rPr>
          <w:rFonts w:ascii="Calibri" w:hAnsi="Calibri" w:cs="Calibri"/>
          <w:lang w:val="en-US"/>
        </w:rPr>
        <w:t xml:space="preserve"> had</w:t>
      </w:r>
      <w:r w:rsidRPr="000260CC">
        <w:rPr>
          <w:rFonts w:ascii="Calibri" w:hAnsi="Calibri" w:cs="Calibri"/>
          <w:lang w:val="en-US"/>
        </w:rPr>
        <w:t xml:space="preserve"> </w:t>
      </w:r>
      <w:r w:rsidR="00E83426" w:rsidRPr="000260CC">
        <w:rPr>
          <w:rFonts w:ascii="Calibri" w:hAnsi="Calibri" w:cs="Calibri"/>
          <w:lang w:val="en-US"/>
        </w:rPr>
        <w:t xml:space="preserve">fraudulently </w:t>
      </w:r>
      <w:r w:rsidRPr="000260CC">
        <w:rPr>
          <w:rFonts w:ascii="Calibri" w:hAnsi="Calibri" w:cs="Calibri"/>
          <w:lang w:val="en-US"/>
        </w:rPr>
        <w:t>mi</w:t>
      </w:r>
      <w:r w:rsidR="00443C06" w:rsidRPr="000260CC">
        <w:rPr>
          <w:rFonts w:ascii="Calibri" w:hAnsi="Calibri" w:cs="Calibri"/>
          <w:lang w:val="en-US"/>
        </w:rPr>
        <w:t>sappropriated important</w:t>
      </w:r>
      <w:r w:rsidRPr="000260CC">
        <w:rPr>
          <w:rFonts w:ascii="Calibri" w:hAnsi="Calibri" w:cs="Calibri"/>
          <w:lang w:val="en-US"/>
        </w:rPr>
        <w:t xml:space="preserve"> amount</w:t>
      </w:r>
      <w:r w:rsidR="00443C06" w:rsidRPr="000260CC">
        <w:rPr>
          <w:rFonts w:ascii="Calibri" w:hAnsi="Calibri" w:cs="Calibri"/>
          <w:lang w:val="en-US"/>
        </w:rPr>
        <w:t>s of EU funds</w:t>
      </w:r>
      <w:r w:rsidRPr="000260CC">
        <w:rPr>
          <w:rFonts w:ascii="Calibri" w:hAnsi="Calibri" w:cs="Calibri"/>
          <w:lang w:val="en-US"/>
        </w:rPr>
        <w:t>.</w:t>
      </w:r>
      <w:r w:rsidR="00443C06" w:rsidRPr="000260CC">
        <w:rPr>
          <w:rFonts w:ascii="Calibri" w:hAnsi="Calibri" w:cs="Calibri"/>
          <w:lang w:val="en-US"/>
        </w:rPr>
        <w:t xml:space="preserve"> 3 years of exclusion and publication.</w:t>
      </w:r>
    </w:p>
    <w:p w:rsidR="005B7179" w:rsidRPr="000260CC" w:rsidRDefault="00A835F9" w:rsidP="005B7179">
      <w:pPr>
        <w:pStyle w:val="ListParagraph"/>
        <w:numPr>
          <w:ilvl w:val="0"/>
          <w:numId w:val="11"/>
        </w:numPr>
        <w:spacing w:after="200"/>
        <w:ind w:left="351" w:hanging="357"/>
        <w:contextualSpacing w:val="0"/>
        <w:jc w:val="both"/>
        <w:rPr>
          <w:rFonts w:ascii="Calibri" w:hAnsi="Calibri" w:cs="Calibri"/>
          <w:lang w:val="en-GB"/>
        </w:rPr>
      </w:pPr>
      <w:r w:rsidRPr="000260CC">
        <w:rPr>
          <w:rFonts w:ascii="Calibri" w:hAnsi="Calibri" w:cs="Calibri"/>
          <w:i/>
          <w:lang w:val="en-US"/>
        </w:rPr>
        <w:t>Analysis of facts and measures taken</w:t>
      </w:r>
      <w:r w:rsidR="00E83426" w:rsidRPr="000260CC">
        <w:rPr>
          <w:rFonts w:ascii="Calibri" w:hAnsi="Calibri" w:cs="Calibri"/>
          <w:i/>
          <w:lang w:val="en-US"/>
        </w:rPr>
        <w:t xml:space="preserve"> </w:t>
      </w:r>
      <w:r w:rsidR="00213F5C" w:rsidRPr="000260CC">
        <w:rPr>
          <w:rFonts w:ascii="Calibri" w:hAnsi="Calibri" w:cs="Calibri"/>
          <w:i/>
          <w:lang w:val="en-US"/>
        </w:rPr>
        <w:t>under a settlement agreement with</w:t>
      </w:r>
      <w:r w:rsidRPr="000260CC">
        <w:rPr>
          <w:rFonts w:ascii="Calibri" w:hAnsi="Calibri" w:cs="Calibri"/>
          <w:i/>
          <w:lang w:val="en-US"/>
        </w:rPr>
        <w:t xml:space="preserve"> the WB</w:t>
      </w:r>
      <w:r w:rsidR="00E83426" w:rsidRPr="000260CC">
        <w:rPr>
          <w:rFonts w:ascii="Calibri" w:hAnsi="Calibri" w:cs="Calibri"/>
          <w:i/>
          <w:lang w:val="en-US"/>
        </w:rPr>
        <w:t xml:space="preserve"> by a company participating in EU tender procedure</w:t>
      </w:r>
      <w:r w:rsidRPr="000260CC">
        <w:rPr>
          <w:rFonts w:ascii="Calibri" w:hAnsi="Calibri" w:cs="Calibri"/>
          <w:lang w:val="en-US"/>
        </w:rPr>
        <w:t xml:space="preserve">. </w:t>
      </w:r>
      <w:r w:rsidR="00213F5C" w:rsidRPr="000260CC">
        <w:rPr>
          <w:rFonts w:ascii="Calibri" w:hAnsi="Calibri" w:cs="Calibri"/>
          <w:lang w:val="en-US"/>
        </w:rPr>
        <w:t xml:space="preserve">Company agreed to give </w:t>
      </w:r>
      <w:r w:rsidR="00443C06" w:rsidRPr="000260CC">
        <w:rPr>
          <w:rFonts w:ascii="Calibri" w:hAnsi="Calibri" w:cs="Calibri"/>
          <w:lang w:val="en-US"/>
        </w:rPr>
        <w:t xml:space="preserve">the European Commission </w:t>
      </w:r>
      <w:r w:rsidR="00213F5C" w:rsidRPr="000260CC">
        <w:rPr>
          <w:rFonts w:ascii="Calibri" w:hAnsi="Calibri" w:cs="Calibri"/>
          <w:lang w:val="en-US"/>
        </w:rPr>
        <w:t xml:space="preserve">access to the settlement agreement and WB informed about </w:t>
      </w:r>
      <w:r w:rsidR="00443C06" w:rsidRPr="000260CC">
        <w:rPr>
          <w:rFonts w:ascii="Calibri" w:hAnsi="Calibri" w:cs="Calibri"/>
          <w:lang w:val="en-US"/>
        </w:rPr>
        <w:t xml:space="preserve">positive </w:t>
      </w:r>
      <w:r w:rsidR="00213F5C" w:rsidRPr="000260CC">
        <w:rPr>
          <w:rFonts w:ascii="Calibri" w:hAnsi="Calibri" w:cs="Calibri"/>
          <w:lang w:val="en-US"/>
        </w:rPr>
        <w:t xml:space="preserve">assessment of remedial measures and continued compliance. </w:t>
      </w:r>
      <w:r w:rsidR="00443C06" w:rsidRPr="000260CC">
        <w:rPr>
          <w:rFonts w:ascii="Calibri" w:hAnsi="Calibri" w:cs="Calibri"/>
          <w:lang w:val="en-US"/>
        </w:rPr>
        <w:t xml:space="preserve">These elements </w:t>
      </w:r>
      <w:r w:rsidR="00E83426" w:rsidRPr="000260CC">
        <w:rPr>
          <w:rFonts w:ascii="Calibri" w:hAnsi="Calibri" w:cs="Calibri"/>
          <w:lang w:val="en-US"/>
        </w:rPr>
        <w:t>were</w:t>
      </w:r>
      <w:r w:rsidR="00443C06" w:rsidRPr="000260CC">
        <w:rPr>
          <w:rFonts w:ascii="Calibri" w:hAnsi="Calibri" w:cs="Calibri"/>
          <w:lang w:val="en-US"/>
        </w:rPr>
        <w:t xml:space="preserve"> taken into consideration</w:t>
      </w:r>
      <w:r w:rsidR="005B7179" w:rsidRPr="000260CC">
        <w:rPr>
          <w:rFonts w:ascii="Calibri" w:hAnsi="Calibri" w:cs="Calibri"/>
          <w:lang w:val="en-US"/>
        </w:rPr>
        <w:t xml:space="preserve"> </w:t>
      </w:r>
      <w:r w:rsidR="00443C06" w:rsidRPr="000260CC">
        <w:rPr>
          <w:rFonts w:ascii="Calibri" w:hAnsi="Calibri" w:cs="Calibri"/>
          <w:lang w:val="en-US"/>
        </w:rPr>
        <w:t xml:space="preserve">as “facts” </w:t>
      </w:r>
      <w:r w:rsidR="005B7179" w:rsidRPr="000260CC">
        <w:rPr>
          <w:rFonts w:ascii="Calibri" w:hAnsi="Calibri" w:cs="Calibri"/>
          <w:lang w:val="en-US"/>
        </w:rPr>
        <w:t xml:space="preserve">under the EU rules. </w:t>
      </w:r>
      <w:r w:rsidR="00213F5C" w:rsidRPr="000260CC">
        <w:rPr>
          <w:rFonts w:ascii="Calibri" w:hAnsi="Calibri" w:cs="Calibri"/>
          <w:lang w:val="en-US"/>
        </w:rPr>
        <w:t>C</w:t>
      </w:r>
      <w:r w:rsidRPr="000260CC">
        <w:rPr>
          <w:rFonts w:ascii="Calibri" w:hAnsi="Calibri" w:cs="Calibri"/>
          <w:lang w:val="en-US"/>
        </w:rPr>
        <w:t xml:space="preserve">ompany was allowed </w:t>
      </w:r>
      <w:r w:rsidR="00213F5C" w:rsidRPr="000260CC">
        <w:rPr>
          <w:rFonts w:ascii="Calibri" w:hAnsi="Calibri" w:cs="Calibri"/>
          <w:lang w:val="en-US"/>
        </w:rPr>
        <w:t xml:space="preserve">for bidding given the measures effectively taken and the </w:t>
      </w:r>
      <w:r w:rsidRPr="000260CC">
        <w:rPr>
          <w:rFonts w:ascii="Calibri" w:hAnsi="Calibri" w:cs="Calibri"/>
          <w:lang w:val="en-US"/>
        </w:rPr>
        <w:t>time elaps</w:t>
      </w:r>
      <w:r w:rsidR="00213F5C" w:rsidRPr="000260CC">
        <w:rPr>
          <w:rFonts w:ascii="Calibri" w:hAnsi="Calibri" w:cs="Calibri"/>
          <w:lang w:val="en-US"/>
        </w:rPr>
        <w:t>ed since the facts (</w:t>
      </w:r>
      <w:r w:rsidRPr="000260CC">
        <w:rPr>
          <w:rFonts w:ascii="Calibri" w:hAnsi="Calibri" w:cs="Calibri"/>
          <w:lang w:val="en-US"/>
        </w:rPr>
        <w:t>proportionality principle</w:t>
      </w:r>
      <w:r w:rsidR="00213F5C" w:rsidRPr="000260CC">
        <w:rPr>
          <w:rFonts w:ascii="Calibri" w:hAnsi="Calibri" w:cs="Calibri"/>
          <w:lang w:val="en-US"/>
        </w:rPr>
        <w:t>)</w:t>
      </w:r>
      <w:r w:rsidR="005B7179" w:rsidRPr="000260CC">
        <w:rPr>
          <w:rFonts w:ascii="Calibri" w:hAnsi="Calibri" w:cs="Calibri"/>
          <w:lang w:val="en-US"/>
        </w:rPr>
        <w:t>.</w:t>
      </w:r>
    </w:p>
    <w:p w:rsidR="00443C06" w:rsidRPr="000260CC" w:rsidRDefault="00213F5C" w:rsidP="00443C06">
      <w:pPr>
        <w:pStyle w:val="ListParagraph"/>
        <w:numPr>
          <w:ilvl w:val="0"/>
          <w:numId w:val="11"/>
        </w:numPr>
        <w:spacing w:after="200"/>
        <w:ind w:left="351" w:hanging="357"/>
        <w:contextualSpacing w:val="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0260CC">
        <w:rPr>
          <w:rFonts w:ascii="Calibri" w:hAnsi="Calibri" w:cs="Calibri"/>
          <w:i/>
          <w:lang w:val="en-US"/>
        </w:rPr>
        <w:t>Contract awarded based on false information/documentation presented in the tender</w:t>
      </w:r>
      <w:r w:rsidRPr="000260CC">
        <w:rPr>
          <w:rFonts w:ascii="Calibri" w:hAnsi="Calibri" w:cs="Calibri"/>
          <w:lang w:val="en-US"/>
        </w:rPr>
        <w:t>. Continuous false statements about the actual conditions of the equipment delivered, which originated from sources other than those indicated in the tender.</w:t>
      </w:r>
      <w:r w:rsidR="00796969" w:rsidRPr="000260CC">
        <w:rPr>
          <w:rFonts w:ascii="Calibri" w:hAnsi="Calibri" w:cs="Calibri"/>
          <w:lang w:val="en-US"/>
        </w:rPr>
        <w:t xml:space="preserve"> </w:t>
      </w:r>
      <w:r w:rsidRPr="000260CC">
        <w:rPr>
          <w:rFonts w:ascii="Calibri" w:hAnsi="Calibri" w:cs="Calibri"/>
          <w:lang w:val="en-US"/>
        </w:rPr>
        <w:t>3 years of exclusion for fraud and publication.</w:t>
      </w:r>
    </w:p>
    <w:p w:rsidR="00443C06" w:rsidRPr="000260CC" w:rsidRDefault="00443C06" w:rsidP="00443C06">
      <w:pPr>
        <w:pStyle w:val="ListParagraph"/>
        <w:numPr>
          <w:ilvl w:val="0"/>
          <w:numId w:val="11"/>
        </w:numPr>
        <w:spacing w:after="200"/>
        <w:ind w:left="351" w:hanging="357"/>
        <w:contextualSpacing w:val="0"/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i/>
          <w:lang w:val="en-US"/>
        </w:rPr>
        <w:t>Serious breach of contract taken place in a third country</w:t>
      </w:r>
      <w:r w:rsidRPr="000260CC">
        <w:rPr>
          <w:rFonts w:ascii="Calibri" w:hAnsi="Calibri" w:cs="Calibri"/>
          <w:lang w:val="en-US"/>
        </w:rPr>
        <w:t xml:space="preserve"> </w:t>
      </w:r>
      <w:r w:rsidR="00E83426" w:rsidRPr="000260CC">
        <w:rPr>
          <w:rFonts w:ascii="Calibri" w:hAnsi="Calibri" w:cs="Calibri"/>
          <w:lang w:val="en-US"/>
        </w:rPr>
        <w:t xml:space="preserve">– delay and partial </w:t>
      </w:r>
      <w:r w:rsidRPr="000260CC">
        <w:rPr>
          <w:rFonts w:ascii="Calibri" w:hAnsi="Calibri" w:cs="Calibri"/>
          <w:lang w:val="en-US"/>
        </w:rPr>
        <w:t xml:space="preserve">implementation of works, high financial impact, </w:t>
      </w:r>
      <w:r w:rsidR="00796969" w:rsidRPr="000260CC">
        <w:rPr>
          <w:rFonts w:ascii="Calibri" w:hAnsi="Calibri" w:cs="Calibri"/>
          <w:lang w:val="en-US"/>
        </w:rPr>
        <w:t xml:space="preserve">refusal of </w:t>
      </w:r>
      <w:r w:rsidRPr="000260CC">
        <w:rPr>
          <w:rFonts w:ascii="Calibri" w:hAnsi="Calibri" w:cs="Calibri"/>
          <w:i/>
          <w:lang w:val="en-US"/>
        </w:rPr>
        <w:t>the guarantor to honor the guarantee</w:t>
      </w:r>
      <w:r w:rsidRPr="000260CC">
        <w:rPr>
          <w:rFonts w:ascii="Calibri" w:hAnsi="Calibri" w:cs="Calibri"/>
          <w:lang w:val="en-US"/>
        </w:rPr>
        <w:t xml:space="preserve">, risk of harming the EU reputation in a third country. 3 years of exclusion with a publication.  </w:t>
      </w:r>
    </w:p>
    <w:p w:rsidR="009571A3" w:rsidRPr="000260CC" w:rsidRDefault="009571A3" w:rsidP="005B7179">
      <w:pPr>
        <w:pStyle w:val="ListParagraph"/>
        <w:numPr>
          <w:ilvl w:val="0"/>
          <w:numId w:val="11"/>
        </w:numPr>
        <w:spacing w:after="200"/>
        <w:ind w:left="351" w:hanging="357"/>
        <w:contextualSpacing w:val="0"/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i/>
          <w:lang w:val="en-US"/>
        </w:rPr>
        <w:t>I</w:t>
      </w:r>
      <w:r w:rsidR="00E83426" w:rsidRPr="000260CC">
        <w:rPr>
          <w:rFonts w:ascii="Calibri" w:hAnsi="Calibri" w:cs="Calibri"/>
          <w:i/>
          <w:lang w:val="en-US"/>
        </w:rPr>
        <w:t xml:space="preserve">rregularities, </w:t>
      </w:r>
      <w:r w:rsidRPr="000260CC">
        <w:rPr>
          <w:rFonts w:ascii="Calibri" w:hAnsi="Calibri" w:cs="Calibri"/>
          <w:i/>
          <w:lang w:val="en-US"/>
        </w:rPr>
        <w:t>false declarations of research beneficiary</w:t>
      </w:r>
      <w:r w:rsidRPr="000260CC">
        <w:rPr>
          <w:rFonts w:ascii="Calibri" w:hAnsi="Calibri" w:cs="Calibri"/>
          <w:lang w:val="en-US"/>
        </w:rPr>
        <w:t xml:space="preserve"> – misappropriation of EU funds – non transfer EU funding to the partners of the consortium. Authorities of a Member State opened national investigations based on EU Anti-Fraud Office (OLAF) findings. </w:t>
      </w:r>
      <w:r w:rsidR="00796969" w:rsidRPr="000260CC">
        <w:rPr>
          <w:rFonts w:ascii="Calibri" w:hAnsi="Calibri" w:cs="Calibri"/>
          <w:lang w:val="en-US"/>
        </w:rPr>
        <w:t xml:space="preserve">Adversarial </w:t>
      </w:r>
      <w:r w:rsidR="00EB1B20" w:rsidRPr="000260CC">
        <w:rPr>
          <w:rFonts w:ascii="Calibri" w:hAnsi="Calibri" w:cs="Calibri"/>
          <w:lang w:val="en-US"/>
        </w:rPr>
        <w:t xml:space="preserve">EDES </w:t>
      </w:r>
      <w:r w:rsidRPr="000260CC">
        <w:rPr>
          <w:rFonts w:ascii="Calibri" w:hAnsi="Calibri" w:cs="Calibri"/>
          <w:lang w:val="en-US"/>
        </w:rPr>
        <w:t>Panel procedure postponed to safeguard the confidentiality of national investigations.</w:t>
      </w:r>
    </w:p>
    <w:p w:rsidR="009571A3" w:rsidRPr="000260CC" w:rsidRDefault="00796969" w:rsidP="005B7179">
      <w:pPr>
        <w:pStyle w:val="ListParagraph"/>
        <w:numPr>
          <w:ilvl w:val="0"/>
          <w:numId w:val="11"/>
        </w:numPr>
        <w:spacing w:after="200"/>
        <w:ind w:left="351" w:hanging="357"/>
        <w:contextualSpacing w:val="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0260CC">
        <w:rPr>
          <w:rFonts w:ascii="Calibri" w:hAnsi="Calibri" w:cs="Calibri"/>
          <w:i/>
          <w:lang w:val="en-US"/>
        </w:rPr>
        <w:t xml:space="preserve">A </w:t>
      </w:r>
      <w:r w:rsidR="00E83426" w:rsidRPr="000260CC">
        <w:rPr>
          <w:rFonts w:ascii="Calibri" w:hAnsi="Calibri" w:cs="Calibri"/>
          <w:i/>
          <w:lang w:val="en-US"/>
        </w:rPr>
        <w:t xml:space="preserve">company member of a consortium </w:t>
      </w:r>
      <w:r w:rsidR="009571A3" w:rsidRPr="000260CC">
        <w:rPr>
          <w:rFonts w:ascii="Calibri" w:hAnsi="Calibri" w:cs="Calibri"/>
          <w:i/>
          <w:lang w:val="en-US"/>
        </w:rPr>
        <w:t>subject to an administrative financial fine by an Anti-trust Authority</w:t>
      </w:r>
      <w:r w:rsidR="00E83426" w:rsidRPr="000260CC">
        <w:rPr>
          <w:rFonts w:ascii="Calibri" w:hAnsi="Calibri" w:cs="Calibri"/>
          <w:lang w:val="en-US"/>
        </w:rPr>
        <w:t xml:space="preserve">. The company </w:t>
      </w:r>
      <w:r w:rsidR="009571A3" w:rsidRPr="000260CC">
        <w:rPr>
          <w:rFonts w:ascii="Calibri" w:hAnsi="Calibri" w:cs="Calibri"/>
          <w:lang w:val="en-US"/>
        </w:rPr>
        <w:t xml:space="preserve">challenged the </w:t>
      </w:r>
      <w:r w:rsidR="005B7179" w:rsidRPr="000260CC">
        <w:rPr>
          <w:rFonts w:ascii="Calibri" w:hAnsi="Calibri" w:cs="Calibri"/>
          <w:lang w:val="en-US"/>
        </w:rPr>
        <w:t>case before a national</w:t>
      </w:r>
      <w:r w:rsidR="009571A3" w:rsidRPr="000260CC">
        <w:rPr>
          <w:rFonts w:ascii="Calibri" w:hAnsi="Calibri" w:cs="Calibri"/>
          <w:lang w:val="en-US"/>
        </w:rPr>
        <w:t xml:space="preserve"> Court</w:t>
      </w:r>
      <w:r w:rsidR="00E83426" w:rsidRPr="000260CC">
        <w:rPr>
          <w:rFonts w:ascii="Calibri" w:hAnsi="Calibri" w:cs="Calibri"/>
          <w:lang w:val="en-US"/>
        </w:rPr>
        <w:t xml:space="preserve"> and obtained the annulment of t</w:t>
      </w:r>
      <w:r w:rsidR="009571A3" w:rsidRPr="000260CC">
        <w:rPr>
          <w:rFonts w:ascii="Calibri" w:hAnsi="Calibri" w:cs="Calibri"/>
          <w:lang w:val="en-US"/>
        </w:rPr>
        <w:t>he decis</w:t>
      </w:r>
      <w:r w:rsidRPr="000260CC">
        <w:rPr>
          <w:rFonts w:ascii="Calibri" w:hAnsi="Calibri" w:cs="Calibri"/>
          <w:lang w:val="en-US"/>
        </w:rPr>
        <w:t>ion of the Anti-</w:t>
      </w:r>
      <w:r w:rsidR="000260CC">
        <w:rPr>
          <w:rFonts w:ascii="Calibri" w:hAnsi="Calibri" w:cs="Calibri"/>
          <w:lang w:val="en-US"/>
        </w:rPr>
        <w:t>t</w:t>
      </w:r>
      <w:r w:rsidR="00E83426" w:rsidRPr="000260CC">
        <w:rPr>
          <w:rFonts w:ascii="Calibri" w:hAnsi="Calibri" w:cs="Calibri"/>
          <w:lang w:val="en-US"/>
        </w:rPr>
        <w:t>rust Authority</w:t>
      </w:r>
      <w:r w:rsidR="009571A3" w:rsidRPr="000260CC">
        <w:rPr>
          <w:rFonts w:ascii="Calibri" w:hAnsi="Calibri" w:cs="Calibri"/>
          <w:lang w:val="en-US"/>
        </w:rPr>
        <w:t xml:space="preserve">. </w:t>
      </w:r>
      <w:r w:rsidR="005B7179" w:rsidRPr="000260CC">
        <w:rPr>
          <w:rFonts w:ascii="Calibri" w:hAnsi="Calibri" w:cs="Calibri"/>
          <w:lang w:val="en-US"/>
        </w:rPr>
        <w:t>By way of consequence, the</w:t>
      </w:r>
      <w:r w:rsidR="009571A3" w:rsidRPr="000260CC">
        <w:rPr>
          <w:rFonts w:ascii="Calibri" w:hAnsi="Calibri" w:cs="Calibri"/>
          <w:lang w:val="en-US"/>
        </w:rPr>
        <w:t xml:space="preserve"> situati</w:t>
      </w:r>
      <w:r w:rsidR="0080530F" w:rsidRPr="000260CC">
        <w:rPr>
          <w:rFonts w:ascii="Calibri" w:hAnsi="Calibri" w:cs="Calibri"/>
          <w:lang w:val="en-US"/>
        </w:rPr>
        <w:t>on of exclusion of the</w:t>
      </w:r>
      <w:r w:rsidR="009571A3" w:rsidRPr="000260CC">
        <w:rPr>
          <w:rFonts w:ascii="Calibri" w:hAnsi="Calibri" w:cs="Calibri"/>
          <w:lang w:val="en-US"/>
        </w:rPr>
        <w:t xml:space="preserve"> company was no longer borne out by sustainable legal </w:t>
      </w:r>
      <w:r w:rsidR="0080530F" w:rsidRPr="000260CC">
        <w:rPr>
          <w:rFonts w:ascii="Calibri" w:hAnsi="Calibri" w:cs="Calibri"/>
          <w:lang w:val="en-US"/>
        </w:rPr>
        <w:t>evidence (case dismissed).</w:t>
      </w:r>
    </w:p>
    <w:p w:rsidR="00796969" w:rsidRPr="000260CC" w:rsidRDefault="009571A3" w:rsidP="000260CC">
      <w:pPr>
        <w:pStyle w:val="ListParagraph"/>
        <w:numPr>
          <w:ilvl w:val="0"/>
          <w:numId w:val="11"/>
        </w:numPr>
        <w:spacing w:after="200"/>
        <w:ind w:left="351" w:hanging="357"/>
        <w:contextualSpacing w:val="0"/>
        <w:jc w:val="both"/>
        <w:rPr>
          <w:rFonts w:ascii="Calibri" w:hAnsi="Calibri" w:cs="Calibri"/>
          <w:lang w:val="en-US"/>
        </w:rPr>
      </w:pPr>
      <w:r w:rsidRPr="000260CC">
        <w:rPr>
          <w:rFonts w:ascii="Calibri" w:hAnsi="Calibri" w:cs="Calibri"/>
          <w:i/>
          <w:lang w:val="en-US"/>
        </w:rPr>
        <w:t>Irregularities in personnel and subcontracting costs failure to comply with its contractual obligation</w:t>
      </w:r>
      <w:r w:rsidRPr="000260CC">
        <w:rPr>
          <w:rFonts w:ascii="Calibri" w:hAnsi="Calibri" w:cs="Calibri"/>
          <w:lang w:val="en-US"/>
        </w:rPr>
        <w:t>s.</w:t>
      </w:r>
      <w:r w:rsidR="005B7179" w:rsidRPr="000260CC">
        <w:rPr>
          <w:rFonts w:ascii="Calibri" w:hAnsi="Calibri" w:cs="Calibri"/>
          <w:lang w:val="en-US"/>
        </w:rPr>
        <w:t xml:space="preserve"> Difficulties</w:t>
      </w:r>
      <w:r w:rsidRPr="000260CC">
        <w:rPr>
          <w:rFonts w:ascii="Calibri" w:hAnsi="Calibri" w:cs="Calibri"/>
          <w:lang w:val="en-US"/>
        </w:rPr>
        <w:t xml:space="preserve"> to locate and notify the letter opening the exclusion procedure. </w:t>
      </w:r>
      <w:r w:rsidR="00796969" w:rsidRPr="000260CC">
        <w:rPr>
          <w:rFonts w:ascii="Calibri" w:hAnsi="Calibri" w:cs="Calibri"/>
          <w:lang w:val="en-US"/>
        </w:rPr>
        <w:t xml:space="preserve">Use of parallel means </w:t>
      </w:r>
      <w:r w:rsidR="000260CC" w:rsidRPr="000260CC">
        <w:rPr>
          <w:rFonts w:ascii="Calibri" w:hAnsi="Calibri" w:cs="Calibri"/>
          <w:lang w:val="en-US"/>
        </w:rPr>
        <w:t>to prove receipt and effective notification of the economic operator (</w:t>
      </w:r>
      <w:r w:rsidR="00796969" w:rsidRPr="000260CC">
        <w:rPr>
          <w:rFonts w:ascii="Calibri" w:hAnsi="Calibri" w:cs="Calibri"/>
          <w:lang w:val="en-US"/>
        </w:rPr>
        <w:t>respect of the right of defense</w:t>
      </w:r>
      <w:r w:rsidR="000260CC" w:rsidRPr="000260CC">
        <w:rPr>
          <w:rFonts w:ascii="Calibri" w:hAnsi="Calibri" w:cs="Calibri"/>
          <w:lang w:val="en-US"/>
        </w:rPr>
        <w:t xml:space="preserve">): </w:t>
      </w:r>
      <w:r w:rsidR="005F75FC" w:rsidRPr="000260CC">
        <w:rPr>
          <w:rFonts w:ascii="Calibri" w:hAnsi="Calibri" w:cs="Calibri"/>
          <w:lang w:val="en-US"/>
        </w:rPr>
        <w:t>registered mail with acknowledgement of receipt</w:t>
      </w:r>
      <w:r w:rsidRPr="000260CC">
        <w:rPr>
          <w:rFonts w:ascii="Calibri" w:hAnsi="Calibri" w:cs="Calibri"/>
          <w:lang w:val="en-US"/>
        </w:rPr>
        <w:t xml:space="preserve"> and in parallel the</w:t>
      </w:r>
      <w:r w:rsidR="000260CC">
        <w:rPr>
          <w:rFonts w:ascii="Calibri" w:hAnsi="Calibri" w:cs="Calibri"/>
          <w:lang w:val="en-US"/>
        </w:rPr>
        <w:t xml:space="preserve"> services of a bailiff</w:t>
      </w:r>
      <w:r w:rsidR="000260CC" w:rsidRPr="000260CC">
        <w:rPr>
          <w:rFonts w:ascii="Calibri" w:hAnsi="Calibri" w:cs="Calibri"/>
          <w:lang w:val="en-US"/>
        </w:rPr>
        <w:t>.</w:t>
      </w:r>
    </w:p>
    <w:p w:rsidR="000260CC" w:rsidRPr="000260CC" w:rsidRDefault="000260CC" w:rsidP="000260CC">
      <w:pPr>
        <w:pStyle w:val="ListParagraph"/>
        <w:spacing w:after="200"/>
        <w:ind w:left="351"/>
        <w:contextualSpacing w:val="0"/>
        <w:jc w:val="both"/>
        <w:rPr>
          <w:rFonts w:ascii="Calibri" w:hAnsi="Calibri" w:cs="Calibri"/>
          <w:lang w:val="en-US"/>
        </w:rPr>
      </w:pPr>
    </w:p>
    <w:sectPr w:rsidR="000260CC" w:rsidRPr="000260CC" w:rsidSect="00FB2910">
      <w:footerReference w:type="defaul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F6" w:rsidRDefault="00D66BF6" w:rsidP="00557C6C">
      <w:pPr>
        <w:spacing w:after="0" w:line="240" w:lineRule="auto"/>
      </w:pPr>
      <w:r>
        <w:separator/>
      </w:r>
    </w:p>
  </w:endnote>
  <w:endnote w:type="continuationSeparator" w:id="0">
    <w:p w:rsidR="00D66BF6" w:rsidRDefault="00D66BF6" w:rsidP="0055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291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328" w:rsidRDefault="00E833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3328" w:rsidRDefault="00E83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F6" w:rsidRDefault="00D66BF6" w:rsidP="00557C6C">
      <w:pPr>
        <w:spacing w:after="0" w:line="240" w:lineRule="auto"/>
      </w:pPr>
      <w:r>
        <w:separator/>
      </w:r>
    </w:p>
  </w:footnote>
  <w:footnote w:type="continuationSeparator" w:id="0">
    <w:p w:rsidR="00D66BF6" w:rsidRDefault="00D66BF6" w:rsidP="00557C6C">
      <w:pPr>
        <w:spacing w:after="0" w:line="240" w:lineRule="auto"/>
      </w:pPr>
      <w:r>
        <w:continuationSeparator/>
      </w:r>
    </w:p>
  </w:footnote>
  <w:footnote w:id="1">
    <w:p w:rsidR="009C2CD8" w:rsidRPr="005660D6" w:rsidRDefault="009C2CD8">
      <w:pPr>
        <w:pStyle w:val="FootnoteText"/>
        <w:rPr>
          <w:sz w:val="16"/>
          <w:szCs w:val="16"/>
        </w:rPr>
      </w:pPr>
      <w:r w:rsidRPr="005660D6">
        <w:rPr>
          <w:rStyle w:val="FootnoteReference"/>
          <w:sz w:val="16"/>
          <w:szCs w:val="16"/>
        </w:rPr>
        <w:footnoteRef/>
      </w:r>
      <w:r w:rsidRPr="005660D6">
        <w:rPr>
          <w:sz w:val="16"/>
          <w:szCs w:val="16"/>
        </w:rPr>
        <w:t xml:space="preserve"> See in particular paragraphs </w:t>
      </w:r>
    </w:p>
  </w:footnote>
  <w:footnote w:id="2">
    <w:p w:rsidR="00893055" w:rsidRPr="005660D6" w:rsidRDefault="00893055" w:rsidP="002B5253">
      <w:pPr>
        <w:pStyle w:val="FootnoteText"/>
        <w:rPr>
          <w:sz w:val="16"/>
          <w:szCs w:val="16"/>
        </w:rPr>
      </w:pPr>
      <w:r w:rsidRPr="005660D6">
        <w:rPr>
          <w:rStyle w:val="FootnoteReference"/>
          <w:sz w:val="16"/>
          <w:szCs w:val="16"/>
        </w:rPr>
        <w:footnoteRef/>
      </w:r>
      <w:r w:rsidRPr="005660D6">
        <w:rPr>
          <w:sz w:val="16"/>
          <w:szCs w:val="16"/>
        </w:rPr>
        <w:t xml:space="preserve"> See i.a. </w:t>
      </w:r>
      <w:r w:rsidR="005D0824" w:rsidRPr="005660D6">
        <w:rPr>
          <w:sz w:val="16"/>
          <w:szCs w:val="16"/>
        </w:rPr>
        <w:t xml:space="preserve">Orders of the General Court </w:t>
      </w:r>
      <w:r w:rsidR="002B5253" w:rsidRPr="005660D6">
        <w:rPr>
          <w:sz w:val="16"/>
          <w:szCs w:val="16"/>
        </w:rPr>
        <w:t>of 28 September 2017, in Case T-207/16, Aristoteleio Panepistimio Thessalonikis v European Commissions</w:t>
      </w:r>
      <w:r w:rsidR="005D0824" w:rsidRPr="005660D6">
        <w:rPr>
          <w:sz w:val="16"/>
          <w:szCs w:val="16"/>
        </w:rPr>
        <w:t xml:space="preserve"> and of 18 September 2018 in Case T-664/17, eSlovensko/Commission</w:t>
      </w:r>
    </w:p>
  </w:footnote>
  <w:footnote w:id="3">
    <w:p w:rsidR="005D0824" w:rsidRPr="005660D6" w:rsidRDefault="005D0824">
      <w:pPr>
        <w:pStyle w:val="FootnoteText"/>
        <w:rPr>
          <w:sz w:val="16"/>
          <w:szCs w:val="16"/>
        </w:rPr>
      </w:pPr>
      <w:r w:rsidRPr="005660D6">
        <w:rPr>
          <w:rStyle w:val="FootnoteReference"/>
          <w:sz w:val="16"/>
          <w:szCs w:val="16"/>
        </w:rPr>
        <w:footnoteRef/>
      </w:r>
      <w:r w:rsidRPr="005660D6">
        <w:rPr>
          <w:sz w:val="16"/>
          <w:szCs w:val="16"/>
        </w:rPr>
        <w:t xml:space="preserve"> Judgment of the General Court of 27 June 2017 in Case T-151/16, NC v Commission</w:t>
      </w:r>
    </w:p>
  </w:footnote>
  <w:footnote w:id="4">
    <w:p w:rsidR="005D0824" w:rsidRPr="005D0824" w:rsidRDefault="005D0824" w:rsidP="002B5253">
      <w:pPr>
        <w:pStyle w:val="FootnoteText"/>
      </w:pPr>
      <w:r w:rsidRPr="005660D6">
        <w:rPr>
          <w:rStyle w:val="FootnoteReference"/>
          <w:sz w:val="16"/>
          <w:szCs w:val="16"/>
        </w:rPr>
        <w:footnoteRef/>
      </w:r>
      <w:r w:rsidRPr="005660D6">
        <w:rPr>
          <w:sz w:val="16"/>
          <w:szCs w:val="16"/>
        </w:rPr>
        <w:t xml:space="preserve"> </w:t>
      </w:r>
      <w:r w:rsidR="002B5253" w:rsidRPr="005660D6">
        <w:rPr>
          <w:sz w:val="16"/>
          <w:szCs w:val="16"/>
        </w:rPr>
        <w:t>Judgment of the General Court of 7 December 2018 in Case T-280/17, GE.CO.P. v Commission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78"/>
      </v:shape>
    </w:pict>
  </w:numPicBullet>
  <w:abstractNum w:abstractNumId="0" w15:restartNumberingAfterBreak="0">
    <w:nsid w:val="042A60FA"/>
    <w:multiLevelType w:val="hybridMultilevel"/>
    <w:tmpl w:val="826CF7E4"/>
    <w:lvl w:ilvl="0" w:tplc="8130AA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  <w:color w:val="3B3721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D552A"/>
    <w:multiLevelType w:val="hybridMultilevel"/>
    <w:tmpl w:val="DD6C1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145F"/>
    <w:multiLevelType w:val="multilevel"/>
    <w:tmpl w:val="894A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A25851"/>
    <w:multiLevelType w:val="hybridMultilevel"/>
    <w:tmpl w:val="C87A9E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FB1BB4"/>
    <w:multiLevelType w:val="multilevel"/>
    <w:tmpl w:val="1280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742E7"/>
    <w:multiLevelType w:val="hybridMultilevel"/>
    <w:tmpl w:val="5D585F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9285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76099"/>
    <w:multiLevelType w:val="hybridMultilevel"/>
    <w:tmpl w:val="5D585F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9285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80962"/>
    <w:multiLevelType w:val="multilevel"/>
    <w:tmpl w:val="47F4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14F84"/>
    <w:multiLevelType w:val="multilevel"/>
    <w:tmpl w:val="68FC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8525D8"/>
    <w:multiLevelType w:val="hybridMultilevel"/>
    <w:tmpl w:val="0CAA49D6"/>
    <w:lvl w:ilvl="0" w:tplc="08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286101"/>
    <w:multiLevelType w:val="multilevel"/>
    <w:tmpl w:val="5B54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26476"/>
    <w:rsid w:val="000054E2"/>
    <w:rsid w:val="00022F8F"/>
    <w:rsid w:val="000260CC"/>
    <w:rsid w:val="000260DE"/>
    <w:rsid w:val="000321E8"/>
    <w:rsid w:val="000A16ED"/>
    <w:rsid w:val="000A3AA5"/>
    <w:rsid w:val="000D3FAE"/>
    <w:rsid w:val="000E51D6"/>
    <w:rsid w:val="00111C2F"/>
    <w:rsid w:val="00124D31"/>
    <w:rsid w:val="00140603"/>
    <w:rsid w:val="00144E3D"/>
    <w:rsid w:val="001A0C20"/>
    <w:rsid w:val="001B5304"/>
    <w:rsid w:val="001D3983"/>
    <w:rsid w:val="001D586D"/>
    <w:rsid w:val="001E7496"/>
    <w:rsid w:val="00213F5C"/>
    <w:rsid w:val="00292925"/>
    <w:rsid w:val="002A33D9"/>
    <w:rsid w:val="002B5253"/>
    <w:rsid w:val="002E36CE"/>
    <w:rsid w:val="00320EFF"/>
    <w:rsid w:val="0032616A"/>
    <w:rsid w:val="003642AD"/>
    <w:rsid w:val="003C7963"/>
    <w:rsid w:val="003E4AF9"/>
    <w:rsid w:val="00443C06"/>
    <w:rsid w:val="00471597"/>
    <w:rsid w:val="0047382F"/>
    <w:rsid w:val="004760CB"/>
    <w:rsid w:val="00552FCF"/>
    <w:rsid w:val="00556F18"/>
    <w:rsid w:val="00557C6C"/>
    <w:rsid w:val="005660D6"/>
    <w:rsid w:val="00587629"/>
    <w:rsid w:val="005B7179"/>
    <w:rsid w:val="005D0824"/>
    <w:rsid w:val="005E43E4"/>
    <w:rsid w:val="005F75FC"/>
    <w:rsid w:val="0064370D"/>
    <w:rsid w:val="00666C15"/>
    <w:rsid w:val="00671F98"/>
    <w:rsid w:val="006E43BE"/>
    <w:rsid w:val="006F30A4"/>
    <w:rsid w:val="00721E3F"/>
    <w:rsid w:val="0073722E"/>
    <w:rsid w:val="00771C68"/>
    <w:rsid w:val="00796969"/>
    <w:rsid w:val="007B5A32"/>
    <w:rsid w:val="007C01E4"/>
    <w:rsid w:val="007D237C"/>
    <w:rsid w:val="007E1660"/>
    <w:rsid w:val="007E29C6"/>
    <w:rsid w:val="0080530F"/>
    <w:rsid w:val="00832A16"/>
    <w:rsid w:val="00860622"/>
    <w:rsid w:val="008642DD"/>
    <w:rsid w:val="00870C49"/>
    <w:rsid w:val="00893055"/>
    <w:rsid w:val="008B0E3F"/>
    <w:rsid w:val="008C0703"/>
    <w:rsid w:val="009342A6"/>
    <w:rsid w:val="009571A3"/>
    <w:rsid w:val="00972DE4"/>
    <w:rsid w:val="009A506E"/>
    <w:rsid w:val="009C2CD8"/>
    <w:rsid w:val="009D517B"/>
    <w:rsid w:val="00A13150"/>
    <w:rsid w:val="00A55C0F"/>
    <w:rsid w:val="00A67DC0"/>
    <w:rsid w:val="00A7258E"/>
    <w:rsid w:val="00A833CF"/>
    <w:rsid w:val="00A835F9"/>
    <w:rsid w:val="00AD69C0"/>
    <w:rsid w:val="00AE1071"/>
    <w:rsid w:val="00B028C7"/>
    <w:rsid w:val="00B80A8E"/>
    <w:rsid w:val="00BA02A9"/>
    <w:rsid w:val="00BB630A"/>
    <w:rsid w:val="00C145B8"/>
    <w:rsid w:val="00C1743F"/>
    <w:rsid w:val="00C33D41"/>
    <w:rsid w:val="00C770C0"/>
    <w:rsid w:val="00CD5438"/>
    <w:rsid w:val="00D12862"/>
    <w:rsid w:val="00D26476"/>
    <w:rsid w:val="00D334B4"/>
    <w:rsid w:val="00D36B6B"/>
    <w:rsid w:val="00D66BF6"/>
    <w:rsid w:val="00D8553D"/>
    <w:rsid w:val="00DA72A4"/>
    <w:rsid w:val="00DE5FF3"/>
    <w:rsid w:val="00E00EF5"/>
    <w:rsid w:val="00E2452A"/>
    <w:rsid w:val="00E83328"/>
    <w:rsid w:val="00E83426"/>
    <w:rsid w:val="00EB1B20"/>
    <w:rsid w:val="00F16397"/>
    <w:rsid w:val="00F166E4"/>
    <w:rsid w:val="00F170D0"/>
    <w:rsid w:val="00FA687F"/>
    <w:rsid w:val="00FB2910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4D6A8B"/>
  <w15:chartTrackingRefBased/>
  <w15:docId w15:val="{D3A25262-9C96-49BE-9286-B57C9A24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7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557C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57C6C"/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557C6C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16397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16397"/>
    <w:rPr>
      <w:rFonts w:ascii="Calibri" w:hAnsi="Calibri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0A"/>
    <w:rPr>
      <w:rFonts w:ascii="Segoe UI" w:hAnsi="Segoe UI" w:cs="Segoe UI"/>
      <w:sz w:val="18"/>
      <w:szCs w:val="18"/>
    </w:rPr>
  </w:style>
  <w:style w:type="paragraph" w:customStyle="1" w:styleId="banner-flag">
    <w:name w:val="banner-flag"/>
    <w:basedOn w:val="Normal"/>
    <w:rsid w:val="009D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Hyperlink">
    <w:name w:val="Hyperlink"/>
    <w:basedOn w:val="DefaultParagraphFont"/>
    <w:uiPriority w:val="99"/>
    <w:unhideWhenUsed/>
    <w:rsid w:val="009D517B"/>
    <w:rPr>
      <w:color w:val="0000FF"/>
      <w:u w:val="single"/>
    </w:rPr>
  </w:style>
  <w:style w:type="paragraph" w:customStyle="1" w:styleId="off-screen">
    <w:name w:val="off-screen"/>
    <w:basedOn w:val="Normal"/>
    <w:rsid w:val="009D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off-screen1">
    <w:name w:val="off-screen1"/>
    <w:basedOn w:val="DefaultParagraphFont"/>
    <w:rsid w:val="009D517B"/>
  </w:style>
  <w:style w:type="paragraph" w:styleId="NormalWeb">
    <w:name w:val="Normal (Web)"/>
    <w:basedOn w:val="Normal"/>
    <w:uiPriority w:val="99"/>
    <w:semiHidden/>
    <w:unhideWhenUsed/>
    <w:rsid w:val="0086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Header">
    <w:name w:val="header"/>
    <w:basedOn w:val="Normal"/>
    <w:link w:val="HeaderChar"/>
    <w:uiPriority w:val="99"/>
    <w:unhideWhenUsed/>
    <w:rsid w:val="00BA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2A9"/>
  </w:style>
  <w:style w:type="paragraph" w:styleId="Footer">
    <w:name w:val="footer"/>
    <w:basedOn w:val="Normal"/>
    <w:link w:val="FooterChar"/>
    <w:uiPriority w:val="99"/>
    <w:unhideWhenUsed/>
    <w:rsid w:val="00BA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345">
          <w:marLeft w:val="0"/>
          <w:marRight w:val="0"/>
          <w:marTop w:val="0"/>
          <w:marBottom w:val="0"/>
          <w:divBdr>
            <w:top w:val="single" w:sz="6" w:space="0" w:color="99AABB"/>
            <w:left w:val="single" w:sz="6" w:space="0" w:color="99AABB"/>
            <w:bottom w:val="single" w:sz="6" w:space="0" w:color="99AABB"/>
            <w:right w:val="single" w:sz="6" w:space="0" w:color="99AABB"/>
          </w:divBdr>
        </w:div>
      </w:divsChild>
    </w:div>
    <w:div w:id="431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ec.europa.eu/budget/edes/index_en.cf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NET1.cec.eu.int\HOMES\110\castabr\My%20Documents\EDES\Activity%20Report\Statistic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NET1.cec.eu.int\HOMES\110\castabr\My%20Documents\EDES\Activity%20Report\Statistics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EC Square Sans Cond Pro" panose="020B0506040000020004" pitchFamily="34" charset="0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Early Detection and Exclusion System activity </a:t>
            </a:r>
            <a:br>
              <a:rPr lang="en-US" sz="1400" b="1" i="0" baseline="0">
                <a:effectLst/>
              </a:rPr>
            </a:br>
            <a:r>
              <a:rPr lang="en-US" sz="1050" b="1" i="0" baseline="0">
                <a:effectLst/>
              </a:rPr>
              <a:t>(since its establishment in 2016)</a:t>
            </a:r>
            <a:r>
              <a:rPr lang="en-US" sz="1050" b="1" i="0" baseline="30000">
                <a:effectLst/>
              </a:rPr>
              <a:t>*</a:t>
            </a:r>
            <a:endParaRPr lang="en-IE" sz="105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EC Square Sans Cond Pro" panose="020B05060400000200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Statistics!$A$41</c:f>
              <c:strCache>
                <c:ptCount val="1"/>
                <c:pt idx="0">
                  <c:v>Number of cases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30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09E-4723-95EA-A1202A7B1EE0}"/>
              </c:ext>
            </c:extLst>
          </c:dPt>
          <c:dPt>
            <c:idx val="1"/>
            <c:invertIfNegative val="0"/>
            <c:bubble3D val="0"/>
            <c:spPr>
              <a:solidFill>
                <a:srgbClr val="FFFFC7"/>
              </a:solidFill>
              <a:ln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09E-4723-95EA-A1202A7B1EE0}"/>
              </c:ext>
            </c:extLst>
          </c:dPt>
          <c:dPt>
            <c:idx val="2"/>
            <c:invertIfNegative val="0"/>
            <c:bubble3D val="0"/>
            <c:spPr>
              <a:solidFill>
                <a:srgbClr val="FFFFC7"/>
              </a:solidFill>
              <a:ln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09E-4723-95EA-A1202A7B1EE0}"/>
              </c:ext>
            </c:extLst>
          </c:dPt>
          <c:dPt>
            <c:idx val="3"/>
            <c:invertIfNegative val="0"/>
            <c:bubble3D val="0"/>
            <c:spPr>
              <a:solidFill>
                <a:srgbClr val="FDAE61"/>
              </a:solidFill>
              <a:ln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09E-4723-95EA-A1202A7B1EE0}"/>
              </c:ext>
            </c:extLst>
          </c:dPt>
          <c:dPt>
            <c:idx val="4"/>
            <c:invertIfNegative val="0"/>
            <c:bubble3D val="0"/>
            <c:spPr>
              <a:solidFill>
                <a:srgbClr val="FDAE61"/>
              </a:solidFill>
              <a:ln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09E-4723-95EA-A1202A7B1EE0}"/>
              </c:ext>
            </c:extLst>
          </c:dPt>
          <c:dPt>
            <c:idx val="5"/>
            <c:invertIfNegative val="0"/>
            <c:bubble3D val="0"/>
            <c:spPr>
              <a:solidFill>
                <a:srgbClr val="FDAE61"/>
              </a:solidFill>
              <a:ln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09E-4723-95EA-A1202A7B1EE0}"/>
              </c:ext>
            </c:extLst>
          </c:dPt>
          <c:dPt>
            <c:idx val="6"/>
            <c:invertIfNegative val="0"/>
            <c:bubble3D val="0"/>
            <c:spPr>
              <a:solidFill>
                <a:srgbClr val="D7191C"/>
              </a:solidFill>
              <a:ln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09E-4723-95EA-A1202A7B1E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EC Square Sans Cond Pro" panose="020B05060400000200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Statistics!$B$39:$H$40</c:f>
              <c:multiLvlStrCache>
                <c:ptCount val="7"/>
                <c:lvl>
                  <c:pt idx="1">
                    <c:v>Proposed cases</c:v>
                  </c:pt>
                  <c:pt idx="2">
                    <c:v>Created cases</c:v>
                  </c:pt>
                  <c:pt idx="3">
                    <c:v>Referred cases</c:v>
                  </c:pt>
                  <c:pt idx="4">
                    <c:v>Recommendations 
</c:v>
                  </c:pt>
                  <c:pt idx="5">
                    <c:v>Exclusions</c:v>
                  </c:pt>
                </c:lvl>
                <c:lvl>
                  <c:pt idx="0">
                    <c:v>
Bankruptcy cases</c:v>
                  </c:pt>
                  <c:pt idx="1">
                    <c:v>
Early Detection cases</c:v>
                  </c:pt>
                  <c:pt idx="3">
                    <c:v>
Exclusion cases assessed by the Panel</c:v>
                  </c:pt>
                  <c:pt idx="6">
                    <c:v>
Published Exclusion cases</c:v>
                  </c:pt>
                </c:lvl>
              </c:multiLvlStrCache>
            </c:multiLvlStrRef>
          </c:cat>
          <c:val>
            <c:numRef>
              <c:f>Statistics!$B$41:$H$41</c:f>
              <c:numCache>
                <c:formatCode>General</c:formatCode>
                <c:ptCount val="7"/>
                <c:pt idx="0">
                  <c:v>282</c:v>
                </c:pt>
                <c:pt idx="1">
                  <c:v>42</c:v>
                </c:pt>
                <c:pt idx="2">
                  <c:v>33</c:v>
                </c:pt>
                <c:pt idx="3">
                  <c:v>43</c:v>
                </c:pt>
                <c:pt idx="4">
                  <c:v>27</c:v>
                </c:pt>
                <c:pt idx="5">
                  <c:v>24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09E-4723-95EA-A1202A7B1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7893136"/>
        <c:axId val="677893464"/>
      </c:barChart>
      <c:catAx>
        <c:axId val="67789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EC Square Sans Cond Pro" panose="020B0506040000020004" pitchFamily="34" charset="0"/>
                <a:ea typeface="+mn-ea"/>
                <a:cs typeface="+mn-cs"/>
              </a:defRPr>
            </a:pPr>
            <a:endParaRPr lang="en-US"/>
          </a:p>
        </c:txPr>
        <c:crossAx val="677893464"/>
        <c:crosses val="autoZero"/>
        <c:auto val="1"/>
        <c:lblAlgn val="ctr"/>
        <c:lblOffset val="100"/>
        <c:noMultiLvlLbl val="0"/>
      </c:catAx>
      <c:valAx>
        <c:axId val="677893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7789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EC Square Sans Cond Pro" panose="020B0506040000020004" pitchFamily="34" charset="0"/>
        </a:defRPr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EC Square Sans Cond Pro" panose="020B0506040000020004" pitchFamily="34" charset="0"/>
                <a:ea typeface="+mn-ea"/>
                <a:cs typeface="+mn-cs"/>
              </a:rPr>
              <a:t>Duration of Exclusion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6455026455026454E-2"/>
          <c:y val="0.11542144480262115"/>
          <c:w val="0.95149911816578481"/>
          <c:h val="0.64328841445154927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Statistics!$A$8</c:f>
              <c:strCache>
                <c:ptCount val="1"/>
                <c:pt idx="0">
                  <c:v>Other Policy areas and administrative Expenses</c:v>
                </c:pt>
              </c:strCache>
            </c:strRef>
          </c:tx>
          <c:spPr>
            <a:ln>
              <a:solidFill>
                <a:sysClr val="window" lastClr="FFFFFF">
                  <a:lumMod val="65000"/>
                </a:sys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Statistics!$M$5:$S$5</c:f>
              <c:strCache>
                <c:ptCount val="6"/>
                <c:pt idx="0">
                  <c:v>6 Months</c:v>
                </c:pt>
                <c:pt idx="1">
                  <c:v>1 Year</c:v>
                </c:pt>
                <c:pt idx="2">
                  <c:v>1.5 Years</c:v>
                </c:pt>
                <c:pt idx="3">
                  <c:v>2 Years</c:v>
                </c:pt>
                <c:pt idx="4">
                  <c:v>2.5 Years</c:v>
                </c:pt>
                <c:pt idx="5">
                  <c:v>3 Years</c:v>
                </c:pt>
              </c:strCache>
              <c:extLst/>
            </c:strRef>
          </c:cat>
          <c:val>
            <c:numRef>
              <c:f>Statistics!$M$8:$S$8</c:f>
              <c:numCache>
                <c:formatCode>General</c:formatCode>
                <c:ptCount val="6"/>
                <c:pt idx="3">
                  <c:v>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808-4272-B96F-441940BCD8DB}"/>
            </c:ext>
          </c:extLst>
        </c:ser>
        <c:ser>
          <c:idx val="0"/>
          <c:order val="1"/>
          <c:tx>
            <c:strRef>
              <c:f>Statistics!$A$6</c:f>
              <c:strCache>
                <c:ptCount val="1"/>
                <c:pt idx="0">
                  <c:v>Research and Information Policy (e.g. Horizon 2020)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Statistics!$M$5:$S$5</c:f>
              <c:strCache>
                <c:ptCount val="6"/>
                <c:pt idx="0">
                  <c:v>6 Months</c:v>
                </c:pt>
                <c:pt idx="1">
                  <c:v>1 Year</c:v>
                </c:pt>
                <c:pt idx="2">
                  <c:v>1.5 Years</c:v>
                </c:pt>
                <c:pt idx="3">
                  <c:v>2 Years</c:v>
                </c:pt>
                <c:pt idx="4">
                  <c:v>2.5 Years</c:v>
                </c:pt>
                <c:pt idx="5">
                  <c:v>3 Years</c:v>
                </c:pt>
              </c:strCache>
              <c:extLst/>
            </c:strRef>
          </c:cat>
          <c:val>
            <c:numRef>
              <c:f>Statistics!$M$6:$S$6</c:f>
              <c:numCache>
                <c:formatCode>General</c:formatCode>
                <c:ptCount val="6"/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7808-4272-B96F-441940BCD8DB}"/>
            </c:ext>
          </c:extLst>
        </c:ser>
        <c:ser>
          <c:idx val="1"/>
          <c:order val="2"/>
          <c:tx>
            <c:strRef>
              <c:f>Statistics!$A$7</c:f>
              <c:strCache>
                <c:ptCount val="1"/>
                <c:pt idx="0">
                  <c:v>Development and Cooperation, Neighbourhood Policy</c:v>
                </c:pt>
              </c:strCache>
            </c:strRef>
          </c:tx>
          <c:spPr>
            <a:solidFill>
              <a:srgbClr val="FFFFC7"/>
            </a:solidFill>
            <a:ln>
              <a:solidFill>
                <a:schemeClr val="bg1">
                  <a:lumMod val="6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Statistics!$M$5:$S$5</c:f>
              <c:strCache>
                <c:ptCount val="6"/>
                <c:pt idx="0">
                  <c:v>6 Months</c:v>
                </c:pt>
                <c:pt idx="1">
                  <c:v>1 Year</c:v>
                </c:pt>
                <c:pt idx="2">
                  <c:v>1.5 Years</c:v>
                </c:pt>
                <c:pt idx="3">
                  <c:v>2 Years</c:v>
                </c:pt>
                <c:pt idx="4">
                  <c:v>2.5 Years</c:v>
                </c:pt>
                <c:pt idx="5">
                  <c:v>3 Years</c:v>
                </c:pt>
              </c:strCache>
              <c:extLst/>
            </c:strRef>
          </c:cat>
          <c:val>
            <c:numRef>
              <c:f>Statistics!$M$7:$S$7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3">
                  <c:v>2</c:v>
                </c:pt>
                <c:pt idx="5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7808-4272-B96F-441940BCD8D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39"/>
        <c:overlap val="100"/>
        <c:axId val="192004096"/>
        <c:axId val="192005632"/>
      </c:barChart>
      <c:catAx>
        <c:axId val="192004096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85000"/>
                    <a:lumOff val="15000"/>
                  </a:schemeClr>
                </a:solidFill>
              </a:defRPr>
            </a:pPr>
            <a:endParaRPr lang="en-US"/>
          </a:p>
        </c:txPr>
        <c:crossAx val="192005632"/>
        <c:crosses val="autoZero"/>
        <c:auto val="1"/>
        <c:lblAlgn val="ctr"/>
        <c:lblOffset val="100"/>
        <c:noMultiLvlLbl val="0"/>
      </c:catAx>
      <c:valAx>
        <c:axId val="19200563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9200409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solidFill>
                <a:schemeClr val="tx1">
                  <a:lumMod val="85000"/>
                  <a:lumOff val="1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EC Square Sans Pro" panose="020B0506040000020004" pitchFamily="34" charset="0"/>
        </a:defRPr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0.01042</cdr:x>
      <cdr:y>0.8883</cdr:y>
    </cdr:from>
    <cdr:to>
      <cdr:x>0.83729</cdr:x>
      <cdr:y>0.99149</cdr:y>
    </cdr:to>
    <cdr:grpSp>
      <cdr:nvGrpSpPr>
        <cdr:cNvPr id="4" name="Group 3"/>
        <cdr:cNvGrpSpPr/>
      </cdr:nvGrpSpPr>
      <cdr:grpSpPr>
        <a:xfrm xmlns:a="http://schemas.openxmlformats.org/drawingml/2006/main">
          <a:off x="96865" y="5392118"/>
          <a:ext cx="7683714" cy="626390"/>
          <a:chOff x="96865" y="5333999"/>
          <a:chExt cx="7683714" cy="626390"/>
        </a:xfrm>
      </cdr:grpSpPr>
      <cdr:sp macro="" textlink="">
        <cdr:nvSpPr>
          <cdr:cNvPr id="2" name="TextBox 1"/>
          <cdr:cNvSpPr txBox="1"/>
        </cdr:nvSpPr>
        <cdr:spPr>
          <a:xfrm xmlns:a="http://schemas.openxmlformats.org/drawingml/2006/main">
            <a:off x="96865" y="5333999"/>
            <a:ext cx="1362558" cy="626390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vertOverflow="clip" wrap="square" rtlCol="0" anchor="ctr"/>
          <a:lstStyle xmlns:a="http://schemas.openxmlformats.org/drawingml/2006/main"/>
          <a:p xmlns:a="http://schemas.openxmlformats.org/drawingml/2006/main">
            <a:pPr algn="ctr"/>
            <a:r>
              <a:rPr lang="en-IE" sz="900" i="1">
                <a:solidFill>
                  <a:schemeClr val="tx1">
                    <a:lumMod val="65000"/>
                    <a:lumOff val="35000"/>
                  </a:schemeClr>
                </a:solidFill>
                <a:latin typeface="EC Square Sans Cond Pro" panose="020B0506040000020004" pitchFamily="34" charset="0"/>
              </a:rPr>
              <a:t>* 514 for </a:t>
            </a:r>
            <a:r>
              <a:rPr lang="en-IE" sz="900" i="1" baseline="0">
                <a:solidFill>
                  <a:schemeClr val="tx1">
                    <a:lumMod val="65000"/>
                    <a:lumOff val="35000"/>
                  </a:schemeClr>
                </a:solidFill>
                <a:latin typeface="EC Square Sans Cond Pro" panose="020B0506040000020004" pitchFamily="34" charset="0"/>
              </a:rPr>
              <a:t>both the previous and current System</a:t>
            </a:r>
          </a:p>
        </cdr:txBody>
      </cdr:sp>
      <cdr:sp macro="" textlink="">
        <cdr:nvSpPr>
          <cdr:cNvPr id="3" name="TextBox 1"/>
          <cdr:cNvSpPr txBox="1"/>
        </cdr:nvSpPr>
        <cdr:spPr>
          <a:xfrm xmlns:a="http://schemas.openxmlformats.org/drawingml/2006/main">
            <a:off x="5275882" y="5333999"/>
            <a:ext cx="2504697" cy="626390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 anchor="ctr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IE" sz="900" b="0" i="0" baseline="0">
                <a:solidFill>
                  <a:schemeClr val="tx1">
                    <a:lumMod val="65000"/>
                    <a:lumOff val="35000"/>
                  </a:schemeClr>
                </a:solidFill>
                <a:latin typeface="EC Square Sans Cond Pro" panose="020B0506040000020004" pitchFamily="34" charset="0"/>
              </a:rPr>
              <a:t>(In 3 cases, the Panel did not recommend exclusion </a:t>
            </a:r>
          </a:p>
          <a:p xmlns:a="http://schemas.openxmlformats.org/drawingml/2006/main">
            <a:pPr algn="ctr"/>
            <a:r>
              <a:rPr lang="en-IE" sz="900" b="0" i="0" baseline="0">
                <a:solidFill>
                  <a:schemeClr val="tx1">
                    <a:lumMod val="65000"/>
                    <a:lumOff val="35000"/>
                  </a:schemeClr>
                </a:solidFill>
                <a:latin typeface="EC Square Sans Cond Pro" panose="020B0506040000020004" pitchFamily="34" charset="0"/>
              </a:rPr>
              <a:t>taking into account remedial measures)</a:t>
            </a:r>
          </a:p>
        </cdr:txBody>
      </cdr:sp>
    </cdr:grpSp>
  </cdr:relSizeAnchor>
  <cdr:relSizeAnchor xmlns:cdr="http://schemas.openxmlformats.org/drawingml/2006/chartDrawing">
    <cdr:from>
      <cdr:x>0.00896</cdr:x>
      <cdr:y>0.78745</cdr:y>
    </cdr:from>
    <cdr:to>
      <cdr:x>0.16839</cdr:x>
      <cdr:y>0.95441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51620" y="2963165"/>
          <a:ext cx="918439" cy="6283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IE" sz="800" i="1">
              <a:solidFill>
                <a:schemeClr val="tx1">
                  <a:lumMod val="65000"/>
                  <a:lumOff val="35000"/>
                </a:schemeClr>
              </a:solidFill>
              <a:latin typeface="EC Square Sans Cond Pro" panose="020B0506040000020004" pitchFamily="34" charset="0"/>
            </a:rPr>
            <a:t>* 514 (</a:t>
          </a:r>
          <a:r>
            <a:rPr lang="en-IE" sz="800" i="1" baseline="0">
              <a:solidFill>
                <a:schemeClr val="tx1">
                  <a:lumMod val="65000"/>
                  <a:lumOff val="35000"/>
                </a:schemeClr>
              </a:solidFill>
              <a:latin typeface="EC Square Sans Cond Pro" panose="020B0506040000020004" pitchFamily="34" charset="0"/>
            </a:rPr>
            <a:t>previous and current System)</a:t>
          </a:r>
        </a:p>
      </cdr:txBody>
    </cdr:sp>
  </cdr:relSizeAnchor>
  <cdr:relSizeAnchor xmlns:cdr="http://schemas.openxmlformats.org/drawingml/2006/chartDrawing">
    <cdr:from>
      <cdr:x>0.42413</cdr:x>
      <cdr:y>0.81632</cdr:y>
    </cdr:from>
    <cdr:to>
      <cdr:x>0.84539</cdr:x>
      <cdr:y>0.92554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443281" y="3071818"/>
          <a:ext cx="2426761" cy="4109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IE" sz="800" b="0" i="1" baseline="0">
              <a:solidFill>
                <a:schemeClr val="tx1">
                  <a:lumMod val="65000"/>
                  <a:lumOff val="35000"/>
                </a:schemeClr>
              </a:solidFill>
              <a:latin typeface="EC Square Sans Cond Pro" panose="020B0506040000020004" pitchFamily="34" charset="0"/>
            </a:rPr>
            <a:t>(In 3 cases, the Panel did not recommend exclusion </a:t>
          </a:r>
        </a:p>
        <a:p xmlns:a="http://schemas.openxmlformats.org/drawingml/2006/main">
          <a:pPr algn="ctr"/>
          <a:r>
            <a:rPr lang="en-IE" sz="800" b="0" i="1" baseline="0">
              <a:solidFill>
                <a:schemeClr val="tx1">
                  <a:lumMod val="65000"/>
                  <a:lumOff val="35000"/>
                </a:schemeClr>
              </a:solidFill>
              <a:latin typeface="EC Square Sans Cond Pro" panose="020B0506040000020004" pitchFamily="34" charset="0"/>
            </a:rPr>
            <a:t>taking into account remedial measures)</a:t>
          </a:r>
        </a:p>
      </cdr:txBody>
    </cdr:sp>
  </cdr:relSizeAnchor>
  <cdr:relSizeAnchor xmlns:cdr="http://schemas.openxmlformats.org/drawingml/2006/chartDrawing">
    <cdr:from>
      <cdr:x>0.16479</cdr:x>
      <cdr:y>0.82001</cdr:y>
    </cdr:from>
    <cdr:to>
      <cdr:x>0.43064</cdr:x>
      <cdr:y>0.92184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949298" y="3085723"/>
          <a:ext cx="1531510" cy="3831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GB" sz="800" b="0" i="1" baseline="0">
              <a:solidFill>
                <a:schemeClr val="tx1">
                  <a:lumMod val="65000"/>
                  <a:lumOff val="35000"/>
                </a:schemeClr>
              </a:solidFill>
              <a:latin typeface="EC Square Sans Cond Pro" panose="020B0506040000020004" pitchFamily="34" charset="0"/>
              <a:ea typeface="+mn-ea"/>
              <a:cs typeface="+mn-cs"/>
            </a:rPr>
            <a:t>(some</a:t>
          </a:r>
          <a:r>
            <a:rPr lang="en-GB" sz="800">
              <a:effectLst/>
              <a:latin typeface="+mn-lt"/>
              <a:ea typeface="+mn-ea"/>
              <a:cs typeface="+mn-cs"/>
            </a:rPr>
            <a:t> </a:t>
          </a:r>
          <a:r>
            <a:rPr lang="en-GB" sz="800" b="0" i="1" baseline="0">
              <a:solidFill>
                <a:schemeClr val="tx1">
                  <a:lumMod val="65000"/>
                  <a:lumOff val="35000"/>
                </a:schemeClr>
              </a:solidFill>
              <a:latin typeface="EC Square Sans Cond Pro" panose="020B0506040000020004" pitchFamily="34" charset="0"/>
              <a:ea typeface="+mn-ea"/>
              <a:cs typeface="+mn-cs"/>
            </a:rPr>
            <a:t>of</a:t>
          </a:r>
          <a:r>
            <a:rPr lang="en-GB" sz="800">
              <a:effectLst/>
              <a:latin typeface="+mn-lt"/>
              <a:ea typeface="+mn-ea"/>
              <a:cs typeface="+mn-cs"/>
            </a:rPr>
            <a:t> </a:t>
          </a:r>
          <a:r>
            <a:rPr lang="en-GB" sz="800" b="0" i="1" baseline="0">
              <a:solidFill>
                <a:schemeClr val="tx1">
                  <a:lumMod val="65000"/>
                  <a:lumOff val="35000"/>
                </a:schemeClr>
              </a:solidFill>
              <a:latin typeface="EC Square Sans Cond Pro" panose="020B0506040000020004" pitchFamily="34" charset="0"/>
              <a:ea typeface="+mn-ea"/>
              <a:cs typeface="+mn-cs"/>
            </a:rPr>
            <a:t>which</a:t>
          </a:r>
          <a:r>
            <a:rPr lang="en-GB" sz="800">
              <a:effectLst/>
              <a:latin typeface="+mn-lt"/>
              <a:ea typeface="+mn-ea"/>
              <a:cs typeface="+mn-cs"/>
            </a:rPr>
            <a:t> </a:t>
          </a:r>
          <a:r>
            <a:rPr lang="en-GB" sz="800" b="0" i="1" baseline="0">
              <a:solidFill>
                <a:schemeClr val="tx1">
                  <a:lumMod val="65000"/>
                  <a:lumOff val="35000"/>
                </a:schemeClr>
              </a:solidFill>
              <a:latin typeface="EC Square Sans Cond Pro" panose="020B0506040000020004" pitchFamily="34" charset="0"/>
              <a:ea typeface="+mn-ea"/>
              <a:cs typeface="+mn-cs"/>
            </a:rPr>
            <a:t>have</a:t>
          </a:r>
          <a:r>
            <a:rPr lang="en-GB" sz="800">
              <a:effectLst/>
              <a:latin typeface="+mn-lt"/>
              <a:ea typeface="+mn-ea"/>
              <a:cs typeface="+mn-cs"/>
            </a:rPr>
            <a:t> </a:t>
          </a:r>
          <a:r>
            <a:rPr lang="en-GB" sz="800" b="0" i="1" baseline="0">
              <a:solidFill>
                <a:schemeClr val="tx1">
                  <a:lumMod val="65000"/>
                  <a:lumOff val="35000"/>
                </a:schemeClr>
              </a:solidFill>
              <a:latin typeface="EC Square Sans Cond Pro" panose="020B0506040000020004" pitchFamily="34" charset="0"/>
              <a:ea typeface="+mn-ea"/>
              <a:cs typeface="+mn-cs"/>
            </a:rPr>
            <a:t>led</a:t>
          </a:r>
          <a:r>
            <a:rPr lang="en-GB" sz="800">
              <a:effectLst/>
              <a:latin typeface="+mn-lt"/>
              <a:ea typeface="+mn-ea"/>
              <a:cs typeface="+mn-cs"/>
            </a:rPr>
            <a:t> </a:t>
          </a:r>
          <a:r>
            <a:rPr lang="en-GB" sz="800" b="0" i="1" baseline="0">
              <a:solidFill>
                <a:schemeClr val="tx1">
                  <a:lumMod val="65000"/>
                  <a:lumOff val="35000"/>
                </a:schemeClr>
              </a:solidFill>
              <a:latin typeface="EC Square Sans Cond Pro" panose="020B0506040000020004" pitchFamily="34" charset="0"/>
              <a:ea typeface="+mn-ea"/>
              <a:cs typeface="+mn-cs"/>
            </a:rPr>
            <a:t>to</a:t>
          </a:r>
          <a:r>
            <a:rPr lang="en-GB" sz="800">
              <a:effectLst/>
              <a:latin typeface="+mn-lt"/>
              <a:ea typeface="+mn-ea"/>
              <a:cs typeface="+mn-cs"/>
            </a:rPr>
            <a:t> </a:t>
          </a:r>
          <a:r>
            <a:rPr lang="en-GB" sz="800" b="0" i="1" baseline="0">
              <a:solidFill>
                <a:schemeClr val="tx1">
                  <a:lumMod val="65000"/>
                  <a:lumOff val="35000"/>
                </a:schemeClr>
              </a:solidFill>
              <a:latin typeface="EC Square Sans Cond Pro" panose="020B0506040000020004" pitchFamily="34" charset="0"/>
              <a:ea typeface="+mn-ea"/>
              <a:cs typeface="+mn-cs"/>
            </a:rPr>
            <a:t>exclusion)</a:t>
          </a:r>
          <a:endParaRPr lang="en-IE" sz="800" b="0" i="1" baseline="0">
            <a:solidFill>
              <a:schemeClr val="tx1">
                <a:lumMod val="65000"/>
                <a:lumOff val="35000"/>
              </a:schemeClr>
            </a:solidFill>
            <a:latin typeface="EC Square Sans Cond Pro" panose="020B0506040000020004" pitchFamily="34" charset="0"/>
            <a:ea typeface="+mn-ea"/>
            <a:cs typeface="+mn-cs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4BBA512-AC79-4FED-BCE2-D20C8696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1312</Words>
  <Characters>7505</Characters>
  <Application>Microsoft Office Word</Application>
  <DocSecurity>0</DocSecurity>
  <Lines>123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MAUSSIRE Mylene (BUDG)</dc:creator>
  <cp:keywords/>
  <dc:description/>
  <cp:lastModifiedBy>TULUMELLO Bruno (BUDG)</cp:lastModifiedBy>
  <cp:revision>4</cp:revision>
  <cp:lastPrinted>2019-03-15T13:30:00Z</cp:lastPrinted>
  <dcterms:created xsi:type="dcterms:W3CDTF">2019-03-15T13:29:00Z</dcterms:created>
  <dcterms:modified xsi:type="dcterms:W3CDTF">2019-03-15T13:34:00Z</dcterms:modified>
</cp:coreProperties>
</file>