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CB66E0" w:rsidRPr="00B958A9" w14:paraId="341535D1" w14:textId="77777777" w:rsidTr="004540BB">
        <w:trPr>
          <w:trHeight w:val="2496"/>
        </w:trPr>
        <w:tc>
          <w:tcPr>
            <w:tcW w:w="9336" w:type="dxa"/>
            <w:shd w:val="clear" w:color="auto" w:fill="auto"/>
            <w:vAlign w:val="center"/>
          </w:tcPr>
          <w:p w14:paraId="0073B930" w14:textId="77777777" w:rsidR="0026293C" w:rsidRPr="00B958A9" w:rsidRDefault="0026293C" w:rsidP="00B7777C">
            <w:pPr>
              <w:jc w:val="center"/>
              <w:rPr>
                <w:rFonts w:ascii="Times New Roman" w:hAnsi="Times New Roman"/>
                <w:b/>
                <w:color w:val="FFFFFF" w:themeColor="background1"/>
                <w:szCs w:val="24"/>
              </w:rPr>
            </w:pPr>
            <w:bookmarkStart w:id="0" w:name="_GoBack"/>
            <w:bookmarkEnd w:id="0"/>
          </w:p>
          <w:p w14:paraId="72940874" w14:textId="7020903C" w:rsidR="00CB66E0" w:rsidRPr="00B958A9" w:rsidRDefault="00B43D54" w:rsidP="0026293C">
            <w:pPr>
              <w:jc w:val="center"/>
              <w:rPr>
                <w:rFonts w:cs="Arial"/>
                <w:b/>
                <w:color w:val="FFFFFF" w:themeColor="background1"/>
                <w:sz w:val="48"/>
                <w:szCs w:val="48"/>
              </w:rPr>
            </w:pPr>
            <w:r w:rsidRPr="00746DA4">
              <w:rPr>
                <w:rFonts w:cs="Arial"/>
                <w:b/>
                <w:bCs/>
                <w:color w:val="auto"/>
                <w:sz w:val="48"/>
                <w:szCs w:val="48"/>
              </w:rPr>
              <w:t>Exclusion grounds - the practice of application in the EU and EFTA states</w:t>
            </w:r>
          </w:p>
        </w:tc>
      </w:tr>
    </w:tbl>
    <w:p w14:paraId="2CBE52B1" w14:textId="0B6CB7F4" w:rsidR="007A04DC" w:rsidRPr="00B958A9" w:rsidRDefault="00B7777C" w:rsidP="00B9046A">
      <w:pPr>
        <w:spacing w:after="0" w:line="240" w:lineRule="auto"/>
        <w:ind w:left="-1191"/>
      </w:pPr>
      <w:r w:rsidRPr="006F1C3A">
        <w:rPr>
          <w:noProof/>
          <w:lang w:eastAsia="en-GB"/>
        </w:rPr>
        <w:drawing>
          <wp:inline distT="0" distB="0" distL="0" distR="0" wp14:anchorId="362CBA3A" wp14:editId="5EF7D488">
            <wp:extent cx="7608570" cy="5028565"/>
            <wp:effectExtent l="0" t="0" r="0" b="63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5blue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0735" cy="5043214"/>
                    </a:xfrm>
                    <a:prstGeom prst="rect">
                      <a:avLst/>
                    </a:prstGeom>
                  </pic:spPr>
                </pic:pic>
              </a:graphicData>
            </a:graphic>
          </wp:inline>
        </w:drawing>
      </w:r>
      <w:r w:rsidRPr="006F1C3A">
        <w:rPr>
          <w:noProof/>
          <w:lang w:eastAsia="en-GB"/>
        </w:rPr>
        <mc:AlternateContent>
          <mc:Choice Requires="wps">
            <w:drawing>
              <wp:anchor distT="0" distB="0" distL="114300" distR="114300" simplePos="0" relativeHeight="251657728" behindDoc="1" locked="1" layoutInCell="0" allowOverlap="1" wp14:anchorId="78AFAB29" wp14:editId="7CA964D5">
                <wp:simplePos x="0" y="0"/>
                <wp:positionH relativeFrom="column">
                  <wp:posOffset>-734695</wp:posOffset>
                </wp:positionH>
                <wp:positionV relativeFrom="paragraph">
                  <wp:posOffset>-1422400</wp:posOffset>
                </wp:positionV>
                <wp:extent cx="7585710" cy="149225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710" cy="1492250"/>
                        </a:xfrm>
                        <a:prstGeom prst="rect">
                          <a:avLst/>
                        </a:prstGeom>
                        <a:solidFill>
                          <a:schemeClr val="tx2">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703E" id="Rectangle 2" o:spid="_x0000_s1026" style="position:absolute;margin-left:-57.85pt;margin-top:-112pt;width:597.3pt;height: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R02zDgIAAAAEAAAOAAAAZHJzL2Uyb0RvYy54bWysU9uO0zAQfUfiHyy/01zU0t2o6WrV1SKk BVYsfIDrOImF4zFjt2n5esZOWwq8IV4sj2d8fM6Z8eruMBi2V+g12JoXs5wzZSU02nY1//rl8c0N Zz4I2wgDVtX8qDy/W79+tRpdpUrowTQKGYFYX42u5n0IrsoyL3s1CD8DpywlW8BBBAqxyxoUI6EP Jivz/G02AjYOQSrv6fRhSvJ1wm9bJcOntvUqMFNz4hbSimndxjVbr0TVoXC9lica4h9YDEJbevQC 9SCCYDvUf0ENWiJ4aMNMwpBB22qpkgZSU+R/qHnphVNJC5nj3cUm//9g5cf9MzLdUO+WnFkxUI8+ k2vCdkaxMvozOl9R2Yt7xqjQuyeQ3zyzsOmpSt0jwtgr0RCrItZnv12IgaerbDt+gIbQxS5AsurQ 4hAByQR2SB05XjqiDoFJOlwubhbLghonKVfMb8tykXqWiep83aEP7xQMLG5qjkQ+wYv9kw+RjqjO JYk+GN08amNSEMdMbQyyvaABCYcyXTW7gbhOZ8tFnp+fTFMZyxOqv0YyNuJZiMjTo/EkWRHVTy5u oTmSEwjTGNK3oU0P+IOzkUaw5v77TqDizLy35OZtMZ/HmU3BfLEsKcDrzPY6I6wkKBLB2bTdhGnO dw5119NLRRJn4Z460OrkTezOxOpElsYsiTt9iTjH13Gq+vVx1z8BAAD//wMAUEsDBBQABgAIAAAA IQC57XkU3wAAAA0BAAAPAAAAZHJzL2Rvd25yZXYueG1sTI9BT4QwEIXvJv6HZky8mN0WogsiZWPc qGeRxOssjECkLaGFZf+9sye9vZf58ua9fL+aQSw0+d5ZDdFWgSBbu6a3rYbq83WTgvABbYODs6Th TB72xfVVjlnjTvaDljK0gkOsz1BDF8KYSenrjgz6rRvJ8u3bTQYD26mVzYQnDjeDjJXaSYO95Q8d jvTSUf1TzkbDcJhT1Z53y91bi5hQ9V4dyi+tb2/W5ycQgdbwB8OlPleHgjsd3WwbLwYNmyh6SJhl Fcf3POvCqCR9BHFkFSmQRS7/ryh+AQAA//8DAFBLAQItABQABgAIAAAAIQC2gziS/gAAAOEBAAAT AAAAAAAAAAAAAAAAAAAAAABbQ29udGVudF9UeXBlc10ueG1sUEsBAi0AFAAGAAgAAAAhADj9If/W AAAAlAEAAAsAAAAAAAAAAAAAAAAALwEAAF9yZWxzLy5yZWxzUEsBAi0AFAAGAAgAAAAhAIVHTbMO AgAAAAQAAA4AAAAAAAAAAAAAAAAALgIAAGRycy9lMm9Eb2MueG1sUEsBAi0AFAAGAAgAAAAhALnt eRTfAAAADQEAAA8AAAAAAAAAAAAAAAAAaAQAAGRycy9kb3ducmV2LnhtbFBLBQYAAAAABAAEAPMA AAB0BQAAAAA= " o:allowincell="f" fillcolor="#17365d [2415]" stroked="f">
                <w10:anchorlock/>
              </v:rect>
            </w:pict>
          </mc:Fallback>
        </mc:AlternateContent>
      </w:r>
    </w:p>
    <w:p w14:paraId="1FC02413" w14:textId="77777777" w:rsidR="00F44DE9" w:rsidRPr="00C80A52" w:rsidRDefault="00074BA6" w:rsidP="00F44DE9">
      <w:pPr>
        <w:spacing w:before="240"/>
        <w:jc w:val="right"/>
        <w:rPr>
          <w:b/>
          <w:lang w:val="pl-PL"/>
        </w:rPr>
      </w:pPr>
      <w:r w:rsidRPr="00C80A52">
        <w:rPr>
          <w:b/>
          <w:bCs/>
          <w:lang w:val="pl-PL"/>
        </w:rPr>
        <w:t>Piotr Bogdanowicz, Jan Roliński (ed.)</w:t>
      </w:r>
      <w:r w:rsidRPr="00C80A52">
        <w:rPr>
          <w:lang w:val="pl-PL"/>
        </w:rPr>
        <w:br/>
      </w:r>
    </w:p>
    <w:p w14:paraId="2028B4D1" w14:textId="308CAC70" w:rsidR="005D7A00" w:rsidRPr="00B958A9" w:rsidRDefault="005D7A00" w:rsidP="00F44DE9">
      <w:pPr>
        <w:jc w:val="center"/>
        <w:rPr>
          <w:b/>
        </w:rPr>
      </w:pPr>
      <w:r w:rsidRPr="00C80A52">
        <w:rPr>
          <w:b/>
          <w:bCs/>
        </w:rPr>
        <w:t>Warsaw 2019</w:t>
      </w:r>
    </w:p>
    <w:p w14:paraId="54AD74DD" w14:textId="77777777" w:rsidR="00074BA6" w:rsidRPr="00B958A9" w:rsidRDefault="00074BA6" w:rsidP="00826936">
      <w:pPr>
        <w:sectPr w:rsidR="00074BA6" w:rsidRPr="00B958A9" w:rsidSect="007F0D1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25" w:right="1134" w:bottom="1440" w:left="1134" w:header="720" w:footer="580" w:gutter="0"/>
          <w:cols w:space="708"/>
          <w:titlePg/>
          <w:docGrid w:linePitch="36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639"/>
      </w:tblGrid>
      <w:tr w:rsidR="00A90D6A" w:rsidRPr="00B958A9" w14:paraId="67BBA304" w14:textId="77777777" w:rsidTr="00D962D7">
        <w:tc>
          <w:tcPr>
            <w:tcW w:w="9639" w:type="dxa"/>
            <w:shd w:val="clear" w:color="auto" w:fill="17365D" w:themeFill="text2" w:themeFillShade="BF"/>
          </w:tcPr>
          <w:p w14:paraId="1D69324E" w14:textId="77777777" w:rsidR="00A90D6A" w:rsidRPr="00C80A52" w:rsidRDefault="00A90D6A" w:rsidP="00D962D7">
            <w:pPr>
              <w:pStyle w:val="StandardL1"/>
              <w:spacing w:before="240"/>
              <w:ind w:hanging="654"/>
              <w:rPr>
                <w:color w:val="FFFFFF" w:themeColor="background1"/>
                <w:lang w:val="en-GB"/>
              </w:rPr>
            </w:pPr>
            <w:r w:rsidRPr="00C80A52">
              <w:rPr>
                <w:bCs/>
                <w:color w:val="FFFFFF" w:themeColor="background1"/>
                <w:lang w:val="en-GB"/>
              </w:rPr>
              <w:lastRenderedPageBreak/>
              <w:t>Introduction</w:t>
            </w:r>
          </w:p>
        </w:tc>
      </w:tr>
    </w:tbl>
    <w:p w14:paraId="2469B1A3" w14:textId="77777777" w:rsidR="000E6FC9" w:rsidRPr="00C80A52" w:rsidRDefault="000E6FC9" w:rsidP="00074BA6">
      <w:pPr>
        <w:pStyle w:val="StandardL9"/>
        <w:numPr>
          <w:ilvl w:val="0"/>
          <w:numId w:val="0"/>
        </w:numPr>
        <w:rPr>
          <w:lang w:val="en-GB"/>
        </w:rPr>
      </w:pPr>
    </w:p>
    <w:p w14:paraId="05D0843F" w14:textId="4E4034A8" w:rsidR="00074BA6" w:rsidRPr="00B958A9" w:rsidRDefault="00074BA6" w:rsidP="00074BA6">
      <w:pPr>
        <w:pStyle w:val="BodyText3"/>
        <w:tabs>
          <w:tab w:val="left" w:pos="1843"/>
        </w:tabs>
        <w:rPr>
          <w:sz w:val="24"/>
          <w:szCs w:val="24"/>
        </w:rPr>
      </w:pPr>
      <w:r w:rsidRPr="00C80A52">
        <w:rPr>
          <w:sz w:val="24"/>
          <w:szCs w:val="24"/>
        </w:rPr>
        <w:t>This Report (“</w:t>
      </w:r>
      <w:r w:rsidRPr="00C80A52">
        <w:rPr>
          <w:b/>
          <w:bCs/>
          <w:sz w:val="24"/>
          <w:szCs w:val="24"/>
        </w:rPr>
        <w:t>Report</w:t>
      </w:r>
      <w:r w:rsidRPr="00C80A52">
        <w:rPr>
          <w:sz w:val="24"/>
          <w:szCs w:val="24"/>
        </w:rPr>
        <w:t>”) was prepared by the Public Procurement Law Association (“</w:t>
      </w:r>
      <w:r w:rsidRPr="00C80A52">
        <w:rPr>
          <w:b/>
          <w:bCs/>
          <w:sz w:val="24"/>
          <w:szCs w:val="24"/>
        </w:rPr>
        <w:t>Association</w:t>
      </w:r>
      <w:r w:rsidRPr="00C80A52">
        <w:rPr>
          <w:sz w:val="24"/>
          <w:szCs w:val="24"/>
        </w:rPr>
        <w:t>”).</w:t>
      </w:r>
    </w:p>
    <w:p w14:paraId="3C6314CC" w14:textId="5A893494" w:rsidR="00BF0B7F" w:rsidRPr="00B958A9" w:rsidRDefault="00BF0B7F" w:rsidP="00BF0B7F">
      <w:pPr>
        <w:spacing w:after="120"/>
        <w:rPr>
          <w:szCs w:val="24"/>
        </w:rPr>
      </w:pPr>
      <w:r w:rsidRPr="00C80A52">
        <w:rPr>
          <w:szCs w:val="24"/>
        </w:rPr>
        <w:t>The Association was established in February 2017 at the initiative of lawyers of international and Polish law firms dealing with public procurement law issues. The objectives of the Association include promoting legal standards adopted in the European Union in the field of the public procurement and concession laws, propagating knowledge on public procurement law and concession-related regulations in Poland and abroad, carrying out studies, research and analyses, including comparative analyses, with respect to public procurement and concession laws.</w:t>
      </w:r>
    </w:p>
    <w:p w14:paraId="62891ECE" w14:textId="3EB74185" w:rsidR="00F44DE9" w:rsidRPr="00B958A9" w:rsidRDefault="00F44DE9" w:rsidP="00BF0B7F">
      <w:pPr>
        <w:spacing w:after="120"/>
        <w:rPr>
          <w:szCs w:val="24"/>
        </w:rPr>
      </w:pPr>
      <w:r w:rsidRPr="00C80A52">
        <w:rPr>
          <w:szCs w:val="24"/>
        </w:rPr>
        <w:t>In September 2017, the Association prepared a report on the functioning of legal measures in EU states.</w:t>
      </w:r>
    </w:p>
    <w:p w14:paraId="39D23FDD" w14:textId="115BD4C7" w:rsidR="00BF0B7F" w:rsidRPr="00B958A9" w:rsidRDefault="00F44DE9" w:rsidP="00BF0B7F">
      <w:pPr>
        <w:spacing w:after="120"/>
        <w:rPr>
          <w:iCs/>
        </w:rPr>
      </w:pPr>
      <w:r w:rsidRPr="00C80A52">
        <w:t xml:space="preserve">This time the Association undertook to prepare an analysis of the practice related to applying selected exclusion grounds in the member states of the European Union and the European Free Trade Association. </w:t>
      </w:r>
    </w:p>
    <w:p w14:paraId="3F94CAA5" w14:textId="113082AB" w:rsidR="00BF0B7F" w:rsidRPr="00B958A9" w:rsidRDefault="00BF0B7F" w:rsidP="00BF0B7F">
      <w:pPr>
        <w:spacing w:before="240"/>
        <w:rPr>
          <w:iCs/>
        </w:rPr>
      </w:pPr>
      <w:r w:rsidRPr="00C80A52">
        <w:t>The analysis carried out in the Report concerns the following exclusion grounds specified in Directive 2014/24/EU:</w:t>
      </w:r>
    </w:p>
    <w:p w14:paraId="68B9F157" w14:textId="5CB2FCFD" w:rsidR="00BF0B7F" w:rsidRPr="00B958A9" w:rsidRDefault="00BF0B7F" w:rsidP="00C918B5">
      <w:pPr>
        <w:pStyle w:val="ListParagraph"/>
        <w:numPr>
          <w:ilvl w:val="0"/>
          <w:numId w:val="38"/>
        </w:numPr>
        <w:spacing w:before="240"/>
        <w:contextualSpacing w:val="0"/>
        <w:rPr>
          <w:iCs/>
        </w:rPr>
      </w:pPr>
      <w:r w:rsidRPr="00C80A52">
        <w:rPr>
          <w:color w:val="002060"/>
        </w:rPr>
        <w:t>exclusion of an economic operator due to grave professional misconduct, which renders its integrity questionable (Article 57 section 4 item c) of Directive 2014/24/EU);</w:t>
      </w:r>
    </w:p>
    <w:p w14:paraId="64080F9E" w14:textId="59A04CFA" w:rsidR="00BF0B7F" w:rsidRPr="00B958A9" w:rsidRDefault="00BF0B7F" w:rsidP="00C918B5">
      <w:pPr>
        <w:pStyle w:val="ListParagraph"/>
        <w:numPr>
          <w:ilvl w:val="0"/>
          <w:numId w:val="38"/>
        </w:numPr>
        <w:spacing w:before="240"/>
        <w:contextualSpacing w:val="0"/>
        <w:rPr>
          <w:iCs/>
        </w:rPr>
      </w:pPr>
      <w:r w:rsidRPr="00C80A52">
        <w:rPr>
          <w:color w:val="002060"/>
        </w:rPr>
        <w:t>exclusion of an economic operator who has shown significant or persistent deficiencies in the performance of a substantive requirement under a prior public contract or concession contract which led to early termination of that contract, damages, or other comparable sanctions (Article 57 section 4 item g) of Directive 2014/24/EU); and</w:t>
      </w:r>
    </w:p>
    <w:p w14:paraId="531EA3B5" w14:textId="5A7C1C47" w:rsidR="00480138" w:rsidRPr="00B958A9" w:rsidRDefault="00480138" w:rsidP="00C918B5">
      <w:pPr>
        <w:pStyle w:val="ListParagraph"/>
        <w:numPr>
          <w:ilvl w:val="0"/>
          <w:numId w:val="38"/>
        </w:numPr>
        <w:contextualSpacing w:val="0"/>
        <w:rPr>
          <w:rFonts w:cs="Arial"/>
          <w:color w:val="002060"/>
          <w:szCs w:val="24"/>
        </w:rPr>
      </w:pPr>
      <w:r w:rsidRPr="00C80A52">
        <w:rPr>
          <w:rFonts w:cs="Arial"/>
          <w:color w:val="002060"/>
          <w:szCs w:val="24"/>
        </w:rPr>
        <w:t>exclusion of an economic operator due to (i) serious misrepresentation</w:t>
      </w:r>
      <w:r w:rsidR="00224B8D" w:rsidRPr="00C80A52">
        <w:rPr>
          <w:rFonts w:cs="Arial"/>
          <w:color w:val="002060"/>
          <w:szCs w:val="24"/>
        </w:rPr>
        <w:t xml:space="preserve"> when providing information which was required to verify that no </w:t>
      </w:r>
      <w:r w:rsidR="006F1C3A">
        <w:rPr>
          <w:rFonts w:cs="Arial"/>
          <w:color w:val="002060"/>
          <w:szCs w:val="24"/>
        </w:rPr>
        <w:t xml:space="preserve">exclusion </w:t>
      </w:r>
      <w:r w:rsidR="00224B8D" w:rsidRPr="00C80A52">
        <w:rPr>
          <w:rFonts w:cs="Arial"/>
          <w:color w:val="002060"/>
          <w:szCs w:val="24"/>
        </w:rPr>
        <w:t>grounds existed  or to verify that the qualifying criteria had been met</w:t>
      </w:r>
      <w:r w:rsidRPr="00C80A52">
        <w:rPr>
          <w:rFonts w:cs="Arial"/>
          <w:color w:val="002060"/>
          <w:szCs w:val="24"/>
        </w:rPr>
        <w:t xml:space="preserve">, withholding </w:t>
      </w:r>
      <w:r w:rsidR="00224B8D" w:rsidRPr="00C80A52">
        <w:rPr>
          <w:rFonts w:cs="Arial"/>
          <w:color w:val="002060"/>
          <w:szCs w:val="24"/>
        </w:rPr>
        <w:t xml:space="preserve">this </w:t>
      </w:r>
      <w:r w:rsidRPr="00C80A52">
        <w:rPr>
          <w:rFonts w:cs="Arial"/>
          <w:color w:val="002060"/>
          <w:szCs w:val="24"/>
        </w:rPr>
        <w:t>information, failing to submit documents</w:t>
      </w:r>
      <w:r w:rsidR="00224B8D" w:rsidRPr="00C80A52">
        <w:rPr>
          <w:rFonts w:cs="Arial"/>
          <w:color w:val="002060"/>
          <w:szCs w:val="24"/>
        </w:rPr>
        <w:t xml:space="preserve"> supporting this information</w:t>
      </w:r>
      <w:r w:rsidRPr="00C80A52">
        <w:rPr>
          <w:rFonts w:cs="Arial"/>
          <w:color w:val="002060"/>
          <w:szCs w:val="24"/>
        </w:rPr>
        <w:t xml:space="preserve">, or (ii) undertaking steps to unduly influence the decision-making process of the contracting authority, to obtain confidential information that may confer undue advantages upon it in the procurement procedure or to negligently </w:t>
      </w:r>
      <w:r w:rsidRPr="00C80A52">
        <w:rPr>
          <w:rFonts w:cs="Arial"/>
          <w:color w:val="002060"/>
          <w:szCs w:val="24"/>
        </w:rPr>
        <w:lastRenderedPageBreak/>
        <w:t>provide misleading information that may have a material influence on decisions concerning exclusion, selection, or award of a contract (Article 57 section 4 items h) and i) of Directive 2014/24/EU).</w:t>
      </w:r>
    </w:p>
    <w:p w14:paraId="42B3297E" w14:textId="7F763C3A" w:rsidR="00110CD4" w:rsidRPr="00B958A9" w:rsidRDefault="00480138" w:rsidP="00480138">
      <w:pPr>
        <w:spacing w:before="240"/>
        <w:rPr>
          <w:iCs/>
        </w:rPr>
      </w:pPr>
      <w:r w:rsidRPr="00C80A52">
        <w:t xml:space="preserve">The issue of exclusion grounds represents a key aspect of the functioning of the public procurement system. It influences the competitiveness of the procedures organised by contracting authorities, the level of availability of contracts for market players and transparency of the public procurement system. At the same time the issue of the interpretation and practical application of the individual grounds constitutes the subject matter of keen interest of the doctrine of Public Procurement Law, </w:t>
      </w:r>
      <w:r w:rsidR="00224B8D" w:rsidRPr="00C80A52">
        <w:t>appeal authorities</w:t>
      </w:r>
      <w:r w:rsidRPr="00C80A52">
        <w:t>, courts, as well as the contracting authorities and the economic operators that perform public contracts.</w:t>
      </w:r>
    </w:p>
    <w:p w14:paraId="35A1C508" w14:textId="75F179F9" w:rsidR="00110CD4" w:rsidRPr="00B958A9" w:rsidRDefault="00110CD4" w:rsidP="00480138">
      <w:pPr>
        <w:spacing w:before="240"/>
        <w:rPr>
          <w:iCs/>
        </w:rPr>
      </w:pPr>
      <w:r w:rsidRPr="00C80A52">
        <w:t xml:space="preserve">This Report focuses on those exclusion grounds the interpretation and application of which raises material interpretation </w:t>
      </w:r>
      <w:r w:rsidR="00224B8D" w:rsidRPr="00C80A52">
        <w:t>doubts</w:t>
      </w:r>
      <w:r w:rsidRPr="00C80A52">
        <w:t>. We believe that their analysis in the legal and comparative context will be one of the elements supporting the uniform and consistent application of the exclusion grounds in accordance with Directive 2014/24/EU.</w:t>
      </w:r>
    </w:p>
    <w:p w14:paraId="64830FEE" w14:textId="4BE13DDE" w:rsidR="00462EAD" w:rsidRPr="00B958A9" w:rsidRDefault="00462EAD" w:rsidP="00480138">
      <w:pPr>
        <w:spacing w:before="240"/>
        <w:rPr>
          <w:iCs/>
        </w:rPr>
      </w:pPr>
      <w:r w:rsidRPr="00C80A52">
        <w:t xml:space="preserve">While examining the transposition of Directive 2014/24/EU by the individual Member States one must refer to Polish regulations of the Public Procurement Law. We would like to trigger a discussion on the Polish transposition of the Directive with respect to the exclusion grounds and consider </w:t>
      </w:r>
      <w:r w:rsidR="00224B8D" w:rsidRPr="00C80A52">
        <w:t xml:space="preserve">how Polish regulations and their interpretation appear when compared with </w:t>
      </w:r>
      <w:r w:rsidRPr="00C80A52">
        <w:t>other European states.</w:t>
      </w:r>
    </w:p>
    <w:p w14:paraId="0BF36DCC" w14:textId="2A7BC1D7" w:rsidR="00110CD4" w:rsidRPr="00B958A9" w:rsidRDefault="00110CD4" w:rsidP="00480138">
      <w:pPr>
        <w:spacing w:before="240"/>
        <w:rPr>
          <w:iCs/>
        </w:rPr>
      </w:pPr>
      <w:r w:rsidRPr="00C80A52">
        <w:t xml:space="preserve">The Report being the outcome of the above analysis has been drafted on the basis of answers to a set of questions included in the survey that was sent by the members of the Association to law firms from 31 EU Member States and the European Free Trade Association (the survey form and a complete list of the law firms that responded to the survey are available at the end of the Report). </w:t>
      </w:r>
    </w:p>
    <w:p w14:paraId="60ACE361" w14:textId="57935D77" w:rsidR="00F44DE9" w:rsidRPr="00B958A9" w:rsidRDefault="00110CD4" w:rsidP="00480138">
      <w:pPr>
        <w:spacing w:before="240"/>
        <w:rPr>
          <w:iCs/>
        </w:rPr>
      </w:pPr>
      <w:r w:rsidRPr="00C80A52">
        <w:t>Our intention was for the Report to be as practical as possible, therefore, apart from questions on legal solutions existing in the given legal system, we also asked about their functioning in practice. We would like to take this opportunity to thank our colleagues from the Association who had a vital role in the preparation of the Report.</w:t>
      </w:r>
    </w:p>
    <w:p w14:paraId="715F9104" w14:textId="507FA115" w:rsidR="00F44DE9" w:rsidRPr="00B958A9" w:rsidRDefault="00224B8D" w:rsidP="00480138">
      <w:pPr>
        <w:spacing w:before="240"/>
        <w:rPr>
          <w:iCs/>
        </w:rPr>
      </w:pPr>
      <w:r w:rsidRPr="00C80A52">
        <w:rPr>
          <w:iCs/>
        </w:rPr>
        <w:t xml:space="preserve">In particular we would like to thank the members of the working teams who prepared individual chapters of the Report or </w:t>
      </w:r>
      <w:r w:rsidR="007F6E71" w:rsidRPr="00B958A9">
        <w:rPr>
          <w:iCs/>
        </w:rPr>
        <w:t>collected</w:t>
      </w:r>
      <w:r w:rsidRPr="00C80A52">
        <w:rPr>
          <w:iCs/>
        </w:rPr>
        <w:t xml:space="preserve"> the replies </w:t>
      </w:r>
      <w:r w:rsidRPr="00B958A9">
        <w:rPr>
          <w:iCs/>
        </w:rPr>
        <w:t>to the questionnaires sent out to law firms</w:t>
      </w:r>
      <w:r w:rsidRPr="00C80A52">
        <w:rPr>
          <w:iCs/>
        </w:rPr>
        <w:t xml:space="preserve">: Marcin Bejm (CMS Cameron McKenna Nabarro Olswang </w:t>
      </w:r>
      <w:proofErr w:type="spellStart"/>
      <w:r w:rsidRPr="00C80A52">
        <w:rPr>
          <w:iCs/>
        </w:rPr>
        <w:t>Pośniak</w:t>
      </w:r>
      <w:proofErr w:type="spellEnd"/>
      <w:r w:rsidRPr="00C80A52">
        <w:rPr>
          <w:iCs/>
        </w:rPr>
        <w:t xml:space="preserve"> i </w:t>
      </w:r>
      <w:proofErr w:type="spellStart"/>
      <w:r w:rsidRPr="00C80A52">
        <w:rPr>
          <w:iCs/>
        </w:rPr>
        <w:t>Bejm</w:t>
      </w:r>
      <w:proofErr w:type="spellEnd"/>
      <w:r w:rsidRPr="00C80A52">
        <w:rPr>
          <w:iCs/>
        </w:rPr>
        <w:t xml:space="preserve"> sp. k.), </w:t>
      </w:r>
      <w:r w:rsidRPr="00C80A52">
        <w:rPr>
          <w:iCs/>
        </w:rPr>
        <w:lastRenderedPageBreak/>
        <w:t>Wojciech Hartung (</w:t>
      </w:r>
      <w:proofErr w:type="spellStart"/>
      <w:r w:rsidRPr="00C80A52">
        <w:rPr>
          <w:iCs/>
        </w:rPr>
        <w:t>Domański</w:t>
      </w:r>
      <w:proofErr w:type="spellEnd"/>
      <w:r w:rsidRPr="00C80A52">
        <w:rPr>
          <w:iCs/>
        </w:rPr>
        <w:t xml:space="preserve"> </w:t>
      </w:r>
      <w:proofErr w:type="spellStart"/>
      <w:r w:rsidRPr="00C80A52">
        <w:rPr>
          <w:iCs/>
        </w:rPr>
        <w:t>Zakrzewski</w:t>
      </w:r>
      <w:proofErr w:type="spellEnd"/>
      <w:r w:rsidRPr="00C80A52">
        <w:rPr>
          <w:iCs/>
        </w:rPr>
        <w:t xml:space="preserve"> Palinka sp. k.), Aldon</w:t>
      </w:r>
      <w:r w:rsidRPr="00B958A9">
        <w:rPr>
          <w:iCs/>
        </w:rPr>
        <w:t>a</w:t>
      </w:r>
      <w:r w:rsidRPr="00C80A52">
        <w:rPr>
          <w:iCs/>
        </w:rPr>
        <w:t xml:space="preserve"> Kowalczyk (Dentons Europe </w:t>
      </w:r>
      <w:proofErr w:type="spellStart"/>
      <w:r w:rsidRPr="00C80A52">
        <w:rPr>
          <w:iCs/>
        </w:rPr>
        <w:t>Dąbrowski</w:t>
      </w:r>
      <w:proofErr w:type="spellEnd"/>
      <w:r w:rsidRPr="00C80A52">
        <w:rPr>
          <w:iCs/>
        </w:rPr>
        <w:t xml:space="preserve"> i </w:t>
      </w:r>
      <w:proofErr w:type="spellStart"/>
      <w:r w:rsidRPr="00C80A52">
        <w:rPr>
          <w:iCs/>
        </w:rPr>
        <w:t>Wspólnicy</w:t>
      </w:r>
      <w:proofErr w:type="spellEnd"/>
      <w:r w:rsidRPr="00C80A52">
        <w:rPr>
          <w:iCs/>
        </w:rPr>
        <w:t xml:space="preserve"> sp. k.), Katarzyn</w:t>
      </w:r>
      <w:r w:rsidRPr="00B958A9">
        <w:rPr>
          <w:iCs/>
        </w:rPr>
        <w:t>a</w:t>
      </w:r>
      <w:r w:rsidRPr="00C80A52">
        <w:rPr>
          <w:iCs/>
        </w:rPr>
        <w:t xml:space="preserve"> </w:t>
      </w:r>
      <w:proofErr w:type="spellStart"/>
      <w:r w:rsidRPr="00C80A52">
        <w:rPr>
          <w:iCs/>
        </w:rPr>
        <w:t>Kuźm</w:t>
      </w:r>
      <w:r w:rsidRPr="00B958A9">
        <w:rPr>
          <w:iCs/>
        </w:rPr>
        <w:t>a</w:t>
      </w:r>
      <w:proofErr w:type="spellEnd"/>
      <w:r w:rsidRPr="00C80A52">
        <w:rPr>
          <w:iCs/>
        </w:rPr>
        <w:t xml:space="preserve"> (</w:t>
      </w:r>
      <w:proofErr w:type="spellStart"/>
      <w:r w:rsidRPr="00C80A52">
        <w:rPr>
          <w:iCs/>
        </w:rPr>
        <w:t>Domański</w:t>
      </w:r>
      <w:proofErr w:type="spellEnd"/>
      <w:r w:rsidRPr="00C80A52">
        <w:rPr>
          <w:iCs/>
        </w:rPr>
        <w:t xml:space="preserve"> </w:t>
      </w:r>
      <w:proofErr w:type="spellStart"/>
      <w:r w:rsidRPr="00C80A52">
        <w:rPr>
          <w:iCs/>
        </w:rPr>
        <w:t>Zakrzewski</w:t>
      </w:r>
      <w:proofErr w:type="spellEnd"/>
      <w:r w:rsidRPr="00C80A52">
        <w:rPr>
          <w:iCs/>
        </w:rPr>
        <w:t xml:space="preserve"> Palinka sp. k.), Mirell</w:t>
      </w:r>
      <w:r w:rsidRPr="00B958A9">
        <w:rPr>
          <w:iCs/>
        </w:rPr>
        <w:t>a</w:t>
      </w:r>
      <w:r w:rsidRPr="00C80A52">
        <w:rPr>
          <w:iCs/>
        </w:rPr>
        <w:t xml:space="preserve"> </w:t>
      </w:r>
      <w:proofErr w:type="spellStart"/>
      <w:r w:rsidRPr="00C80A52">
        <w:rPr>
          <w:iCs/>
        </w:rPr>
        <w:t>Lechn</w:t>
      </w:r>
      <w:r w:rsidRPr="00B958A9">
        <w:rPr>
          <w:iCs/>
        </w:rPr>
        <w:t>a</w:t>
      </w:r>
      <w:proofErr w:type="spellEnd"/>
      <w:r w:rsidRPr="00C80A52">
        <w:rPr>
          <w:iCs/>
        </w:rPr>
        <w:t xml:space="preserve"> (</w:t>
      </w:r>
      <w:proofErr w:type="spellStart"/>
      <w:r w:rsidRPr="00C80A52">
        <w:rPr>
          <w:iCs/>
        </w:rPr>
        <w:t>Wardyński</w:t>
      </w:r>
      <w:proofErr w:type="spellEnd"/>
      <w:r w:rsidRPr="00C80A52">
        <w:rPr>
          <w:iCs/>
        </w:rPr>
        <w:t xml:space="preserve"> i </w:t>
      </w:r>
      <w:proofErr w:type="spellStart"/>
      <w:r w:rsidRPr="00C80A52">
        <w:rPr>
          <w:iCs/>
        </w:rPr>
        <w:t>Wspólnicy</w:t>
      </w:r>
      <w:proofErr w:type="spellEnd"/>
      <w:r w:rsidRPr="00C80A52">
        <w:rPr>
          <w:iCs/>
        </w:rPr>
        <w:t xml:space="preserve"> Sp. k.), Tomasz </w:t>
      </w:r>
      <w:proofErr w:type="spellStart"/>
      <w:r w:rsidRPr="00C80A52">
        <w:rPr>
          <w:iCs/>
        </w:rPr>
        <w:t>Michalczyk</w:t>
      </w:r>
      <w:proofErr w:type="spellEnd"/>
      <w:r w:rsidRPr="00C80A52">
        <w:rPr>
          <w:iCs/>
        </w:rPr>
        <w:t xml:space="preserve"> (</w:t>
      </w:r>
      <w:proofErr w:type="spellStart"/>
      <w:r w:rsidRPr="00C80A52">
        <w:rPr>
          <w:iCs/>
        </w:rPr>
        <w:t>Domański</w:t>
      </w:r>
      <w:proofErr w:type="spellEnd"/>
      <w:r w:rsidRPr="00C80A52">
        <w:rPr>
          <w:iCs/>
        </w:rPr>
        <w:t xml:space="preserve"> </w:t>
      </w:r>
      <w:proofErr w:type="spellStart"/>
      <w:r w:rsidRPr="00C80A52">
        <w:rPr>
          <w:iCs/>
        </w:rPr>
        <w:t>Zakrzewski</w:t>
      </w:r>
      <w:proofErr w:type="spellEnd"/>
      <w:r w:rsidRPr="00C80A52">
        <w:rPr>
          <w:iCs/>
        </w:rPr>
        <w:t xml:space="preserve"> Palinka sp. k.), </w:t>
      </w:r>
      <w:proofErr w:type="spellStart"/>
      <w:r w:rsidRPr="00C80A52">
        <w:rPr>
          <w:iCs/>
        </w:rPr>
        <w:t>Paw</w:t>
      </w:r>
      <w:r w:rsidRPr="00B958A9">
        <w:rPr>
          <w:iCs/>
        </w:rPr>
        <w:t>e</w:t>
      </w:r>
      <w:r w:rsidRPr="00C80A52">
        <w:rPr>
          <w:iCs/>
        </w:rPr>
        <w:t>ł</w:t>
      </w:r>
      <w:proofErr w:type="spellEnd"/>
      <w:r w:rsidRPr="00C80A52">
        <w:rPr>
          <w:iCs/>
        </w:rPr>
        <w:t xml:space="preserve"> Nowicki (</w:t>
      </w:r>
      <w:proofErr w:type="spellStart"/>
      <w:r w:rsidRPr="00C80A52">
        <w:rPr>
          <w:iCs/>
        </w:rPr>
        <w:t>Uniwersytet</w:t>
      </w:r>
      <w:proofErr w:type="spellEnd"/>
      <w:r w:rsidRPr="00C80A52">
        <w:rPr>
          <w:iCs/>
        </w:rPr>
        <w:t xml:space="preserve"> </w:t>
      </w:r>
      <w:proofErr w:type="spellStart"/>
      <w:r w:rsidRPr="00C80A52">
        <w:rPr>
          <w:iCs/>
        </w:rPr>
        <w:t>Mikołaja</w:t>
      </w:r>
      <w:proofErr w:type="spellEnd"/>
      <w:r w:rsidRPr="00C80A52">
        <w:rPr>
          <w:iCs/>
        </w:rPr>
        <w:t xml:space="preserve"> </w:t>
      </w:r>
      <w:proofErr w:type="spellStart"/>
      <w:r w:rsidRPr="00C80A52">
        <w:rPr>
          <w:iCs/>
        </w:rPr>
        <w:t>Kopernika</w:t>
      </w:r>
      <w:proofErr w:type="spellEnd"/>
      <w:r w:rsidRPr="00C80A52">
        <w:rPr>
          <w:iCs/>
        </w:rPr>
        <w:t xml:space="preserve"> w </w:t>
      </w:r>
      <w:proofErr w:type="spellStart"/>
      <w:r w:rsidRPr="00C80A52">
        <w:rPr>
          <w:iCs/>
        </w:rPr>
        <w:t>Toruniu</w:t>
      </w:r>
      <w:proofErr w:type="spellEnd"/>
      <w:r w:rsidRPr="00C80A52">
        <w:rPr>
          <w:iCs/>
        </w:rPr>
        <w:t xml:space="preserve">), </w:t>
      </w:r>
      <w:proofErr w:type="spellStart"/>
      <w:r w:rsidRPr="00C80A52">
        <w:rPr>
          <w:iCs/>
        </w:rPr>
        <w:t>Michał</w:t>
      </w:r>
      <w:proofErr w:type="spellEnd"/>
      <w:r w:rsidRPr="00C80A52">
        <w:rPr>
          <w:iCs/>
        </w:rPr>
        <w:t xml:space="preserve"> </w:t>
      </w:r>
      <w:proofErr w:type="spellStart"/>
      <w:r w:rsidRPr="00C80A52">
        <w:rPr>
          <w:iCs/>
        </w:rPr>
        <w:t>Orzechowski</w:t>
      </w:r>
      <w:proofErr w:type="spellEnd"/>
      <w:r w:rsidRPr="00C80A52">
        <w:rPr>
          <w:iCs/>
        </w:rPr>
        <w:t xml:space="preserve"> (DLA Piper </w:t>
      </w:r>
      <w:proofErr w:type="spellStart"/>
      <w:r w:rsidRPr="00C80A52">
        <w:rPr>
          <w:iCs/>
        </w:rPr>
        <w:t>Giziński</w:t>
      </w:r>
      <w:proofErr w:type="spellEnd"/>
      <w:r w:rsidRPr="00C80A52">
        <w:rPr>
          <w:iCs/>
        </w:rPr>
        <w:t xml:space="preserve"> </w:t>
      </w:r>
      <w:proofErr w:type="spellStart"/>
      <w:r w:rsidRPr="00C80A52">
        <w:rPr>
          <w:iCs/>
        </w:rPr>
        <w:t>Kycia</w:t>
      </w:r>
      <w:proofErr w:type="spellEnd"/>
      <w:r w:rsidRPr="00C80A52">
        <w:rPr>
          <w:iCs/>
        </w:rPr>
        <w:t xml:space="preserve"> sp. k.), Ann</w:t>
      </w:r>
      <w:r w:rsidRPr="00B958A9">
        <w:rPr>
          <w:iCs/>
        </w:rPr>
        <w:t>a</w:t>
      </w:r>
      <w:r w:rsidRPr="00C80A52">
        <w:rPr>
          <w:iCs/>
        </w:rPr>
        <w:t xml:space="preserve"> Specht-</w:t>
      </w:r>
      <w:proofErr w:type="spellStart"/>
      <w:r w:rsidRPr="00C80A52">
        <w:rPr>
          <w:iCs/>
        </w:rPr>
        <w:t>Schamper</w:t>
      </w:r>
      <w:r w:rsidRPr="00B958A9">
        <w:rPr>
          <w:iCs/>
        </w:rPr>
        <w:t>a</w:t>
      </w:r>
      <w:proofErr w:type="spellEnd"/>
      <w:r w:rsidRPr="00C80A52">
        <w:rPr>
          <w:iCs/>
        </w:rPr>
        <w:t xml:space="preserve"> (</w:t>
      </w:r>
      <w:proofErr w:type="spellStart"/>
      <w:r w:rsidRPr="00C80A52">
        <w:rPr>
          <w:iCs/>
        </w:rPr>
        <w:t>Schampera</w:t>
      </w:r>
      <w:proofErr w:type="spellEnd"/>
      <w:r w:rsidRPr="00C80A52">
        <w:rPr>
          <w:iCs/>
        </w:rPr>
        <w:t xml:space="preserve">, </w:t>
      </w:r>
      <w:proofErr w:type="spellStart"/>
      <w:r w:rsidRPr="00C80A52">
        <w:rPr>
          <w:iCs/>
        </w:rPr>
        <w:t>Dubis</w:t>
      </w:r>
      <w:proofErr w:type="spellEnd"/>
      <w:r w:rsidRPr="00C80A52">
        <w:rPr>
          <w:iCs/>
        </w:rPr>
        <w:t xml:space="preserve">, </w:t>
      </w:r>
      <w:proofErr w:type="spellStart"/>
      <w:r w:rsidRPr="00C80A52">
        <w:rPr>
          <w:iCs/>
        </w:rPr>
        <w:t>Zając</w:t>
      </w:r>
      <w:proofErr w:type="spellEnd"/>
      <w:r w:rsidRPr="00C80A52">
        <w:rPr>
          <w:iCs/>
        </w:rPr>
        <w:t xml:space="preserve"> i </w:t>
      </w:r>
      <w:proofErr w:type="spellStart"/>
      <w:r w:rsidRPr="00C80A52">
        <w:rPr>
          <w:iCs/>
        </w:rPr>
        <w:t>Wspólnicy</w:t>
      </w:r>
      <w:proofErr w:type="spellEnd"/>
      <w:r w:rsidRPr="00C80A52">
        <w:rPr>
          <w:iCs/>
        </w:rPr>
        <w:t xml:space="preserve"> sp. k.), </w:t>
      </w:r>
      <w:proofErr w:type="spellStart"/>
      <w:r w:rsidRPr="00C80A52">
        <w:rPr>
          <w:iCs/>
        </w:rPr>
        <w:t>Jarosław</w:t>
      </w:r>
      <w:proofErr w:type="spellEnd"/>
      <w:r w:rsidRPr="00C80A52">
        <w:rPr>
          <w:iCs/>
        </w:rPr>
        <w:t xml:space="preserve"> </w:t>
      </w:r>
      <w:proofErr w:type="spellStart"/>
      <w:r w:rsidRPr="00C80A52">
        <w:rPr>
          <w:iCs/>
        </w:rPr>
        <w:t>Sro</w:t>
      </w:r>
      <w:r w:rsidR="007F6E71" w:rsidRPr="00B958A9">
        <w:rPr>
          <w:iCs/>
        </w:rPr>
        <w:t>ka</w:t>
      </w:r>
      <w:proofErr w:type="spellEnd"/>
      <w:r w:rsidRPr="00C80A52">
        <w:rPr>
          <w:iCs/>
        </w:rPr>
        <w:t xml:space="preserve"> (BSJP </w:t>
      </w:r>
      <w:proofErr w:type="spellStart"/>
      <w:r w:rsidRPr="00C80A52">
        <w:rPr>
          <w:iCs/>
        </w:rPr>
        <w:t>Brockhuis</w:t>
      </w:r>
      <w:proofErr w:type="spellEnd"/>
      <w:r w:rsidRPr="00C80A52">
        <w:rPr>
          <w:iCs/>
        </w:rPr>
        <w:t xml:space="preserve"> </w:t>
      </w:r>
      <w:proofErr w:type="spellStart"/>
      <w:r w:rsidRPr="00C80A52">
        <w:rPr>
          <w:iCs/>
        </w:rPr>
        <w:t>Jurczak</w:t>
      </w:r>
      <w:proofErr w:type="spellEnd"/>
      <w:r w:rsidRPr="00C80A52">
        <w:rPr>
          <w:iCs/>
        </w:rPr>
        <w:t xml:space="preserve"> </w:t>
      </w:r>
      <w:proofErr w:type="spellStart"/>
      <w:r w:rsidRPr="00C80A52">
        <w:rPr>
          <w:iCs/>
        </w:rPr>
        <w:t>Prusak</w:t>
      </w:r>
      <w:proofErr w:type="spellEnd"/>
      <w:r w:rsidRPr="00C80A52">
        <w:rPr>
          <w:iCs/>
        </w:rPr>
        <w:t xml:space="preserve"> </w:t>
      </w:r>
      <w:proofErr w:type="spellStart"/>
      <w:r w:rsidRPr="00C80A52">
        <w:rPr>
          <w:iCs/>
        </w:rPr>
        <w:t>Sroka</w:t>
      </w:r>
      <w:proofErr w:type="spellEnd"/>
      <w:r w:rsidRPr="00C80A52">
        <w:rPr>
          <w:iCs/>
        </w:rPr>
        <w:t xml:space="preserve"> Nilsson sp. k.), Ann</w:t>
      </w:r>
      <w:r w:rsidR="007F6E71" w:rsidRPr="00B958A9">
        <w:rPr>
          <w:iCs/>
        </w:rPr>
        <w:t>a</w:t>
      </w:r>
      <w:r w:rsidRPr="00C80A52">
        <w:rPr>
          <w:iCs/>
        </w:rPr>
        <w:t xml:space="preserve"> </w:t>
      </w:r>
      <w:proofErr w:type="spellStart"/>
      <w:r w:rsidRPr="00C80A52">
        <w:rPr>
          <w:iCs/>
        </w:rPr>
        <w:t>Szymańsk</w:t>
      </w:r>
      <w:r w:rsidR="007F6E71" w:rsidRPr="00B958A9">
        <w:rPr>
          <w:iCs/>
        </w:rPr>
        <w:t>a</w:t>
      </w:r>
      <w:proofErr w:type="spellEnd"/>
      <w:r w:rsidRPr="00C80A52">
        <w:rPr>
          <w:iCs/>
        </w:rPr>
        <w:t xml:space="preserve"> (Dentons Europe </w:t>
      </w:r>
      <w:proofErr w:type="spellStart"/>
      <w:r w:rsidRPr="00C80A52">
        <w:rPr>
          <w:iCs/>
        </w:rPr>
        <w:t>Dąbrowski</w:t>
      </w:r>
      <w:proofErr w:type="spellEnd"/>
      <w:r w:rsidRPr="00C80A52">
        <w:rPr>
          <w:iCs/>
        </w:rPr>
        <w:t xml:space="preserve"> i </w:t>
      </w:r>
      <w:proofErr w:type="spellStart"/>
      <w:r w:rsidRPr="00C80A52">
        <w:rPr>
          <w:iCs/>
        </w:rPr>
        <w:t>Wspólnicy</w:t>
      </w:r>
      <w:proofErr w:type="spellEnd"/>
      <w:r w:rsidRPr="00C80A52">
        <w:rPr>
          <w:iCs/>
        </w:rPr>
        <w:t xml:space="preserve"> sp. k.), Grzegorz </w:t>
      </w:r>
      <w:proofErr w:type="spellStart"/>
      <w:r w:rsidRPr="00C80A52">
        <w:rPr>
          <w:iCs/>
        </w:rPr>
        <w:t>Wąsiewski</w:t>
      </w:r>
      <w:proofErr w:type="spellEnd"/>
      <w:r w:rsidRPr="00C80A52">
        <w:rPr>
          <w:iCs/>
        </w:rPr>
        <w:t xml:space="preserve"> (BSJP </w:t>
      </w:r>
      <w:proofErr w:type="spellStart"/>
      <w:r w:rsidRPr="00C80A52">
        <w:rPr>
          <w:iCs/>
        </w:rPr>
        <w:t>Brockhuis</w:t>
      </w:r>
      <w:proofErr w:type="spellEnd"/>
      <w:r w:rsidRPr="00C80A52">
        <w:rPr>
          <w:iCs/>
        </w:rPr>
        <w:t xml:space="preserve"> </w:t>
      </w:r>
      <w:proofErr w:type="spellStart"/>
      <w:r w:rsidRPr="00C80A52">
        <w:rPr>
          <w:iCs/>
        </w:rPr>
        <w:t>Jurczak</w:t>
      </w:r>
      <w:proofErr w:type="spellEnd"/>
      <w:r w:rsidRPr="00C80A52">
        <w:rPr>
          <w:iCs/>
        </w:rPr>
        <w:t xml:space="preserve"> </w:t>
      </w:r>
      <w:proofErr w:type="spellStart"/>
      <w:r w:rsidRPr="00C80A52">
        <w:rPr>
          <w:iCs/>
        </w:rPr>
        <w:t>Prusak</w:t>
      </w:r>
      <w:proofErr w:type="spellEnd"/>
      <w:r w:rsidRPr="00C80A52">
        <w:rPr>
          <w:iCs/>
        </w:rPr>
        <w:t xml:space="preserve"> </w:t>
      </w:r>
      <w:proofErr w:type="spellStart"/>
      <w:r w:rsidRPr="00C80A52">
        <w:rPr>
          <w:iCs/>
        </w:rPr>
        <w:t>Sroka</w:t>
      </w:r>
      <w:proofErr w:type="spellEnd"/>
      <w:r w:rsidRPr="00C80A52">
        <w:rPr>
          <w:iCs/>
        </w:rPr>
        <w:t xml:space="preserve"> Nilsson sp. k.), </w:t>
      </w:r>
      <w:proofErr w:type="spellStart"/>
      <w:r w:rsidRPr="00C80A52">
        <w:rPr>
          <w:iCs/>
        </w:rPr>
        <w:t>Michał</w:t>
      </w:r>
      <w:proofErr w:type="spellEnd"/>
      <w:r w:rsidRPr="00C80A52">
        <w:rPr>
          <w:iCs/>
        </w:rPr>
        <w:t xml:space="preserve"> Wojciechowski (</w:t>
      </w:r>
      <w:proofErr w:type="spellStart"/>
      <w:r w:rsidRPr="00C80A52">
        <w:rPr>
          <w:iCs/>
        </w:rPr>
        <w:t>Domański</w:t>
      </w:r>
      <w:proofErr w:type="spellEnd"/>
      <w:r w:rsidRPr="00C80A52">
        <w:rPr>
          <w:iCs/>
        </w:rPr>
        <w:t xml:space="preserve"> </w:t>
      </w:r>
      <w:proofErr w:type="spellStart"/>
      <w:r w:rsidRPr="00C80A52">
        <w:rPr>
          <w:iCs/>
        </w:rPr>
        <w:t>Zakrzewski</w:t>
      </w:r>
      <w:proofErr w:type="spellEnd"/>
      <w:r w:rsidRPr="00C80A52">
        <w:rPr>
          <w:iCs/>
        </w:rPr>
        <w:t xml:space="preserve"> Palinka sp. k.)</w:t>
      </w:r>
      <w:r w:rsidR="007F6E71" w:rsidRPr="00B958A9">
        <w:rPr>
          <w:iCs/>
        </w:rPr>
        <w:t>, and</w:t>
      </w:r>
      <w:r w:rsidRPr="00C80A52">
        <w:rPr>
          <w:iCs/>
        </w:rPr>
        <w:t xml:space="preserve"> Tomasz </w:t>
      </w:r>
      <w:proofErr w:type="spellStart"/>
      <w:r w:rsidRPr="00C80A52">
        <w:rPr>
          <w:iCs/>
        </w:rPr>
        <w:t>Zalewski</w:t>
      </w:r>
      <w:proofErr w:type="spellEnd"/>
      <w:r w:rsidRPr="00C80A52">
        <w:rPr>
          <w:iCs/>
        </w:rPr>
        <w:t xml:space="preserve"> (BIRD&amp;BIRD </w:t>
      </w:r>
      <w:proofErr w:type="spellStart"/>
      <w:r w:rsidRPr="00C80A52">
        <w:rPr>
          <w:iCs/>
        </w:rPr>
        <w:t>Szepietowski</w:t>
      </w:r>
      <w:proofErr w:type="spellEnd"/>
      <w:r w:rsidRPr="00C80A52">
        <w:rPr>
          <w:iCs/>
        </w:rPr>
        <w:t xml:space="preserve"> i </w:t>
      </w:r>
      <w:proofErr w:type="spellStart"/>
      <w:r w:rsidRPr="00C80A52">
        <w:rPr>
          <w:iCs/>
        </w:rPr>
        <w:t>Wspólnicy</w:t>
      </w:r>
      <w:proofErr w:type="spellEnd"/>
      <w:r w:rsidRPr="00C80A52">
        <w:rPr>
          <w:iCs/>
        </w:rPr>
        <w:t xml:space="preserve"> </w:t>
      </w:r>
      <w:proofErr w:type="spellStart"/>
      <w:r w:rsidRPr="00C80A52">
        <w:rPr>
          <w:iCs/>
        </w:rPr>
        <w:t>sp.k</w:t>
      </w:r>
      <w:proofErr w:type="spellEnd"/>
      <w:r w:rsidRPr="00C80A52">
        <w:rPr>
          <w:iCs/>
        </w:rPr>
        <w:t>.).</w:t>
      </w:r>
    </w:p>
    <w:p w14:paraId="7619D33A" w14:textId="38C0C90C" w:rsidR="00F44DE9" w:rsidRPr="00B958A9" w:rsidRDefault="00F44DE9" w:rsidP="00F44DE9">
      <w:pPr>
        <w:spacing w:after="0"/>
        <w:ind w:left="6480"/>
        <w:rPr>
          <w:i/>
        </w:rPr>
      </w:pPr>
      <w:r w:rsidRPr="00C80A52">
        <w:rPr>
          <w:i/>
          <w:iCs/>
        </w:rPr>
        <w:t>Piotr Bogdanowicz</w:t>
      </w:r>
      <w:r w:rsidR="003A23E9" w:rsidRPr="002A0DFA">
        <w:rPr>
          <w:rStyle w:val="FootnoteReference"/>
        </w:rPr>
        <w:footnoteReference w:id="1"/>
      </w:r>
    </w:p>
    <w:p w14:paraId="5D4F92B0" w14:textId="6B1BDEC1" w:rsidR="00725A9C" w:rsidRPr="00B958A9" w:rsidRDefault="00F44DE9" w:rsidP="00F44DE9">
      <w:pPr>
        <w:spacing w:after="0"/>
        <w:ind w:left="6480"/>
        <w:rPr>
          <w:iCs/>
        </w:rPr>
      </w:pPr>
      <w:r w:rsidRPr="00C80A52">
        <w:rPr>
          <w:i/>
          <w:iCs/>
        </w:rPr>
        <w:t>Jan Roliński</w:t>
      </w:r>
      <w:r w:rsidR="003A23E9" w:rsidRPr="002A0DFA">
        <w:rPr>
          <w:rStyle w:val="FootnoteReference"/>
        </w:rPr>
        <w:footnoteReference w:id="2"/>
      </w:r>
      <w:r w:rsidRPr="00C80A52">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638"/>
      </w:tblGrid>
      <w:tr w:rsidR="00725A9C" w:rsidRPr="00B958A9" w14:paraId="3C65EC7B" w14:textId="77777777" w:rsidTr="00D962D7">
        <w:tc>
          <w:tcPr>
            <w:tcW w:w="9638" w:type="dxa"/>
            <w:shd w:val="clear" w:color="auto" w:fill="17365D" w:themeFill="text2" w:themeFillShade="BF"/>
          </w:tcPr>
          <w:p w14:paraId="50BB4C2B" w14:textId="77777777" w:rsidR="00725A9C" w:rsidRPr="00C80A52" w:rsidRDefault="00725A9C" w:rsidP="00A05BA7">
            <w:pPr>
              <w:pStyle w:val="StandardL1"/>
              <w:spacing w:before="240"/>
              <w:rPr>
                <w:color w:val="FFFFFF" w:themeColor="background1"/>
                <w:lang w:val="en-GB"/>
              </w:rPr>
            </w:pPr>
            <w:r w:rsidRPr="00C80A52">
              <w:rPr>
                <w:bCs/>
                <w:color w:val="FFFFFF" w:themeColor="background1"/>
                <w:lang w:val="en-GB"/>
              </w:rPr>
              <w:lastRenderedPageBreak/>
              <w:t>Foreword</w:t>
            </w:r>
          </w:p>
        </w:tc>
      </w:tr>
    </w:tbl>
    <w:p w14:paraId="2D2E02E0" w14:textId="77777777" w:rsidR="00436F3F" w:rsidRPr="00B958A9" w:rsidRDefault="00436F3F" w:rsidP="00436F3F">
      <w:pPr>
        <w:spacing w:after="120"/>
        <w:ind w:left="4320" w:firstLine="720"/>
        <w:rPr>
          <w:i/>
        </w:rPr>
      </w:pPr>
    </w:p>
    <w:p w14:paraId="58E8813B" w14:textId="77777777" w:rsidR="00663ACF" w:rsidRPr="003A5ABA" w:rsidRDefault="00663ACF" w:rsidP="00663ACF">
      <w:pPr>
        <w:spacing w:line="276" w:lineRule="auto"/>
        <w:rPr>
          <w:szCs w:val="24"/>
        </w:rPr>
      </w:pPr>
      <w:r w:rsidRPr="003A5ABA">
        <w:rPr>
          <w:szCs w:val="24"/>
        </w:rPr>
        <w:t>The legal structure concerning the exclusion of a contractor from public procurement procedures plays a key role in the context of ensuring the effectiveness of the procedures. Its aim is primarily to minimise the risk of non-performance or inadequate performance of a public procurement by specific categories of contractors (performance risk) and to minimise the risk of loss of reputation by contracting authorities as a result of their cooperating with unsuitable contractors (reputational risk). The exclusion structure and the self-cleaning</w:t>
      </w:r>
      <w:r w:rsidRPr="003A5ABA">
        <w:rPr>
          <w:i/>
          <w:iCs/>
          <w:szCs w:val="24"/>
        </w:rPr>
        <w:t xml:space="preserve"> </w:t>
      </w:r>
      <w:r w:rsidRPr="003A5ABA">
        <w:rPr>
          <w:szCs w:val="24"/>
        </w:rPr>
        <w:t>mechanism should also be treated as a measure leading to an improvement in the standards in force for counterparties in the public sector, gradually improving the quality of the entire public procurements system.</w:t>
      </w:r>
    </w:p>
    <w:p w14:paraId="6AB2A26D" w14:textId="77777777" w:rsidR="00663ACF" w:rsidRPr="003A5ABA" w:rsidRDefault="00663ACF" w:rsidP="00663ACF">
      <w:pPr>
        <w:spacing w:line="276" w:lineRule="auto"/>
        <w:rPr>
          <w:szCs w:val="24"/>
        </w:rPr>
      </w:pPr>
      <w:r w:rsidRPr="003A5ABA">
        <w:rPr>
          <w:szCs w:val="24"/>
        </w:rPr>
        <w:t xml:space="preserve">An analysis of the exclusion structure raises many questions concerning, inter alia, the situations in which contractors should be excluded, when and under what conditions it is worth permitting contractors to return to the public procurements market, whether exclusion should have an effect only with regard to a specific procedure or whether it may have also have an effect on future procedures conducted by contracting authorities in the relevant country or wider area, e.g. throughout the EU, and finally, who should decide on the application of such a radical measure to contractors. </w:t>
      </w:r>
    </w:p>
    <w:p w14:paraId="620E2250" w14:textId="77777777" w:rsidR="00663ACF" w:rsidRPr="003A5ABA" w:rsidRDefault="00663ACF" w:rsidP="00663ACF">
      <w:pPr>
        <w:spacing w:line="276" w:lineRule="auto"/>
        <w:rPr>
          <w:szCs w:val="24"/>
        </w:rPr>
      </w:pPr>
      <w:r w:rsidRPr="003A5ABA">
        <w:rPr>
          <w:szCs w:val="24"/>
        </w:rPr>
        <w:t xml:space="preserve">The regulation on exclusion of contractors from procedures is present in all normative acts the subject of which is the granting of a public procurement. A comparative analysis of those regulations shows a common concept, this being, generally speaking, contracting authorities' intention to cooperate only with reliable and honest contractors. However, a closer look at the provisions on the issue in question reveals many discrepancies, often concerning even fundamental issues. </w:t>
      </w:r>
      <w:r w:rsidRPr="003A5ABA">
        <w:rPr>
          <w:szCs w:val="24"/>
        </w:rPr>
        <w:tab/>
      </w:r>
    </w:p>
    <w:p w14:paraId="5347346C" w14:textId="532B3F06" w:rsidR="00663ACF" w:rsidRPr="003A5ABA" w:rsidRDefault="00663ACF" w:rsidP="00663ACF">
      <w:pPr>
        <w:spacing w:line="276" w:lineRule="auto"/>
        <w:rPr>
          <w:rFonts w:cstheme="minorHAnsi"/>
          <w:szCs w:val="24"/>
        </w:rPr>
      </w:pPr>
      <w:r w:rsidRPr="003A5ABA">
        <w:rPr>
          <w:szCs w:val="24"/>
        </w:rPr>
        <w:t xml:space="preserve">The report prepared by the Public Procurement Law Association entitled </w:t>
      </w:r>
      <w:r w:rsidRPr="00663ACF">
        <w:rPr>
          <w:i/>
          <w:iCs/>
          <w:szCs w:val="24"/>
        </w:rPr>
        <w:t xml:space="preserve">Exclusion </w:t>
      </w:r>
      <w:r w:rsidRPr="00663ACF">
        <w:rPr>
          <w:rFonts w:cs="Arial"/>
          <w:i/>
          <w:iCs/>
          <w:szCs w:val="24"/>
        </w:rPr>
        <w:t xml:space="preserve">Grounds – the practice of </w:t>
      </w:r>
      <w:r w:rsidRPr="00663ACF">
        <w:rPr>
          <w:rFonts w:asciiTheme="majorHAnsi" w:hAnsiTheme="majorHAnsi" w:cstheme="majorHAnsi"/>
          <w:i/>
          <w:iCs/>
          <w:szCs w:val="24"/>
        </w:rPr>
        <w:t>application in the EU and EFTA states</w:t>
      </w:r>
      <w:r w:rsidRPr="00663ACF">
        <w:rPr>
          <w:rFonts w:asciiTheme="majorHAnsi" w:hAnsiTheme="majorHAnsi" w:cstheme="majorHAnsi"/>
          <w:szCs w:val="24"/>
        </w:rPr>
        <w:t xml:space="preserve"> shows the complexity of the problem concerning exclusion of contractors from procedures on the basis of selected provisions of </w:t>
      </w:r>
      <w:r w:rsidRPr="00663ACF">
        <w:rPr>
          <w:rFonts w:asciiTheme="majorHAnsi" w:hAnsiTheme="majorHAnsi" w:cstheme="majorHAnsi"/>
          <w:szCs w:val="24"/>
          <w:shd w:val="clear" w:color="auto" w:fill="FFFFFF"/>
        </w:rPr>
        <w:t>Directive 2014/24/EU on public procurement and repealing Directive 2004/18/EC </w:t>
      </w:r>
      <w:r w:rsidRPr="00663ACF">
        <w:rPr>
          <w:rFonts w:asciiTheme="majorHAnsi" w:hAnsiTheme="majorHAnsi" w:cstheme="majorHAnsi"/>
          <w:szCs w:val="24"/>
        </w:rPr>
        <w:t>, and on the basis of national laws of the member states of the EU and EFTA. It should be pointed out that the Report provides a thorough discussion</w:t>
      </w:r>
      <w:r w:rsidRPr="003A5ABA">
        <w:rPr>
          <w:szCs w:val="24"/>
        </w:rPr>
        <w:t xml:space="preserve"> of A</w:t>
      </w:r>
      <w:r w:rsidRPr="003A5ABA">
        <w:rPr>
          <w:iCs/>
          <w:szCs w:val="24"/>
        </w:rPr>
        <w:t xml:space="preserve">rt. 57 sec. 4 </w:t>
      </w:r>
      <w:r>
        <w:rPr>
          <w:iCs/>
          <w:szCs w:val="24"/>
        </w:rPr>
        <w:t>items</w:t>
      </w:r>
      <w:r w:rsidRPr="003A5ABA">
        <w:rPr>
          <w:iCs/>
          <w:szCs w:val="24"/>
        </w:rPr>
        <w:t xml:space="preserve"> c), g), h) and i)</w:t>
      </w:r>
      <w:r w:rsidRPr="003A5ABA">
        <w:rPr>
          <w:szCs w:val="24"/>
        </w:rPr>
        <w:t xml:space="preserve"> of Directive 2014/24/EU, and the texts of the national regulations implementing the aforesaid provisions  use numerous terms that are not defined. A natural consequence of that in practice of is the many doubts that arise as to an assessment of those terms in specific </w:t>
      </w:r>
      <w:r w:rsidRPr="003A5ABA">
        <w:rPr>
          <w:szCs w:val="24"/>
        </w:rPr>
        <w:lastRenderedPageBreak/>
        <w:t>cases. The said non-defined terms, serving to provide  flexibility in decision-making by contracting authorities may at the same time lead to far-reaching differences in the application of legal solutions common to all EU countries. Such a situation is not conducive to certainty of legal transactions from the contractors' point of view. In this context, it is worth pointing out that this Report contains a number of unusually valuable comparative analyses concerning the implementation of the provisions contained in Directive 2014/24/EU. The findings presented concisely and legibly in the Report could be the starting point for contracting institutions in countries of the EU or EFTA when they are making decisions related to an interpretation of provisions on the exclusion of a contractor from a procedure. The Report will also be a source of valuable information for contractors interested in a public procurement in the individual countries discussed in the Report. The Report will undoubtedly also be of interest to contractors from outside the EU and EFTA that are interested in participating in public procurement markets of member states. The Report will furthermore be a base of valuable guidelines in the context of comparative analyses for other institutions granting public procurements, including m</w:t>
      </w:r>
      <w:r w:rsidRPr="003A5ABA">
        <w:rPr>
          <w:rFonts w:cstheme="minorHAnsi"/>
          <w:szCs w:val="24"/>
        </w:rPr>
        <w:t xml:space="preserve">ultilateral development banks, such as the World Bank. </w:t>
      </w:r>
    </w:p>
    <w:p w14:paraId="6DB2F982" w14:textId="77777777" w:rsidR="00663ACF" w:rsidRPr="003A5ABA" w:rsidRDefault="00663ACF" w:rsidP="00663ACF">
      <w:pPr>
        <w:spacing w:line="276" w:lineRule="auto"/>
        <w:rPr>
          <w:rFonts w:cstheme="minorHAnsi"/>
          <w:szCs w:val="24"/>
        </w:rPr>
      </w:pPr>
      <w:r w:rsidRPr="003A5ABA">
        <w:rPr>
          <w:rFonts w:cstheme="minorHAnsi"/>
          <w:szCs w:val="24"/>
        </w:rPr>
        <w:t>The degree of complexity of the legal structure of exclusion of contractors from a procedure and the importance of the problems in question in the context of the implementation of the rule of effectiveness of public procurements justifies a broader look at the issue. Therefore, it is also worth analysing other legal systems providing for exclusion from public procurement procedures, including the model of federal procurements of the US government set out in the Federal Acquisition Regulation (FAR). For this reason, the Public Procurement Law Association's initiative to organise a conference at the University of Warsaw for 30 September 2019, dedicated to the practice of applying grounds for exclusion in the countries of the EU, E</w:t>
      </w:r>
      <w:r w:rsidRPr="003A5ABA">
        <w:rPr>
          <w:rFonts w:cstheme="minorHAnsi"/>
          <w:szCs w:val="24"/>
          <w:shd w:val="clear" w:color="auto" w:fill="FFFFFF"/>
        </w:rPr>
        <w:t xml:space="preserve">FTA and the USA should meet approval. </w:t>
      </w:r>
    </w:p>
    <w:p w14:paraId="061AEE1C" w14:textId="77777777" w:rsidR="00663ACF" w:rsidRPr="003A5ABA" w:rsidRDefault="00663ACF" w:rsidP="00663ACF">
      <w:pPr>
        <w:spacing w:line="276" w:lineRule="auto"/>
        <w:rPr>
          <w:rFonts w:cstheme="minorHAnsi"/>
          <w:szCs w:val="24"/>
        </w:rPr>
      </w:pPr>
      <w:r w:rsidRPr="003A5ABA">
        <w:rPr>
          <w:rFonts w:cstheme="minorHAnsi"/>
          <w:szCs w:val="24"/>
        </w:rPr>
        <w:t xml:space="preserve">Worthy of particular note in the US model is primarily the separation of specialised authorities responsible for issues of exclusion of certain categories of contractors. The US regulation dedicated to government procurements has so-called Suspension and Debarment Officers, whose sole task is to conduct proceedings in cases concerning exclusion of contractors. Accordingly, a high level of professionalism maximising the effectiveness of the structure of exclusion of a contractor from the governmental procurements system, and hence effectiveness of the entire system of governmental procurements,  is achieved. The regulation contained in the US regulation of government procurements consisting in the conclusion of a so-called administrative agreement could in turn serve as a guideline for EU countries in the context of effective implementation of the self-cleaning mechanism. In this agreement, contractors undertake to take a number of </w:t>
      </w:r>
      <w:r w:rsidRPr="003A5ABA">
        <w:rPr>
          <w:rFonts w:cstheme="minorHAnsi"/>
          <w:szCs w:val="24"/>
        </w:rPr>
        <w:lastRenderedPageBreak/>
        <w:t xml:space="preserve">actions that will enable them to return to the public procurements market. The actions of contractors are supported by a so-called Independent Monitors giving them appropriate guidelines, while at the same time informing the relevant government agencies of the progress in the actions contractors are taking with the aim of returning to the governmental procurements market. Another interesting solution contained in the Federal Acquisition Regulation is the requirement that contractors have appropriate compliance policies in place before they join a public procurement procedure, and not as an </w:t>
      </w:r>
      <w:r w:rsidRPr="003A5ABA">
        <w:rPr>
          <w:rFonts w:cstheme="minorHAnsi"/>
          <w:i/>
          <w:iCs/>
          <w:szCs w:val="24"/>
        </w:rPr>
        <w:t>ex post</w:t>
      </w:r>
      <w:r w:rsidRPr="003A5ABA">
        <w:rPr>
          <w:rFonts w:cstheme="minorHAnsi"/>
          <w:szCs w:val="24"/>
        </w:rPr>
        <w:t xml:space="preserve"> measure constituting one of the possible self-cleaning conditions. Thanks to that solution, most contractors intending to cooperate with the federal government must at the outset demonstrate they have appropriate regulations in place guaranteeing honesty and integrity in business. </w:t>
      </w:r>
    </w:p>
    <w:p w14:paraId="522D61A4" w14:textId="77777777" w:rsidR="00663ACF" w:rsidRPr="003A5ABA" w:rsidRDefault="00663ACF" w:rsidP="00663ACF">
      <w:pPr>
        <w:spacing w:line="276" w:lineRule="auto"/>
        <w:rPr>
          <w:rFonts w:cstheme="minorHAnsi"/>
          <w:szCs w:val="24"/>
        </w:rPr>
      </w:pPr>
      <w:r w:rsidRPr="003A5ABA">
        <w:rPr>
          <w:rFonts w:cstheme="minorHAnsi"/>
          <w:szCs w:val="24"/>
        </w:rPr>
        <w:t>The comparative analyses presented in the Report and the exchange of views during the conference "</w:t>
      </w:r>
      <w:r w:rsidRPr="003A5ABA">
        <w:rPr>
          <w:rFonts w:cstheme="minorHAnsi"/>
          <w:szCs w:val="24"/>
          <w:shd w:val="clear" w:color="auto" w:fill="FFFFFF"/>
        </w:rPr>
        <w:t>Grounds for exclusion – the practice of application in the countries of the EU, EFTA and the USA"</w:t>
      </w:r>
      <w:r w:rsidRPr="003A5ABA">
        <w:rPr>
          <w:rFonts w:cstheme="minorHAnsi"/>
          <w:szCs w:val="24"/>
        </w:rPr>
        <w:t xml:space="preserve"> should be the </w:t>
      </w:r>
      <w:r>
        <w:rPr>
          <w:rFonts w:cstheme="minorHAnsi"/>
          <w:szCs w:val="24"/>
        </w:rPr>
        <w:t xml:space="preserve">start for </w:t>
      </w:r>
      <w:r w:rsidRPr="003A5ABA">
        <w:rPr>
          <w:rFonts w:cstheme="minorHAnsi"/>
          <w:szCs w:val="24"/>
        </w:rPr>
        <w:t xml:space="preserve">legal systems </w:t>
      </w:r>
      <w:r>
        <w:rPr>
          <w:rFonts w:cstheme="minorHAnsi"/>
          <w:szCs w:val="24"/>
        </w:rPr>
        <w:t xml:space="preserve">to become more integrated </w:t>
      </w:r>
      <w:r w:rsidRPr="003A5ABA">
        <w:rPr>
          <w:rFonts w:cstheme="minorHAnsi"/>
          <w:szCs w:val="24"/>
        </w:rPr>
        <w:t xml:space="preserve">on the subject of exclusion of contractors from procedures, </w:t>
      </w:r>
      <w:r>
        <w:rPr>
          <w:rFonts w:cstheme="minorHAnsi"/>
          <w:szCs w:val="24"/>
        </w:rPr>
        <w:t xml:space="preserve">thereby </w:t>
      </w:r>
      <w:r w:rsidRPr="003A5ABA">
        <w:rPr>
          <w:rFonts w:cstheme="minorHAnsi"/>
          <w:szCs w:val="24"/>
        </w:rPr>
        <w:t xml:space="preserve">contributing to an improvement </w:t>
      </w:r>
      <w:r>
        <w:rPr>
          <w:rFonts w:cstheme="minorHAnsi"/>
          <w:szCs w:val="24"/>
        </w:rPr>
        <w:t xml:space="preserve">in </w:t>
      </w:r>
      <w:r w:rsidRPr="003A5ABA">
        <w:rPr>
          <w:rFonts w:cstheme="minorHAnsi"/>
          <w:szCs w:val="24"/>
        </w:rPr>
        <w:t xml:space="preserve">the quality of the public procurements market. </w:t>
      </w:r>
    </w:p>
    <w:p w14:paraId="613F38BD" w14:textId="77777777" w:rsidR="000E6FC9" w:rsidRDefault="000E6FC9" w:rsidP="00663ACF">
      <w:pPr>
        <w:ind w:left="5040"/>
      </w:pPr>
    </w:p>
    <w:p w14:paraId="1347DA88" w14:textId="77777777" w:rsidR="00663ACF" w:rsidRDefault="00663ACF" w:rsidP="00663ACF">
      <w:pPr>
        <w:spacing w:after="120"/>
        <w:ind w:left="5041"/>
        <w:rPr>
          <w:i/>
          <w:iCs/>
        </w:rPr>
      </w:pPr>
      <w:r w:rsidRPr="00663ACF">
        <w:rPr>
          <w:i/>
          <w:iCs/>
        </w:rPr>
        <w:t>Prof. Michał Kania</w:t>
      </w:r>
    </w:p>
    <w:p w14:paraId="375E5D0E" w14:textId="134BBE19" w:rsidR="00663ACF" w:rsidRDefault="00663ACF" w:rsidP="00663ACF">
      <w:pPr>
        <w:spacing w:after="120"/>
        <w:ind w:left="5041"/>
        <w:rPr>
          <w:i/>
          <w:iCs/>
        </w:rPr>
      </w:pPr>
      <w:r>
        <w:rPr>
          <w:i/>
          <w:iCs/>
        </w:rPr>
        <w:t>Silesian University in Katowice</w:t>
      </w:r>
    </w:p>
    <w:p w14:paraId="1F508FBE" w14:textId="469759D7" w:rsidR="00663ACF" w:rsidRPr="00663ACF" w:rsidRDefault="00663ACF" w:rsidP="000E6FC9">
      <w:pPr>
        <w:rPr>
          <w:i/>
          <w:iCs/>
        </w:rPr>
        <w:sectPr w:rsidR="00663ACF" w:rsidRPr="00663ACF" w:rsidSect="007F0D15">
          <w:headerReference w:type="first" r:id="rId15"/>
          <w:footerReference w:type="first" r:id="rId16"/>
          <w:pgSz w:w="11906" w:h="16838" w:code="9"/>
          <w:pgMar w:top="2325" w:right="1134" w:bottom="1440" w:left="1134" w:header="720" w:footer="580"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638"/>
      </w:tblGrid>
      <w:tr w:rsidR="00A90D6A" w:rsidRPr="00B958A9" w14:paraId="55F7889A" w14:textId="77777777" w:rsidTr="00D962D7">
        <w:tc>
          <w:tcPr>
            <w:tcW w:w="9638" w:type="dxa"/>
            <w:shd w:val="clear" w:color="auto" w:fill="17365D" w:themeFill="text2" w:themeFillShade="BF"/>
          </w:tcPr>
          <w:p w14:paraId="70A71C59" w14:textId="77777777" w:rsidR="00A90D6A" w:rsidRPr="00C80A52" w:rsidRDefault="00A90D6A" w:rsidP="00A90D6A">
            <w:pPr>
              <w:pStyle w:val="StandardL1"/>
              <w:spacing w:before="240"/>
              <w:rPr>
                <w:color w:val="FFFFFF" w:themeColor="background1"/>
                <w:lang w:val="en-GB"/>
              </w:rPr>
            </w:pPr>
            <w:bookmarkStart w:id="1" w:name="_Hlk19035176"/>
            <w:r w:rsidRPr="00C80A52">
              <w:rPr>
                <w:bCs/>
                <w:color w:val="FFFFFF" w:themeColor="background1"/>
                <w:lang w:val="en-GB"/>
              </w:rPr>
              <w:lastRenderedPageBreak/>
              <w:t>Disclaimer</w:t>
            </w:r>
          </w:p>
        </w:tc>
      </w:tr>
      <w:bookmarkEnd w:id="1"/>
    </w:tbl>
    <w:p w14:paraId="0607B096" w14:textId="77777777" w:rsidR="000E6FC9" w:rsidRPr="00B958A9" w:rsidRDefault="000E6FC9" w:rsidP="000E6FC9"/>
    <w:p w14:paraId="700E30B3" w14:textId="3784F38D" w:rsidR="00ED3572" w:rsidRPr="00B958A9" w:rsidRDefault="00ED3572" w:rsidP="00BF25FE">
      <w:pPr>
        <w:pStyle w:val="ListParagraph"/>
        <w:numPr>
          <w:ilvl w:val="0"/>
          <w:numId w:val="4"/>
        </w:numPr>
        <w:ind w:hanging="720"/>
        <w:contextualSpacing w:val="0"/>
      </w:pPr>
      <w:r w:rsidRPr="00C80A52">
        <w:t>The Report includes information on 31 EU Member States and the European Free Trade Association; in the case of Great Britain, the obtained information refers to England and Wales only.</w:t>
      </w:r>
    </w:p>
    <w:p w14:paraId="6B6F246F" w14:textId="74C4BD35" w:rsidR="00D21DE3" w:rsidRPr="00B958A9" w:rsidRDefault="00D21DE3" w:rsidP="00BF25FE">
      <w:pPr>
        <w:pStyle w:val="ListParagraph"/>
        <w:numPr>
          <w:ilvl w:val="0"/>
          <w:numId w:val="4"/>
        </w:numPr>
        <w:ind w:hanging="720"/>
        <w:contextualSpacing w:val="0"/>
      </w:pPr>
      <w:r w:rsidRPr="00C80A52">
        <w:t>The Report covers only an analysis of the manner of transposition and the practice of applying the selected exclusion grounds from the public procurement procedure in the individual EU and EFTA Member States, following from Directive 2014/24/EU on public procurement and repealing Directive 2004/18/EC</w:t>
      </w:r>
      <w:r w:rsidRPr="00C80A52">
        <w:rPr>
          <w:rFonts w:ascii="ZWAdobeF" w:hAnsi="ZWAdobeF"/>
          <w:color w:val="auto"/>
          <w:sz w:val="2"/>
          <w:szCs w:val="2"/>
        </w:rPr>
        <w:t>1 F</w:t>
      </w:r>
      <w:r w:rsidRPr="00C80A52">
        <w:rPr>
          <w:rStyle w:val="FootnoteReference"/>
        </w:rPr>
        <w:footnoteReference w:id="3"/>
      </w:r>
      <w:r w:rsidRPr="00C80A52">
        <w:t>.</w:t>
      </w:r>
    </w:p>
    <w:p w14:paraId="21D59543" w14:textId="4943B40E" w:rsidR="00D21DE3" w:rsidRPr="00B958A9" w:rsidRDefault="00D21DE3" w:rsidP="00BF25FE">
      <w:pPr>
        <w:pStyle w:val="ListParagraph"/>
        <w:numPr>
          <w:ilvl w:val="0"/>
          <w:numId w:val="4"/>
        </w:numPr>
        <w:ind w:hanging="720"/>
        <w:contextualSpacing w:val="0"/>
      </w:pPr>
      <w:r w:rsidRPr="00C80A52">
        <w:t>The Report only discusses the exclusion grounds indicated in Article 57 section 4 item c); Article 57 section 4 item g) and Article 57 section 4 item h) and i) of Directive 2014/24/EU.</w:t>
      </w:r>
    </w:p>
    <w:p w14:paraId="19CBE437" w14:textId="727FBCB0" w:rsidR="000E6FC9" w:rsidRPr="00B958A9" w:rsidRDefault="0090668C" w:rsidP="00BF25FE">
      <w:pPr>
        <w:pStyle w:val="ListParagraph"/>
        <w:numPr>
          <w:ilvl w:val="0"/>
          <w:numId w:val="4"/>
        </w:numPr>
        <w:ind w:hanging="720"/>
        <w:contextualSpacing w:val="0"/>
        <w:rPr>
          <w:color w:val="1F497D" w:themeColor="text2"/>
        </w:rPr>
      </w:pPr>
      <w:r w:rsidRPr="00C80A52">
        <w:t>The Report has been drafted based on an analysis of Polish law and the answers provided by law firms from 31 EU and EFTA Member States to the questions contained in the surveys. As a rule, we have not independently analysed the issues concerning foreign law and the practice of its application covered by the surveys</w:t>
      </w:r>
      <w:r w:rsidRPr="00C80A52">
        <w:rPr>
          <w:color w:val="1F497D" w:themeColor="text2"/>
        </w:rPr>
        <w:t>.</w:t>
      </w:r>
    </w:p>
    <w:p w14:paraId="3DFEC049" w14:textId="2D9B3545" w:rsidR="00184199" w:rsidRPr="00B958A9" w:rsidRDefault="00184199" w:rsidP="00BF25FE">
      <w:pPr>
        <w:pStyle w:val="ListParagraph"/>
        <w:numPr>
          <w:ilvl w:val="0"/>
          <w:numId w:val="4"/>
        </w:numPr>
        <w:ind w:hanging="720"/>
        <w:contextualSpacing w:val="0"/>
        <w:rPr>
          <w:color w:val="1F497D" w:themeColor="text2"/>
        </w:rPr>
      </w:pPr>
      <w:r w:rsidRPr="00C80A52">
        <w:t xml:space="preserve">The Report was prepared </w:t>
      </w:r>
      <w:r w:rsidRPr="00746DA4">
        <w:t xml:space="preserve">as at </w:t>
      </w:r>
      <w:r w:rsidRPr="00746DA4">
        <w:rPr>
          <w:color w:val="auto"/>
        </w:rPr>
        <w:t>31 July</w:t>
      </w:r>
      <w:r w:rsidRPr="00746DA4">
        <w:rPr>
          <w:color w:val="FF0000"/>
        </w:rPr>
        <w:t xml:space="preserve"> </w:t>
      </w:r>
      <w:r w:rsidRPr="00746DA4">
        <w:t>2019</w:t>
      </w:r>
      <w:r w:rsidRPr="00C80A52">
        <w:t>.</w:t>
      </w:r>
    </w:p>
    <w:p w14:paraId="71239419" w14:textId="77777777" w:rsidR="00184199" w:rsidRPr="00B958A9" w:rsidRDefault="00184199" w:rsidP="00184199">
      <w:pPr>
        <w:pStyle w:val="ListParagraph"/>
        <w:rPr>
          <w:color w:val="1F497D" w:themeColor="text2"/>
        </w:rPr>
      </w:pPr>
    </w:p>
    <w:p w14:paraId="7CF56C47" w14:textId="77777777" w:rsidR="00537BA1" w:rsidRPr="00B958A9" w:rsidRDefault="00537BA1" w:rsidP="00BF25FE">
      <w:pPr>
        <w:pStyle w:val="ListParagraph"/>
        <w:numPr>
          <w:ilvl w:val="0"/>
          <w:numId w:val="4"/>
        </w:numPr>
        <w:rPr>
          <w:color w:val="1F497D" w:themeColor="text2"/>
        </w:rPr>
        <w:sectPr w:rsidR="00537BA1" w:rsidRPr="00B958A9" w:rsidSect="007F0D15">
          <w:pgSz w:w="11906" w:h="16838" w:code="9"/>
          <w:pgMar w:top="2325" w:right="1134" w:bottom="1440" w:left="1134" w:header="720" w:footer="580"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638"/>
      </w:tblGrid>
      <w:tr w:rsidR="00A90D6A" w:rsidRPr="00B958A9" w14:paraId="568B89D5" w14:textId="77777777" w:rsidTr="00D962D7">
        <w:tc>
          <w:tcPr>
            <w:tcW w:w="9638" w:type="dxa"/>
            <w:shd w:val="clear" w:color="auto" w:fill="17365D" w:themeFill="text2" w:themeFillShade="BF"/>
          </w:tcPr>
          <w:p w14:paraId="6E47E0E4" w14:textId="77777777" w:rsidR="00A90D6A" w:rsidRPr="00C80A52" w:rsidRDefault="00A90D6A" w:rsidP="00A90D6A">
            <w:pPr>
              <w:pStyle w:val="StandardL1"/>
              <w:spacing w:before="240"/>
              <w:rPr>
                <w:color w:val="FFFFFF" w:themeColor="background1"/>
                <w:lang w:val="en-GB"/>
              </w:rPr>
            </w:pPr>
            <w:r w:rsidRPr="00C80A52">
              <w:rPr>
                <w:bCs/>
                <w:color w:val="FFFFFF" w:themeColor="background1"/>
                <w:lang w:val="en-GB"/>
              </w:rPr>
              <w:lastRenderedPageBreak/>
              <w:t>Definitions</w:t>
            </w:r>
          </w:p>
        </w:tc>
      </w:tr>
    </w:tbl>
    <w:p w14:paraId="423385B9" w14:textId="77777777" w:rsidR="000E6FC9" w:rsidRPr="00B958A9" w:rsidRDefault="000E6FC9" w:rsidP="000E6F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51"/>
      </w:tblGrid>
      <w:tr w:rsidR="00DB566F" w:rsidRPr="00B958A9" w14:paraId="6C5568A0" w14:textId="77777777" w:rsidTr="00DB566F">
        <w:tc>
          <w:tcPr>
            <w:tcW w:w="2977" w:type="dxa"/>
          </w:tcPr>
          <w:p w14:paraId="206D887D" w14:textId="5B2DE75B" w:rsidR="00DB566F" w:rsidRPr="00B958A9" w:rsidRDefault="00DB566F" w:rsidP="000E6FC9">
            <w:r w:rsidRPr="00C80A52">
              <w:rPr>
                <w:b/>
                <w:bCs/>
              </w:rPr>
              <w:t>Directive 2014/24/EU</w:t>
            </w:r>
          </w:p>
        </w:tc>
        <w:tc>
          <w:tcPr>
            <w:tcW w:w="6651" w:type="dxa"/>
          </w:tcPr>
          <w:p w14:paraId="2519DD8E" w14:textId="4FBEE200" w:rsidR="00DB566F" w:rsidRPr="00B958A9" w:rsidRDefault="00DB566F" w:rsidP="000E6FC9">
            <w:r w:rsidRPr="00C80A52">
              <w:t>Directive 2014/24/EU of the European Parliament and of the Council of 26 February 2014 on public procurement and repealing Directive 2004/18/EC (OJ of 28 March 2014, series L 94, p. 65)</w:t>
            </w:r>
          </w:p>
        </w:tc>
      </w:tr>
      <w:tr w:rsidR="00FD3098" w:rsidRPr="00B958A9" w14:paraId="7D3335C0" w14:textId="77777777" w:rsidTr="00DB566F">
        <w:tc>
          <w:tcPr>
            <w:tcW w:w="2977" w:type="dxa"/>
          </w:tcPr>
          <w:p w14:paraId="6D73195C" w14:textId="3CEC1245" w:rsidR="00FD3098" w:rsidRPr="00B958A9" w:rsidRDefault="00FD3098" w:rsidP="00880418">
            <w:pPr>
              <w:rPr>
                <w:b/>
                <w:bCs/>
              </w:rPr>
            </w:pPr>
            <w:r w:rsidRPr="00C80A52">
              <w:rPr>
                <w:b/>
                <w:bCs/>
              </w:rPr>
              <w:t>Directive</w:t>
            </w:r>
            <w:r w:rsidRPr="00C80A52">
              <w:t xml:space="preserve"> </w:t>
            </w:r>
            <w:r w:rsidRPr="00C80A52">
              <w:rPr>
                <w:b/>
                <w:bCs/>
              </w:rPr>
              <w:t>2004/18/EC</w:t>
            </w:r>
          </w:p>
        </w:tc>
        <w:tc>
          <w:tcPr>
            <w:tcW w:w="6651" w:type="dxa"/>
          </w:tcPr>
          <w:p w14:paraId="73A0DC60" w14:textId="27A0120C" w:rsidR="00FD3098" w:rsidRPr="00B958A9" w:rsidRDefault="00462EAD" w:rsidP="000E6FC9">
            <w:r w:rsidRPr="00C80A52">
              <w:t>Directive 2004/18/EC of the European Parliament and of the Council of 31 March 2004 on the coordination of procedures for the award of public works contracts, public supply contracts and public service contracts (OJ of 30 April 2004, series L 134, 30.4.2004, p. 114)</w:t>
            </w:r>
            <w:r w:rsidRPr="00C80A52">
              <w:rPr>
                <w:rFonts w:ascii="Segoe UI" w:hAnsi="Segoe UI"/>
                <w:i/>
                <w:iCs/>
                <w:color w:val="444444"/>
                <w:sz w:val="21"/>
                <w:szCs w:val="21"/>
                <w:shd w:val="clear" w:color="auto" w:fill="FFFFFF"/>
              </w:rPr>
              <w:t> </w:t>
            </w:r>
          </w:p>
        </w:tc>
      </w:tr>
      <w:tr w:rsidR="00DB566F" w:rsidRPr="00B958A9" w14:paraId="33B2B29B" w14:textId="77777777" w:rsidTr="00DB566F">
        <w:tc>
          <w:tcPr>
            <w:tcW w:w="2977" w:type="dxa"/>
          </w:tcPr>
          <w:p w14:paraId="239BAC60" w14:textId="1E4C4A06" w:rsidR="00DB566F" w:rsidRPr="00B958A9" w:rsidRDefault="00DB566F" w:rsidP="000E6FC9">
            <w:r w:rsidRPr="00C80A52">
              <w:rPr>
                <w:b/>
                <w:bCs/>
              </w:rPr>
              <w:t>EFTA</w:t>
            </w:r>
          </w:p>
        </w:tc>
        <w:tc>
          <w:tcPr>
            <w:tcW w:w="6651" w:type="dxa"/>
          </w:tcPr>
          <w:p w14:paraId="2630A83B" w14:textId="4AFD9808" w:rsidR="00DB566F" w:rsidRPr="00B958A9" w:rsidRDefault="00DB566F" w:rsidP="000E6FC9">
            <w:r w:rsidRPr="00C80A52">
              <w:t>European Free Trade Association</w:t>
            </w:r>
          </w:p>
        </w:tc>
      </w:tr>
      <w:tr w:rsidR="009E5F78" w:rsidRPr="00B958A9" w14:paraId="54A9108C" w14:textId="77777777" w:rsidTr="00DB566F">
        <w:tc>
          <w:tcPr>
            <w:tcW w:w="2977" w:type="dxa"/>
          </w:tcPr>
          <w:p w14:paraId="42AECCD9" w14:textId="5E7B50F3" w:rsidR="009E5F78" w:rsidRPr="00B958A9" w:rsidRDefault="009E5F78" w:rsidP="000E6FC9">
            <w:pPr>
              <w:rPr>
                <w:b/>
                <w:bCs/>
              </w:rPr>
            </w:pPr>
            <w:r w:rsidRPr="00C80A52">
              <w:rPr>
                <w:b/>
                <w:bCs/>
              </w:rPr>
              <w:t>ESPD</w:t>
            </w:r>
          </w:p>
        </w:tc>
        <w:tc>
          <w:tcPr>
            <w:tcW w:w="6651" w:type="dxa"/>
          </w:tcPr>
          <w:p w14:paraId="46F58982" w14:textId="1D60FEDF" w:rsidR="009E5F78" w:rsidRPr="00B958A9" w:rsidRDefault="007E60B3" w:rsidP="000E6FC9">
            <w:r w:rsidRPr="00C80A52">
              <w:t>European Single Procurement Document</w:t>
            </w:r>
          </w:p>
        </w:tc>
      </w:tr>
      <w:tr w:rsidR="00DB566F" w:rsidRPr="00B958A9" w14:paraId="5093A7EC" w14:textId="77777777" w:rsidTr="00DB566F">
        <w:tc>
          <w:tcPr>
            <w:tcW w:w="2977" w:type="dxa"/>
          </w:tcPr>
          <w:p w14:paraId="697AAF9C" w14:textId="1496C9C5" w:rsidR="00DB566F" w:rsidRPr="00B958A9" w:rsidRDefault="00DB566F" w:rsidP="000E6FC9">
            <w:r w:rsidRPr="00C80A52">
              <w:rPr>
                <w:b/>
                <w:bCs/>
              </w:rPr>
              <w:t>NAC</w:t>
            </w:r>
          </w:p>
        </w:tc>
        <w:tc>
          <w:tcPr>
            <w:tcW w:w="6651" w:type="dxa"/>
          </w:tcPr>
          <w:p w14:paraId="22AFE291" w14:textId="6A50112B" w:rsidR="00DB566F" w:rsidRPr="00B958A9" w:rsidRDefault="00DB566F" w:rsidP="000E6FC9">
            <w:r w:rsidRPr="00C80A52">
              <w:t>National Appeals Chamber</w:t>
            </w:r>
          </w:p>
        </w:tc>
      </w:tr>
      <w:tr w:rsidR="00DB566F" w:rsidRPr="00B958A9" w14:paraId="2DF73256" w14:textId="77777777" w:rsidTr="00DB566F">
        <w:tc>
          <w:tcPr>
            <w:tcW w:w="2977" w:type="dxa"/>
          </w:tcPr>
          <w:p w14:paraId="4B9DDB01" w14:textId="343BFFCB" w:rsidR="00DB566F" w:rsidRPr="00B958A9" w:rsidRDefault="00DB566F" w:rsidP="000E6FC9">
            <w:r w:rsidRPr="00C80A52">
              <w:rPr>
                <w:b/>
                <w:bCs/>
              </w:rPr>
              <w:t>PPL</w:t>
            </w:r>
          </w:p>
        </w:tc>
        <w:tc>
          <w:tcPr>
            <w:tcW w:w="6651" w:type="dxa"/>
          </w:tcPr>
          <w:p w14:paraId="01E7A024" w14:textId="4361EF2B" w:rsidR="00DB566F" w:rsidRPr="00B958A9" w:rsidRDefault="00DB566F" w:rsidP="000E6FC9">
            <w:r w:rsidRPr="00C80A52">
              <w:t xml:space="preserve">Public Procurement Law dated 29 January 2004 (i.e. Journal of Laws </w:t>
            </w:r>
            <w:proofErr w:type="spellStart"/>
            <w:r w:rsidRPr="00C80A52">
              <w:rPr>
                <w:i/>
                <w:iCs/>
              </w:rPr>
              <w:t>Dz.U</w:t>
            </w:r>
            <w:proofErr w:type="spellEnd"/>
            <w:r w:rsidRPr="00C80A52">
              <w:rPr>
                <w:i/>
                <w:iCs/>
              </w:rPr>
              <w:t>.</w:t>
            </w:r>
            <w:r w:rsidRPr="00C80A52">
              <w:t xml:space="preserve"> of 2018, item 1986, as amended)</w:t>
            </w:r>
          </w:p>
        </w:tc>
      </w:tr>
      <w:tr w:rsidR="00DB566F" w:rsidRPr="00B958A9" w14:paraId="16EEBDEB" w14:textId="77777777" w:rsidTr="00DB566F">
        <w:tc>
          <w:tcPr>
            <w:tcW w:w="2977" w:type="dxa"/>
          </w:tcPr>
          <w:p w14:paraId="7F52DBFE" w14:textId="767A4886" w:rsidR="00DB566F" w:rsidRPr="00B958A9" w:rsidRDefault="00DB566F" w:rsidP="000E6FC9">
            <w:r w:rsidRPr="00C80A52">
              <w:rPr>
                <w:b/>
                <w:bCs/>
              </w:rPr>
              <w:t>CJEU</w:t>
            </w:r>
          </w:p>
        </w:tc>
        <w:tc>
          <w:tcPr>
            <w:tcW w:w="6651" w:type="dxa"/>
          </w:tcPr>
          <w:p w14:paraId="28CE8C72" w14:textId="18C8D230" w:rsidR="00DB566F" w:rsidRPr="00B958A9" w:rsidRDefault="00DB566F" w:rsidP="000E6FC9">
            <w:r w:rsidRPr="00C80A52">
              <w:t>Court of Justice of the European Union</w:t>
            </w:r>
          </w:p>
        </w:tc>
      </w:tr>
      <w:tr w:rsidR="00DB566F" w:rsidRPr="00B958A9" w14:paraId="1F2537C8" w14:textId="77777777" w:rsidTr="00DB566F">
        <w:tc>
          <w:tcPr>
            <w:tcW w:w="2977" w:type="dxa"/>
          </w:tcPr>
          <w:p w14:paraId="5FF8A54E" w14:textId="606D28DA" w:rsidR="00DB566F" w:rsidRPr="00B958A9" w:rsidRDefault="00DB566F" w:rsidP="000E6FC9">
            <w:r w:rsidRPr="00C80A52">
              <w:rPr>
                <w:b/>
                <w:bCs/>
              </w:rPr>
              <w:t>EU</w:t>
            </w:r>
          </w:p>
        </w:tc>
        <w:tc>
          <w:tcPr>
            <w:tcW w:w="6651" w:type="dxa"/>
          </w:tcPr>
          <w:p w14:paraId="60EA7F5F" w14:textId="6B34440A" w:rsidR="00DB566F" w:rsidRPr="00B958A9" w:rsidRDefault="00DB566F" w:rsidP="000E6FC9">
            <w:r w:rsidRPr="00C80A52">
              <w:t>The European Union</w:t>
            </w:r>
          </w:p>
        </w:tc>
      </w:tr>
      <w:tr w:rsidR="00DB566F" w:rsidRPr="00B958A9" w14:paraId="3EA1161A" w14:textId="77777777" w:rsidTr="00DB566F">
        <w:tc>
          <w:tcPr>
            <w:tcW w:w="2977" w:type="dxa"/>
          </w:tcPr>
          <w:p w14:paraId="71D9A615" w14:textId="77777777" w:rsidR="00DB566F" w:rsidRPr="00B958A9" w:rsidRDefault="00DB566F" w:rsidP="000E6FC9"/>
        </w:tc>
        <w:tc>
          <w:tcPr>
            <w:tcW w:w="6651" w:type="dxa"/>
          </w:tcPr>
          <w:p w14:paraId="45C556D5" w14:textId="77777777" w:rsidR="00DB566F" w:rsidRPr="00B958A9" w:rsidRDefault="00DB566F" w:rsidP="000E6FC9"/>
        </w:tc>
      </w:tr>
    </w:tbl>
    <w:p w14:paraId="4D9DDFC6" w14:textId="77777777" w:rsidR="000E6FC9" w:rsidRPr="00B958A9" w:rsidRDefault="000E6FC9" w:rsidP="000E6FC9"/>
    <w:p w14:paraId="7E523446" w14:textId="5BF7FBC3" w:rsidR="00F86788" w:rsidRPr="00B958A9" w:rsidRDefault="00F86788">
      <w:pPr>
        <w:jc w:val="left"/>
        <w:sectPr w:rsidR="00F86788" w:rsidRPr="00B958A9" w:rsidSect="007F0D15">
          <w:pgSz w:w="11906" w:h="16838" w:code="9"/>
          <w:pgMar w:top="2325" w:right="1134" w:bottom="1440" w:left="1134" w:header="720" w:footer="580"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638"/>
      </w:tblGrid>
      <w:tr w:rsidR="00A90D6A" w:rsidRPr="00B958A9" w14:paraId="1963FE99" w14:textId="77777777" w:rsidTr="00D962D7">
        <w:tc>
          <w:tcPr>
            <w:tcW w:w="9638" w:type="dxa"/>
            <w:shd w:val="clear" w:color="auto" w:fill="17365D" w:themeFill="text2" w:themeFillShade="BF"/>
          </w:tcPr>
          <w:p w14:paraId="32AC5C77" w14:textId="1E6A6E28" w:rsidR="00A90D6A" w:rsidRPr="00C80A52" w:rsidRDefault="00E246AD" w:rsidP="00A90D6A">
            <w:pPr>
              <w:pStyle w:val="StandardL1"/>
              <w:spacing w:before="240"/>
              <w:rPr>
                <w:color w:val="FFFFFF" w:themeColor="background1"/>
                <w:lang w:val="en-GB"/>
              </w:rPr>
            </w:pPr>
            <w:r w:rsidRPr="00C80A52">
              <w:rPr>
                <w:bCs/>
                <w:color w:val="FFFFFF" w:themeColor="background1"/>
                <w:lang w:val="en-GB"/>
              </w:rPr>
              <w:lastRenderedPageBreak/>
              <w:t>Summary</w:t>
            </w:r>
            <w:r w:rsidR="00244CF4" w:rsidRPr="00C80A52">
              <w:rPr>
                <w:bCs/>
                <w:color w:val="FFFFFF" w:themeColor="background1"/>
                <w:lang w:val="en-GB"/>
              </w:rPr>
              <w:t>. CONCLUSIONS</w:t>
            </w:r>
          </w:p>
        </w:tc>
      </w:tr>
    </w:tbl>
    <w:p w14:paraId="2C2B045B" w14:textId="6D9C8232" w:rsidR="000E6FC9" w:rsidRPr="00B958A9" w:rsidRDefault="000E6FC9" w:rsidP="000E6FC9">
      <w:pPr>
        <w:rPr>
          <w:b/>
        </w:rPr>
      </w:pPr>
    </w:p>
    <w:p w14:paraId="61A87FB3" w14:textId="5DCD6D65" w:rsidR="00AB2060" w:rsidRPr="00C80A52" w:rsidRDefault="0099373C" w:rsidP="00C918B5">
      <w:pPr>
        <w:pStyle w:val="ListParagraph"/>
        <w:numPr>
          <w:ilvl w:val="0"/>
          <w:numId w:val="40"/>
        </w:numPr>
        <w:ind w:left="714" w:hanging="357"/>
        <w:contextualSpacing w:val="0"/>
        <w:rPr>
          <w:b/>
          <w:bCs/>
        </w:rPr>
      </w:pPr>
      <w:r w:rsidRPr="00C80A52">
        <w:rPr>
          <w:b/>
          <w:bCs/>
          <w:color w:val="002060"/>
          <w:szCs w:val="24"/>
        </w:rPr>
        <w:t xml:space="preserve">The wording of the exclusion grounds </w:t>
      </w:r>
      <w:r w:rsidRPr="00C80A52">
        <w:rPr>
          <w:b/>
          <w:bCs/>
          <w:color w:val="002060"/>
        </w:rPr>
        <w:t>referred to in Article 57 section 4 item c), item g), item h) and item i) of Directive 2014/24/EU</w:t>
      </w:r>
      <w:r w:rsidR="00244CF4" w:rsidRPr="00C80A52">
        <w:rPr>
          <w:b/>
          <w:bCs/>
          <w:color w:val="002060"/>
        </w:rPr>
        <w:t xml:space="preserve"> raises material interpretational doubts and is far from being unequivocal</w:t>
      </w:r>
      <w:r w:rsidRPr="00C80A52">
        <w:rPr>
          <w:b/>
          <w:bCs/>
          <w:color w:val="002060"/>
        </w:rPr>
        <w:t>;</w:t>
      </w:r>
    </w:p>
    <w:p w14:paraId="70E21A8B" w14:textId="77777777" w:rsidR="00244CF4" w:rsidRPr="00C80A52" w:rsidRDefault="00244CF4" w:rsidP="00C918B5">
      <w:pPr>
        <w:pStyle w:val="ListParagraph"/>
        <w:numPr>
          <w:ilvl w:val="0"/>
          <w:numId w:val="40"/>
        </w:numPr>
        <w:ind w:left="714" w:hanging="357"/>
        <w:contextualSpacing w:val="0"/>
        <w:rPr>
          <w:b/>
          <w:bCs/>
        </w:rPr>
      </w:pPr>
      <w:r w:rsidRPr="00B958A9">
        <w:rPr>
          <w:b/>
          <w:bCs/>
        </w:rPr>
        <w:t xml:space="preserve">As it is, the content of the exclusion grounds referred to </w:t>
      </w:r>
      <w:r w:rsidRPr="00C80A52">
        <w:rPr>
          <w:b/>
          <w:bCs/>
          <w:color w:val="002060"/>
        </w:rPr>
        <w:t>in Article 57 section 4 item c), item g), item h) and item i) of Directive 2014/24/EU has been implemented literally in the majority of the states;</w:t>
      </w:r>
    </w:p>
    <w:p w14:paraId="7A5C4BD3" w14:textId="5ABF8A4E" w:rsidR="00244CF4" w:rsidRPr="00B958A9" w:rsidRDefault="00244CF4" w:rsidP="00C918B5">
      <w:pPr>
        <w:pStyle w:val="ListParagraph"/>
        <w:numPr>
          <w:ilvl w:val="0"/>
          <w:numId w:val="40"/>
        </w:numPr>
        <w:ind w:left="714" w:hanging="357"/>
        <w:contextualSpacing w:val="0"/>
        <w:rPr>
          <w:b/>
          <w:bCs/>
        </w:rPr>
      </w:pPr>
      <w:r w:rsidRPr="00C80A52">
        <w:rPr>
          <w:b/>
          <w:bCs/>
          <w:color w:val="002060"/>
        </w:rPr>
        <w:t xml:space="preserve">The majority of EU and EFTA states thus did not avail of the opportunity to make more precise the content of the provisions of Directive 2014/24/EU in the national legal regimes in such manner that would make it possible to </w:t>
      </w:r>
      <w:proofErr w:type="spellStart"/>
      <w:r w:rsidRPr="00C80A52">
        <w:rPr>
          <w:b/>
          <w:bCs/>
          <w:color w:val="002060"/>
        </w:rPr>
        <w:t>minimalise</w:t>
      </w:r>
      <w:proofErr w:type="spellEnd"/>
      <w:r w:rsidRPr="00C80A52">
        <w:rPr>
          <w:b/>
          <w:bCs/>
          <w:color w:val="002060"/>
        </w:rPr>
        <w:t xml:space="preserve"> the interpretational doubts concerning, e.g. the relationship between individual exclusion grounds, the moment from when the exclusion period should be calculated or the self-cleaning</w:t>
      </w:r>
      <w:r w:rsidR="005862D7" w:rsidRPr="00C80A52">
        <w:rPr>
          <w:b/>
          <w:bCs/>
          <w:color w:val="002060"/>
        </w:rPr>
        <w:t xml:space="preserve"> procedure</w:t>
      </w:r>
      <w:r w:rsidRPr="00C80A52">
        <w:rPr>
          <w:b/>
          <w:bCs/>
          <w:color w:val="002060"/>
        </w:rPr>
        <w:t>; these doubts will have to be resolved in the case law of the CJEU or of national appeal authorities;</w:t>
      </w:r>
    </w:p>
    <w:p w14:paraId="21E92507" w14:textId="7B5904EE" w:rsidR="00B55BE2" w:rsidRPr="00B958A9" w:rsidRDefault="0099373C" w:rsidP="00C918B5">
      <w:pPr>
        <w:pStyle w:val="ListParagraph"/>
        <w:numPr>
          <w:ilvl w:val="0"/>
          <w:numId w:val="40"/>
        </w:numPr>
        <w:ind w:left="714" w:hanging="357"/>
        <w:contextualSpacing w:val="0"/>
        <w:rPr>
          <w:b/>
          <w:bCs/>
        </w:rPr>
      </w:pPr>
      <w:r w:rsidRPr="00C80A52">
        <w:rPr>
          <w:rFonts w:cs="Arial"/>
          <w:b/>
          <w:bCs/>
          <w:color w:val="002060"/>
          <w:szCs w:val="24"/>
        </w:rPr>
        <w:t xml:space="preserve">In the majority of the states the </w:t>
      </w:r>
      <w:r w:rsidR="00244CF4" w:rsidRPr="00C80A52">
        <w:rPr>
          <w:rFonts w:cs="Arial"/>
          <w:b/>
          <w:bCs/>
          <w:color w:val="002060"/>
          <w:szCs w:val="24"/>
        </w:rPr>
        <w:t xml:space="preserve">discussed </w:t>
      </w:r>
      <w:r w:rsidRPr="00C80A52">
        <w:rPr>
          <w:rFonts w:cs="Arial"/>
          <w:b/>
          <w:bCs/>
          <w:color w:val="002060"/>
          <w:szCs w:val="24"/>
        </w:rPr>
        <w:t>grounds are non-compulsory; however</w:t>
      </w:r>
      <w:r w:rsidR="00A1655F" w:rsidRPr="00C80A52">
        <w:rPr>
          <w:rFonts w:cs="Arial"/>
          <w:b/>
          <w:bCs/>
          <w:color w:val="002060"/>
          <w:szCs w:val="24"/>
        </w:rPr>
        <w:t>, given the absence of an unequivocal regulation in</w:t>
      </w:r>
      <w:r w:rsidRPr="00C80A52">
        <w:rPr>
          <w:rFonts w:cs="Arial"/>
          <w:b/>
          <w:bCs/>
          <w:color w:val="002060"/>
          <w:szCs w:val="24"/>
        </w:rPr>
        <w:t xml:space="preserve"> </w:t>
      </w:r>
      <w:r w:rsidR="00A1655F" w:rsidRPr="00C80A52">
        <w:rPr>
          <w:b/>
          <w:bCs/>
          <w:color w:val="002060"/>
        </w:rPr>
        <w:t>Directive 2014/24/EU</w:t>
      </w:r>
      <w:r w:rsidR="003A23E9">
        <w:rPr>
          <w:b/>
          <w:bCs/>
          <w:color w:val="002060"/>
        </w:rPr>
        <w:t>,</w:t>
      </w:r>
      <w:r w:rsidR="00A1655F" w:rsidRPr="00C80A52">
        <w:rPr>
          <w:b/>
          <w:bCs/>
          <w:color w:val="002060"/>
        </w:rPr>
        <w:t xml:space="preserve"> </w:t>
      </w:r>
      <w:r w:rsidRPr="00C80A52">
        <w:rPr>
          <w:rFonts w:cs="Arial"/>
          <w:b/>
          <w:bCs/>
          <w:color w:val="002060"/>
          <w:szCs w:val="24"/>
        </w:rPr>
        <w:t xml:space="preserve">the understanding of the notion of being non-compulsory seems to differ in the individual states; </w:t>
      </w:r>
    </w:p>
    <w:p w14:paraId="083E349E" w14:textId="77777777" w:rsidR="00B55BE2" w:rsidRPr="00B958A9" w:rsidRDefault="00B55BE2" w:rsidP="00C918B5">
      <w:pPr>
        <w:pStyle w:val="ListParagraph"/>
        <w:numPr>
          <w:ilvl w:val="0"/>
          <w:numId w:val="40"/>
        </w:numPr>
        <w:ind w:left="714" w:hanging="357"/>
        <w:contextualSpacing w:val="0"/>
        <w:rPr>
          <w:b/>
          <w:bCs/>
        </w:rPr>
      </w:pPr>
      <w:r w:rsidRPr="00C80A52">
        <w:rPr>
          <w:b/>
          <w:bCs/>
        </w:rPr>
        <w:t xml:space="preserve">In the majority of the states the case law concerning exclusion grounds is scarce; </w:t>
      </w:r>
    </w:p>
    <w:p w14:paraId="283BAF27" w14:textId="641ECEE8" w:rsidR="00D60E80" w:rsidRPr="00B958A9" w:rsidRDefault="00B55BE2" w:rsidP="00C918B5">
      <w:pPr>
        <w:pStyle w:val="ListParagraph"/>
        <w:numPr>
          <w:ilvl w:val="0"/>
          <w:numId w:val="40"/>
        </w:numPr>
        <w:ind w:left="714" w:hanging="357"/>
        <w:contextualSpacing w:val="0"/>
        <w:rPr>
          <w:b/>
          <w:bCs/>
        </w:rPr>
      </w:pPr>
      <w:r w:rsidRPr="00C80A52">
        <w:rPr>
          <w:rFonts w:cs="Arial"/>
          <w:b/>
          <w:bCs/>
          <w:szCs w:val="24"/>
        </w:rPr>
        <w:t xml:space="preserve">In the majority of states the grounds are autonomous. There are, however, states where it is possible to qualify certain acts as those subject simultaneously to more than one exclusion ground, which is </w:t>
      </w:r>
      <w:r w:rsidR="00AB112B" w:rsidRPr="00C80A52">
        <w:rPr>
          <w:rFonts w:cs="Arial"/>
          <w:b/>
          <w:bCs/>
          <w:szCs w:val="24"/>
        </w:rPr>
        <w:t xml:space="preserve">directly </w:t>
      </w:r>
      <w:r w:rsidRPr="00C80A52">
        <w:rPr>
          <w:rFonts w:cs="Arial"/>
          <w:b/>
          <w:bCs/>
          <w:szCs w:val="24"/>
        </w:rPr>
        <w:t xml:space="preserve">confirmed by </w:t>
      </w:r>
      <w:r w:rsidR="00AB112B" w:rsidRPr="00C80A52">
        <w:rPr>
          <w:rFonts w:cs="Arial"/>
          <w:b/>
          <w:bCs/>
          <w:szCs w:val="24"/>
        </w:rPr>
        <w:t xml:space="preserve">the provisions of law or by the </w:t>
      </w:r>
      <w:r w:rsidRPr="00C80A52">
        <w:rPr>
          <w:rFonts w:cs="Arial"/>
          <w:b/>
          <w:bCs/>
          <w:szCs w:val="24"/>
        </w:rPr>
        <w:t>relevant case law;</w:t>
      </w:r>
    </w:p>
    <w:p w14:paraId="32CFCC0C" w14:textId="537146F5" w:rsidR="005B15E2" w:rsidRPr="00B958A9" w:rsidRDefault="005B15E2" w:rsidP="00C918B5">
      <w:pPr>
        <w:pStyle w:val="ListParagraph"/>
        <w:numPr>
          <w:ilvl w:val="0"/>
          <w:numId w:val="40"/>
        </w:numPr>
        <w:ind w:left="714" w:hanging="357"/>
        <w:contextualSpacing w:val="0"/>
        <w:rPr>
          <w:b/>
          <w:bCs/>
        </w:rPr>
      </w:pPr>
      <w:r w:rsidRPr="00C80A52">
        <w:rPr>
          <w:rFonts w:cs="Arial"/>
          <w:b/>
          <w:bCs/>
          <w:szCs w:val="24"/>
        </w:rPr>
        <w:t xml:space="preserve">In the majority of the states the economic operator is excluded if 3 years have not lapsed from the date of the event being the basis for the exclusion; in some states the exclusion covers only the procedure in which the contracting </w:t>
      </w:r>
      <w:r w:rsidRPr="00C80A52">
        <w:rPr>
          <w:rFonts w:cs="Arial"/>
          <w:b/>
          <w:bCs/>
          <w:szCs w:val="24"/>
        </w:rPr>
        <w:lastRenderedPageBreak/>
        <w:t>authority issued a decision on the exclusion;</w:t>
      </w:r>
      <w:r w:rsidR="00857C57" w:rsidRPr="00C80A52">
        <w:rPr>
          <w:rFonts w:cs="Arial"/>
          <w:b/>
          <w:bCs/>
          <w:szCs w:val="24"/>
        </w:rPr>
        <w:t xml:space="preserve"> however, the approach differ</w:t>
      </w:r>
      <w:r w:rsidR="00217355" w:rsidRPr="00C80A52">
        <w:rPr>
          <w:rFonts w:cs="Arial"/>
          <w:b/>
          <w:bCs/>
          <w:szCs w:val="24"/>
        </w:rPr>
        <w:t>s</w:t>
      </w:r>
      <w:r w:rsidR="00857C57" w:rsidRPr="00C80A52">
        <w:rPr>
          <w:rFonts w:cs="Arial"/>
          <w:b/>
          <w:bCs/>
          <w:szCs w:val="24"/>
        </w:rPr>
        <w:t xml:space="preserve"> as </w:t>
      </w:r>
      <w:r w:rsidR="00217355" w:rsidRPr="00C80A52">
        <w:rPr>
          <w:rFonts w:cs="Arial"/>
          <w:b/>
          <w:bCs/>
          <w:szCs w:val="24"/>
        </w:rPr>
        <w:t>to</w:t>
      </w:r>
      <w:r w:rsidR="00857C57" w:rsidRPr="00C80A52">
        <w:rPr>
          <w:rFonts w:cs="Arial"/>
          <w:b/>
          <w:bCs/>
          <w:szCs w:val="24"/>
        </w:rPr>
        <w:t xml:space="preserve"> the moment from which the exclusion period</w:t>
      </w:r>
      <w:r w:rsidR="00217355" w:rsidRPr="00C80A52">
        <w:rPr>
          <w:rFonts w:cs="Arial"/>
          <w:b/>
          <w:bCs/>
          <w:szCs w:val="24"/>
        </w:rPr>
        <w:t xml:space="preserve"> should be calculated</w:t>
      </w:r>
      <w:r w:rsidR="00857C57" w:rsidRPr="00C80A52">
        <w:rPr>
          <w:rFonts w:cs="Arial"/>
          <w:b/>
          <w:bCs/>
          <w:szCs w:val="24"/>
        </w:rPr>
        <w:t>;</w:t>
      </w:r>
    </w:p>
    <w:p w14:paraId="2A077E26" w14:textId="77777777" w:rsidR="009619FD" w:rsidRPr="00B958A9" w:rsidRDefault="008A4018" w:rsidP="00C918B5">
      <w:pPr>
        <w:pStyle w:val="ListParagraph"/>
        <w:numPr>
          <w:ilvl w:val="0"/>
          <w:numId w:val="40"/>
        </w:numPr>
        <w:ind w:left="714" w:hanging="357"/>
        <w:contextualSpacing w:val="0"/>
        <w:rPr>
          <w:b/>
          <w:bCs/>
        </w:rPr>
      </w:pPr>
      <w:r w:rsidRPr="00C80A52">
        <w:rPr>
          <w:rFonts w:cs="Arial"/>
          <w:b/>
          <w:bCs/>
          <w:color w:val="002060"/>
          <w:szCs w:val="24"/>
        </w:rPr>
        <w:t>In the majority of states it is unclear whether economic operators should apply the self-cleaning procedure on a prior basis (in the application / tender offer), or only as late as upon express summons from a given contracting authority;</w:t>
      </w:r>
    </w:p>
    <w:p w14:paraId="617C0D4C" w14:textId="7CFB66BC" w:rsidR="00AB325E" w:rsidRPr="00B958A9" w:rsidRDefault="009619FD" w:rsidP="0066079C">
      <w:pPr>
        <w:pStyle w:val="ListParagraph"/>
        <w:numPr>
          <w:ilvl w:val="0"/>
          <w:numId w:val="40"/>
        </w:numPr>
        <w:ind w:left="714" w:hanging="357"/>
        <w:contextualSpacing w:val="0"/>
        <w:rPr>
          <w:szCs w:val="24"/>
        </w:rPr>
      </w:pPr>
      <w:r w:rsidRPr="00C80A52">
        <w:rPr>
          <w:rFonts w:cs="Arial"/>
          <w:b/>
          <w:bCs/>
          <w:szCs w:val="24"/>
        </w:rPr>
        <w:t xml:space="preserve">In the majority of states it is assumed that the fact of having </w:t>
      </w:r>
      <w:r w:rsidRPr="0066079C">
        <w:rPr>
          <w:rFonts w:cs="Arial"/>
          <w:b/>
          <w:bCs/>
          <w:color w:val="002060"/>
          <w:szCs w:val="24"/>
        </w:rPr>
        <w:t>been</w:t>
      </w:r>
      <w:r w:rsidRPr="00C80A52">
        <w:rPr>
          <w:rFonts w:cs="Arial"/>
          <w:b/>
          <w:bCs/>
          <w:szCs w:val="24"/>
        </w:rPr>
        <w:t xml:space="preserve"> involved in a court dispute </w:t>
      </w:r>
      <w:r w:rsidR="00217355" w:rsidRPr="00C80A52">
        <w:rPr>
          <w:rFonts w:cs="Arial"/>
          <w:b/>
          <w:bCs/>
          <w:szCs w:val="24"/>
        </w:rPr>
        <w:t xml:space="preserve">concerning the legitimacy of the contracting authority terminating a contract </w:t>
      </w:r>
      <w:r w:rsidR="00B60437" w:rsidRPr="00C80A52">
        <w:rPr>
          <w:rFonts w:cs="Arial"/>
          <w:b/>
          <w:bCs/>
          <w:szCs w:val="24"/>
        </w:rPr>
        <w:t xml:space="preserve">early </w:t>
      </w:r>
      <w:r w:rsidRPr="00C80A52">
        <w:rPr>
          <w:rFonts w:cs="Arial"/>
          <w:b/>
          <w:bCs/>
          <w:szCs w:val="24"/>
        </w:rPr>
        <w:t xml:space="preserve">does not </w:t>
      </w:r>
      <w:r w:rsidR="00217355" w:rsidRPr="00C80A52">
        <w:rPr>
          <w:rFonts w:cs="Arial"/>
          <w:b/>
          <w:bCs/>
          <w:szCs w:val="24"/>
        </w:rPr>
        <w:t xml:space="preserve">in itself </w:t>
      </w:r>
      <w:r w:rsidRPr="00C80A52">
        <w:rPr>
          <w:rFonts w:cs="Arial"/>
          <w:b/>
          <w:bCs/>
          <w:szCs w:val="24"/>
        </w:rPr>
        <w:t>constitute exclusion grounds</w:t>
      </w:r>
      <w:r w:rsidR="00217355" w:rsidRPr="00C80A52">
        <w:rPr>
          <w:rFonts w:cs="Arial"/>
          <w:b/>
          <w:bCs/>
          <w:szCs w:val="24"/>
        </w:rPr>
        <w:t xml:space="preserve">. In principle, </w:t>
      </w:r>
      <w:r w:rsidRPr="00C80A52">
        <w:rPr>
          <w:rFonts w:cs="Arial"/>
          <w:b/>
          <w:bCs/>
          <w:szCs w:val="24"/>
        </w:rPr>
        <w:t>court proceedings pending in relation to a premature termination of a contract do not form an obstacle towards the exclusion of an economic operator</w:t>
      </w:r>
      <w:r w:rsidR="003A23E9">
        <w:rPr>
          <w:rFonts w:cs="Arial"/>
          <w:b/>
          <w:bCs/>
          <w:color w:val="002060"/>
          <w:szCs w:val="24"/>
        </w:rPr>
        <w:t>.</w:t>
      </w:r>
      <w:r w:rsidR="00AB325E" w:rsidRPr="00C80A52">
        <w:rPr>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638"/>
      </w:tblGrid>
      <w:tr w:rsidR="00A90D6A" w:rsidRPr="00B958A9" w14:paraId="722E59EA" w14:textId="77777777" w:rsidTr="00392220">
        <w:tc>
          <w:tcPr>
            <w:tcW w:w="9638" w:type="dxa"/>
            <w:shd w:val="clear" w:color="auto" w:fill="17365D" w:themeFill="text2" w:themeFillShade="BF"/>
          </w:tcPr>
          <w:p w14:paraId="2F307CBE" w14:textId="77777777" w:rsidR="00A90D6A" w:rsidRPr="00C80A52" w:rsidRDefault="00A90D6A" w:rsidP="00A90D6A">
            <w:pPr>
              <w:pStyle w:val="StandardL1"/>
              <w:spacing w:before="240"/>
              <w:rPr>
                <w:color w:val="FFFFFF" w:themeColor="background1"/>
                <w:lang w:val="en-GB"/>
              </w:rPr>
            </w:pPr>
            <w:bookmarkStart w:id="3" w:name="_Hlk19023121"/>
            <w:r w:rsidRPr="00C80A52">
              <w:rPr>
                <w:bCs/>
                <w:color w:val="FFFFFF" w:themeColor="background1"/>
                <w:lang w:val="en-GB"/>
              </w:rPr>
              <w:lastRenderedPageBreak/>
              <w:t>Report</w:t>
            </w:r>
          </w:p>
        </w:tc>
      </w:tr>
      <w:bookmarkEnd w:id="3"/>
    </w:tbl>
    <w:p w14:paraId="773C5E7D" w14:textId="77777777" w:rsidR="008E2304" w:rsidRPr="00C80A52" w:rsidRDefault="008E2304" w:rsidP="008E2304">
      <w:pPr>
        <w:pStyle w:val="StandardL2"/>
        <w:numPr>
          <w:ilvl w:val="0"/>
          <w:numId w:val="0"/>
        </w:numPr>
        <w:ind w:left="720"/>
        <w:rPr>
          <w:lang w:val="en-G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9639"/>
      </w:tblGrid>
      <w:tr w:rsidR="007D6B5E" w:rsidRPr="00B958A9" w14:paraId="1DB8E3B7" w14:textId="77777777" w:rsidTr="00D962D7">
        <w:tc>
          <w:tcPr>
            <w:tcW w:w="9639" w:type="dxa"/>
            <w:shd w:val="clear" w:color="auto" w:fill="95B3D7" w:themeFill="accent1" w:themeFillTint="99"/>
          </w:tcPr>
          <w:p w14:paraId="0FF9BC0D" w14:textId="77777777" w:rsidR="00582CE0" w:rsidRPr="00B958A9" w:rsidRDefault="00582CE0" w:rsidP="00582CE0">
            <w:pPr>
              <w:pStyle w:val="StandardL1"/>
              <w:spacing w:before="240"/>
              <w:rPr>
                <w:color w:val="FFFFFF" w:themeColor="background1"/>
                <w:sz w:val="28"/>
                <w:szCs w:val="28"/>
                <w:lang w:val="en-GB"/>
              </w:rPr>
            </w:pPr>
            <w:bookmarkStart w:id="4" w:name="_Hlk19024484"/>
            <w:r w:rsidRPr="00B958A9">
              <w:rPr>
                <w:color w:val="FFFFFF" w:themeColor="background1"/>
                <w:sz w:val="28"/>
                <w:szCs w:val="28"/>
                <w:lang w:val="en-GB"/>
              </w:rPr>
              <w:t>ChAPTER I</w:t>
            </w:r>
          </w:p>
          <w:p w14:paraId="7AAFEDED" w14:textId="77777777" w:rsidR="00582CE0" w:rsidRPr="00B958A9" w:rsidRDefault="00582CE0" w:rsidP="00582CE0">
            <w:pPr>
              <w:jc w:val="center"/>
              <w:rPr>
                <w:b/>
                <w:bCs/>
                <w:color w:val="FFFFFF" w:themeColor="background1"/>
                <w:sz w:val="28"/>
                <w:szCs w:val="28"/>
              </w:rPr>
            </w:pPr>
            <w:r w:rsidRPr="00B958A9">
              <w:rPr>
                <w:b/>
                <w:bCs/>
                <w:color w:val="FFFFFF" w:themeColor="background1"/>
                <w:sz w:val="28"/>
                <w:szCs w:val="28"/>
              </w:rPr>
              <w:t xml:space="preserve">UNDERSTANDING OF THE CONCEPT OF THE NON-COMPULSORY NATURE OF GROUNDS IN DIRECTIVE 2014/24/EU </w:t>
            </w:r>
          </w:p>
          <w:p w14:paraId="033830E8" w14:textId="63E42EFA" w:rsidR="00D60E80" w:rsidRPr="00B958A9" w:rsidRDefault="00217355" w:rsidP="00582CE0">
            <w:pPr>
              <w:jc w:val="center"/>
              <w:rPr>
                <w:b/>
                <w:bCs/>
                <w:i/>
                <w:iCs/>
                <w:vanish/>
                <w:color w:val="FFFFFF" w:themeColor="background1"/>
                <w:szCs w:val="24"/>
              </w:rPr>
            </w:pPr>
            <w:r w:rsidRPr="00C80A52">
              <w:rPr>
                <w:b/>
                <w:bCs/>
                <w:i/>
                <w:iCs/>
                <w:color w:val="FFFFFF" w:themeColor="background1"/>
                <w:szCs w:val="24"/>
              </w:rPr>
              <w:t xml:space="preserve">Katarzyna Kuźma, </w:t>
            </w:r>
            <w:r w:rsidR="00582CE0" w:rsidRPr="00B958A9">
              <w:rPr>
                <w:b/>
                <w:bCs/>
                <w:i/>
                <w:iCs/>
                <w:color w:val="FFFFFF" w:themeColor="background1"/>
                <w:szCs w:val="24"/>
              </w:rPr>
              <w:t>Wojciech Hartung</w:t>
            </w:r>
          </w:p>
        </w:tc>
      </w:tr>
      <w:bookmarkEnd w:id="4"/>
    </w:tbl>
    <w:p w14:paraId="4F9FE49D" w14:textId="0965BFBC" w:rsidR="008E2304" w:rsidRPr="00C80A52" w:rsidRDefault="008E2304" w:rsidP="000E6FC9">
      <w:pPr>
        <w:pStyle w:val="ColorfulList-Accent11"/>
        <w:spacing w:after="0" w:line="240" w:lineRule="auto"/>
        <w:ind w:left="0"/>
        <w:contextualSpacing w:val="0"/>
        <w:jc w:val="both"/>
        <w:rPr>
          <w:rFonts w:ascii="Arial" w:hAnsi="Arial" w:cs="Arial"/>
          <w:vanish/>
          <w:sz w:val="20"/>
          <w:szCs w:val="20"/>
          <w:lang w:val="en-GB"/>
        </w:rPr>
      </w:pPr>
    </w:p>
    <w:p w14:paraId="4C5F0417" w14:textId="383EAF2F" w:rsidR="00582CE0" w:rsidRPr="00B958A9" w:rsidRDefault="00582CE0" w:rsidP="00582CE0">
      <w:pPr>
        <w:spacing w:line="269" w:lineRule="auto"/>
        <w:rPr>
          <w:rFonts w:cs="Arial"/>
          <w:szCs w:val="24"/>
        </w:rPr>
      </w:pPr>
      <w:r w:rsidRPr="00B958A9">
        <w:rPr>
          <w:rFonts w:cs="Arial"/>
          <w:szCs w:val="24"/>
        </w:rPr>
        <w:t xml:space="preserve">The provisions of Directive 2014/24/UE anticipate two basic groups of </w:t>
      </w:r>
      <w:r w:rsidR="00991CD2" w:rsidRPr="00B958A9">
        <w:rPr>
          <w:rFonts w:cs="Arial"/>
          <w:szCs w:val="24"/>
        </w:rPr>
        <w:t>situations that</w:t>
      </w:r>
      <w:r w:rsidRPr="00B958A9">
        <w:rPr>
          <w:rFonts w:cs="Arial"/>
          <w:szCs w:val="24"/>
        </w:rPr>
        <w:t xml:space="preserve">, if </w:t>
      </w:r>
      <w:r w:rsidR="00991CD2" w:rsidRPr="00B958A9">
        <w:rPr>
          <w:rFonts w:cs="Arial"/>
          <w:szCs w:val="24"/>
        </w:rPr>
        <w:t xml:space="preserve">they </w:t>
      </w:r>
      <w:r w:rsidRPr="00B958A9">
        <w:rPr>
          <w:rFonts w:cs="Arial"/>
          <w:szCs w:val="24"/>
        </w:rPr>
        <w:t>occur, may lead to excluding a given economic operator from participation in a procurement procedure. The above generally pertains to compulsory grounds (Article 57 sec. 1 of Directive 2014/24/EU)</w:t>
      </w:r>
      <w:r w:rsidRPr="00B958A9">
        <w:rPr>
          <w:rFonts w:cs="Arial"/>
          <w:szCs w:val="24"/>
          <w:vertAlign w:val="superscript"/>
        </w:rPr>
        <w:footnoteReference w:id="4"/>
      </w:r>
      <w:r w:rsidRPr="00B958A9">
        <w:rPr>
          <w:rFonts w:cs="Arial"/>
          <w:szCs w:val="24"/>
        </w:rPr>
        <w:t xml:space="preserve"> and non-compulsory grounds (Article 57 sec. 4 of Directive 2014/24/EU).</w:t>
      </w:r>
    </w:p>
    <w:p w14:paraId="742CB1F5" w14:textId="77777777" w:rsidR="00582CE0" w:rsidRPr="00B958A9" w:rsidRDefault="00582CE0" w:rsidP="00582CE0">
      <w:pPr>
        <w:spacing w:line="269" w:lineRule="auto"/>
        <w:rPr>
          <w:rFonts w:cs="Arial"/>
          <w:szCs w:val="24"/>
        </w:rPr>
      </w:pPr>
      <w:r w:rsidRPr="00B958A9">
        <w:rPr>
          <w:rFonts w:cs="Arial"/>
          <w:szCs w:val="24"/>
        </w:rPr>
        <w:t>The subject matter of the analysis contained in the Report is selected non-compulsory grounds, and the remarks presented herein focus on them.</w:t>
      </w:r>
    </w:p>
    <w:p w14:paraId="71B3E868" w14:textId="77777777" w:rsidR="00582CE0" w:rsidRPr="00B958A9" w:rsidRDefault="00582CE0" w:rsidP="00582CE0">
      <w:pPr>
        <w:spacing w:line="269" w:lineRule="auto"/>
        <w:rPr>
          <w:rFonts w:cs="Arial"/>
          <w:szCs w:val="24"/>
        </w:rPr>
      </w:pPr>
      <w:r w:rsidRPr="00B958A9">
        <w:rPr>
          <w:rFonts w:cs="Arial"/>
          <w:szCs w:val="24"/>
        </w:rPr>
        <w:t xml:space="preserve">One of the most important elements affecting the proper co-ordination or harmonisation of provisions in that respect is to determine the manner in which the concept of </w:t>
      </w:r>
      <w:r w:rsidRPr="00B958A9">
        <w:rPr>
          <w:rFonts w:cs="Arial"/>
          <w:i/>
          <w:szCs w:val="24"/>
        </w:rPr>
        <w:t xml:space="preserve">non-compulsory </w:t>
      </w:r>
      <w:r w:rsidRPr="00B958A9">
        <w:rPr>
          <w:rFonts w:cs="Arial"/>
          <w:iCs/>
          <w:szCs w:val="24"/>
        </w:rPr>
        <w:t xml:space="preserve">exclusion grounds </w:t>
      </w:r>
      <w:r w:rsidRPr="00B958A9">
        <w:rPr>
          <w:rFonts w:cs="Arial"/>
          <w:szCs w:val="24"/>
        </w:rPr>
        <w:t>should be understood, and to indicate permissible models of how these should be transposed into national regimes.</w:t>
      </w:r>
    </w:p>
    <w:p w14:paraId="1DE7C6E8" w14:textId="31397721" w:rsidR="00582CE0" w:rsidRPr="00B958A9" w:rsidRDefault="00582CE0" w:rsidP="00582CE0">
      <w:pPr>
        <w:spacing w:line="269" w:lineRule="auto"/>
        <w:rPr>
          <w:rFonts w:cs="Arial"/>
          <w:szCs w:val="24"/>
        </w:rPr>
      </w:pPr>
      <w:r w:rsidRPr="00B958A9">
        <w:rPr>
          <w:rFonts w:cs="Arial"/>
          <w:szCs w:val="24"/>
        </w:rPr>
        <w:t>By adopting selected non-compulsory exclusion grounds to given national law, the legislator could change their nature and define them as compulsory.</w:t>
      </w:r>
    </w:p>
    <w:p w14:paraId="5FC68620" w14:textId="0BD6A79B" w:rsidR="00582CE0" w:rsidRPr="00B958A9" w:rsidRDefault="00582CE0" w:rsidP="00582CE0">
      <w:pPr>
        <w:spacing w:line="269" w:lineRule="auto"/>
        <w:rPr>
          <w:rFonts w:cs="Arial"/>
          <w:szCs w:val="24"/>
        </w:rPr>
      </w:pPr>
      <w:r w:rsidRPr="00B958A9">
        <w:rPr>
          <w:rFonts w:cs="Arial"/>
          <w:szCs w:val="24"/>
        </w:rPr>
        <w:t>As demonstrated by the analysis of the solutions adopted within the E</w:t>
      </w:r>
      <w:r w:rsidR="00B92957" w:rsidRPr="00B958A9">
        <w:rPr>
          <w:rFonts w:cs="Arial"/>
          <w:szCs w:val="24"/>
        </w:rPr>
        <w:t>U</w:t>
      </w:r>
      <w:r w:rsidRPr="00B958A9">
        <w:rPr>
          <w:rFonts w:cs="Arial"/>
          <w:szCs w:val="24"/>
        </w:rPr>
        <w:t xml:space="preserve"> and EFTA states, in the states that implemented non-compulsory exclusion grounds to their national laws there are at least two totally different approaches in place. They can be characterised as follows:</w:t>
      </w:r>
    </w:p>
    <w:p w14:paraId="5E145D47" w14:textId="458EF490" w:rsidR="00582CE0" w:rsidRPr="00B958A9" w:rsidRDefault="00582CE0" w:rsidP="00582CE0">
      <w:pPr>
        <w:pStyle w:val="ListParagraph"/>
        <w:numPr>
          <w:ilvl w:val="0"/>
          <w:numId w:val="15"/>
        </w:numPr>
        <w:spacing w:line="269" w:lineRule="auto"/>
        <w:rPr>
          <w:rFonts w:cs="Arial"/>
          <w:szCs w:val="24"/>
        </w:rPr>
      </w:pPr>
      <w:r w:rsidRPr="00B958A9">
        <w:rPr>
          <w:rFonts w:cs="Arial"/>
          <w:b/>
          <w:bCs/>
          <w:szCs w:val="24"/>
        </w:rPr>
        <w:t xml:space="preserve">providing the contracting authority with absolute freedom, which is manifested by such contracting authority deciding upon the application of a given ground </w:t>
      </w:r>
      <w:r w:rsidRPr="00B958A9">
        <w:rPr>
          <w:rFonts w:cs="Arial"/>
          <w:b/>
          <w:bCs/>
          <w:szCs w:val="24"/>
        </w:rPr>
        <w:lastRenderedPageBreak/>
        <w:t xml:space="preserve">within a given procedure in contract documents </w:t>
      </w:r>
      <w:r w:rsidRPr="00B958A9">
        <w:rPr>
          <w:rFonts w:cs="Arial"/>
          <w:szCs w:val="24"/>
        </w:rPr>
        <w:t xml:space="preserve">(obviously, most often in </w:t>
      </w:r>
      <w:r w:rsidR="0081681F" w:rsidRPr="00B958A9">
        <w:rPr>
          <w:rFonts w:cs="Arial"/>
          <w:szCs w:val="24"/>
        </w:rPr>
        <w:t xml:space="preserve">the </w:t>
      </w:r>
      <w:r w:rsidRPr="00B958A9">
        <w:rPr>
          <w:rFonts w:cs="Arial"/>
          <w:szCs w:val="24"/>
        </w:rPr>
        <w:t>announcement concerning public procurement</w:t>
      </w:r>
      <w:r w:rsidRPr="00B958A9">
        <w:rPr>
          <w:vertAlign w:val="superscript"/>
        </w:rPr>
        <w:footnoteReference w:id="5"/>
      </w:r>
      <w:r w:rsidRPr="00B958A9">
        <w:rPr>
          <w:rFonts w:cs="Arial"/>
          <w:szCs w:val="24"/>
        </w:rPr>
        <w:t>). Th</w:t>
      </w:r>
      <w:r w:rsidR="0081681F" w:rsidRPr="00B958A9">
        <w:rPr>
          <w:rFonts w:cs="Arial"/>
          <w:szCs w:val="24"/>
        </w:rPr>
        <w:t>is</w:t>
      </w:r>
      <w:r w:rsidRPr="00B958A9">
        <w:rPr>
          <w:rFonts w:cs="Arial"/>
          <w:szCs w:val="24"/>
        </w:rPr>
        <w:t xml:space="preserve"> means that it is each time up to the contracting authority whether it intends to take a given ground into account within a given procedure at all. In other words, the contracting authority may decide that within a given procedure it would resign from examining any non-compulsory grounds or that it would examine only selected grounds. </w:t>
      </w:r>
      <w:r w:rsidR="0081681F" w:rsidRPr="00B958A9">
        <w:rPr>
          <w:rFonts w:cs="Arial"/>
          <w:szCs w:val="24"/>
        </w:rPr>
        <w:t xml:space="preserve">This </w:t>
      </w:r>
      <w:r w:rsidRPr="00B958A9">
        <w:rPr>
          <w:rFonts w:cs="Arial"/>
          <w:szCs w:val="24"/>
        </w:rPr>
        <w:t>solution was adopted, for instance, in Poland</w:t>
      </w:r>
      <w:r w:rsidRPr="00B958A9">
        <w:rPr>
          <w:vertAlign w:val="superscript"/>
        </w:rPr>
        <w:footnoteReference w:id="6"/>
      </w:r>
      <w:r w:rsidRPr="00B958A9">
        <w:rPr>
          <w:rFonts w:cs="Arial"/>
          <w:szCs w:val="24"/>
        </w:rPr>
        <w:t xml:space="preserve"> and in the Netherlands</w:t>
      </w:r>
      <w:r w:rsidRPr="00B958A9">
        <w:rPr>
          <w:vertAlign w:val="superscript"/>
        </w:rPr>
        <w:footnoteReference w:id="7"/>
      </w:r>
      <w:r w:rsidRPr="00B958A9">
        <w:rPr>
          <w:rFonts w:cs="Arial"/>
          <w:i/>
          <w:szCs w:val="24"/>
        </w:rPr>
        <w:t>.</w:t>
      </w:r>
    </w:p>
    <w:p w14:paraId="4E4B5CF6" w14:textId="77777777" w:rsidR="00582CE0" w:rsidRPr="00B958A9" w:rsidRDefault="00582CE0" w:rsidP="00582CE0">
      <w:pPr>
        <w:spacing w:line="269" w:lineRule="auto"/>
        <w:rPr>
          <w:rFonts w:cs="Arial"/>
          <w:szCs w:val="24"/>
        </w:rPr>
      </w:pPr>
      <w:r w:rsidRPr="00B958A9">
        <w:rPr>
          <w:rFonts w:cs="Arial"/>
          <w:szCs w:val="24"/>
        </w:rPr>
        <w:t>As it appears, the following additional models may be distinguished within that system:</w:t>
      </w:r>
    </w:p>
    <w:p w14:paraId="3C3A1FFC" w14:textId="3DE84049" w:rsidR="00582CE0" w:rsidRPr="00B958A9" w:rsidRDefault="00582CE0" w:rsidP="00582CE0">
      <w:pPr>
        <w:pStyle w:val="ListParagraph"/>
        <w:numPr>
          <w:ilvl w:val="0"/>
          <w:numId w:val="16"/>
        </w:numPr>
        <w:tabs>
          <w:tab w:val="num" w:pos="1417"/>
        </w:tabs>
        <w:spacing w:line="269" w:lineRule="auto"/>
        <w:ind w:left="1321" w:hanging="357"/>
        <w:contextualSpacing w:val="0"/>
        <w:rPr>
          <w:rFonts w:cs="Arial"/>
          <w:i/>
          <w:szCs w:val="24"/>
        </w:rPr>
      </w:pPr>
      <w:r w:rsidRPr="00B958A9">
        <w:rPr>
          <w:rFonts w:cs="Arial"/>
          <w:szCs w:val="24"/>
        </w:rPr>
        <w:t xml:space="preserve">e.g. in Poland, where the contracting authority indicates </w:t>
      </w:r>
      <w:r w:rsidR="0081681F" w:rsidRPr="00B958A9">
        <w:rPr>
          <w:rFonts w:cs="Arial"/>
          <w:szCs w:val="24"/>
        </w:rPr>
        <w:t xml:space="preserve">that </w:t>
      </w:r>
      <w:r w:rsidRPr="00B958A9">
        <w:rPr>
          <w:rFonts w:cs="Arial"/>
          <w:szCs w:val="24"/>
        </w:rPr>
        <w:t>it would examine a given non-compulsory exclusion ground, it would somehow automatically transform it into the basis for</w:t>
      </w:r>
      <w:r w:rsidR="006770F6" w:rsidRPr="00B958A9">
        <w:rPr>
          <w:rFonts w:cs="Arial"/>
          <w:szCs w:val="24"/>
        </w:rPr>
        <w:t xml:space="preserve"> the compulsory exclusion</w:t>
      </w:r>
      <w:r w:rsidRPr="00B958A9">
        <w:rPr>
          <w:rFonts w:cs="Arial"/>
          <w:szCs w:val="24"/>
        </w:rPr>
        <w:t xml:space="preserve">. The above means that if a situation occurs that is indicated in such ground, it is not examined in practice whether the potential exclusion of a given economic operator is proportional to the violation it has committed; </w:t>
      </w:r>
    </w:p>
    <w:p w14:paraId="1CE9DF7D" w14:textId="25CCF384" w:rsidR="00582CE0" w:rsidRPr="00B958A9" w:rsidRDefault="00582CE0" w:rsidP="00582CE0">
      <w:pPr>
        <w:pStyle w:val="ListParagraph"/>
        <w:numPr>
          <w:ilvl w:val="0"/>
          <w:numId w:val="16"/>
        </w:numPr>
        <w:tabs>
          <w:tab w:val="num" w:pos="1417"/>
        </w:tabs>
        <w:spacing w:line="269" w:lineRule="auto"/>
        <w:ind w:left="1321" w:hanging="357"/>
        <w:contextualSpacing w:val="0"/>
        <w:rPr>
          <w:rFonts w:cs="Arial"/>
          <w:i/>
          <w:szCs w:val="24"/>
        </w:rPr>
      </w:pPr>
      <w:r w:rsidRPr="00B958A9">
        <w:rPr>
          <w:rFonts w:cs="Arial"/>
          <w:szCs w:val="24"/>
        </w:rPr>
        <w:t xml:space="preserve">a different situation </w:t>
      </w:r>
      <w:r w:rsidR="0081681F" w:rsidRPr="00B958A9">
        <w:rPr>
          <w:rFonts w:cs="Arial"/>
          <w:szCs w:val="24"/>
        </w:rPr>
        <w:t>ex</w:t>
      </w:r>
      <w:r w:rsidRPr="00B958A9">
        <w:rPr>
          <w:rFonts w:cs="Arial"/>
          <w:szCs w:val="24"/>
        </w:rPr>
        <w:t>is</w:t>
      </w:r>
      <w:r w:rsidR="0081681F" w:rsidRPr="00B958A9">
        <w:rPr>
          <w:rFonts w:cs="Arial"/>
          <w:szCs w:val="24"/>
        </w:rPr>
        <w:t>ts</w:t>
      </w:r>
      <w:r w:rsidRPr="00B958A9">
        <w:rPr>
          <w:rFonts w:cs="Arial"/>
          <w:szCs w:val="24"/>
        </w:rPr>
        <w:t xml:space="preserve"> for instance in the Netherlands</w:t>
      </w:r>
      <w:r w:rsidR="0081681F" w:rsidRPr="00B958A9">
        <w:rPr>
          <w:rFonts w:cs="Arial"/>
          <w:szCs w:val="24"/>
        </w:rPr>
        <w:t>,</w:t>
      </w:r>
      <w:r w:rsidRPr="00B958A9">
        <w:rPr>
          <w:rFonts w:cs="Arial"/>
          <w:szCs w:val="24"/>
        </w:rPr>
        <w:t xml:space="preserve"> where within the stipulated non-compulsory ground proportionality must be examined prior to the potential decision on exclusion, provided that the contracting authority announces how and on what conditions it would observe this principle</w:t>
      </w:r>
      <w:r w:rsidRPr="00B958A9">
        <w:rPr>
          <w:vertAlign w:val="superscript"/>
        </w:rPr>
        <w:footnoteReference w:id="8"/>
      </w:r>
      <w:r w:rsidRPr="00B958A9">
        <w:rPr>
          <w:rFonts w:cs="Arial"/>
          <w:iCs/>
          <w:szCs w:val="24"/>
        </w:rPr>
        <w:t>;</w:t>
      </w:r>
    </w:p>
    <w:p w14:paraId="532F8930" w14:textId="56ADBB1B" w:rsidR="00582CE0" w:rsidRPr="00B958A9" w:rsidRDefault="00582CE0" w:rsidP="00582CE0">
      <w:pPr>
        <w:pStyle w:val="ListParagraph"/>
        <w:numPr>
          <w:ilvl w:val="0"/>
          <w:numId w:val="15"/>
        </w:numPr>
        <w:spacing w:line="269" w:lineRule="auto"/>
        <w:rPr>
          <w:rFonts w:cs="Arial"/>
          <w:szCs w:val="24"/>
        </w:rPr>
      </w:pPr>
      <w:r w:rsidRPr="00B958A9">
        <w:rPr>
          <w:rFonts w:cs="Arial"/>
          <w:b/>
          <w:bCs/>
          <w:szCs w:val="24"/>
        </w:rPr>
        <w:t xml:space="preserve">providing the contracting authority with partial freedom, which is manifested by the fact that non-compulsory grounds are applied on an </w:t>
      </w:r>
      <w:r w:rsidRPr="00B958A9">
        <w:rPr>
          <w:rFonts w:cs="Arial"/>
          <w:b/>
          <w:bCs/>
          <w:i/>
          <w:szCs w:val="24"/>
        </w:rPr>
        <w:t xml:space="preserve">ex </w:t>
      </w:r>
      <w:proofErr w:type="spellStart"/>
      <w:r w:rsidRPr="00B958A9">
        <w:rPr>
          <w:rFonts w:cs="Arial"/>
          <w:b/>
          <w:bCs/>
          <w:i/>
          <w:szCs w:val="24"/>
        </w:rPr>
        <w:t>lege</w:t>
      </w:r>
      <w:proofErr w:type="spellEnd"/>
      <w:r w:rsidRPr="00B958A9">
        <w:rPr>
          <w:rFonts w:cs="Arial"/>
          <w:b/>
          <w:bCs/>
          <w:i/>
          <w:szCs w:val="24"/>
        </w:rPr>
        <w:t xml:space="preserve"> </w:t>
      </w:r>
      <w:r w:rsidRPr="00B958A9">
        <w:rPr>
          <w:rFonts w:cs="Arial"/>
          <w:b/>
          <w:bCs/>
          <w:szCs w:val="24"/>
        </w:rPr>
        <w:t>basis to each procedure</w:t>
      </w:r>
      <w:r w:rsidRPr="00B958A9">
        <w:rPr>
          <w:rFonts w:cs="Arial"/>
          <w:szCs w:val="24"/>
        </w:rPr>
        <w:t xml:space="preserve">, and the contracting authority is each time obliged to examine their </w:t>
      </w:r>
      <w:r w:rsidRPr="00B958A9">
        <w:rPr>
          <w:rFonts w:cs="Arial"/>
          <w:szCs w:val="24"/>
        </w:rPr>
        <w:lastRenderedPageBreak/>
        <w:t xml:space="preserve">occurrence. Thus, the </w:t>
      </w:r>
      <w:r w:rsidRPr="00B958A9">
        <w:rPr>
          <w:rFonts w:cs="Arial"/>
          <w:i/>
          <w:szCs w:val="24"/>
        </w:rPr>
        <w:t xml:space="preserve">non-compulsory </w:t>
      </w:r>
      <w:r w:rsidRPr="00B958A9">
        <w:rPr>
          <w:rFonts w:cs="Arial"/>
          <w:szCs w:val="24"/>
        </w:rPr>
        <w:t xml:space="preserve">nature in this case means the right to assess a given situation and to potentially not exclude a given economic operator if such contracting authority recognises that it would not be proportional </w:t>
      </w:r>
      <w:r w:rsidR="001D3E3B" w:rsidRPr="00B958A9">
        <w:rPr>
          <w:rFonts w:cs="Arial"/>
          <w:szCs w:val="24"/>
        </w:rPr>
        <w:t xml:space="preserve">to </w:t>
      </w:r>
      <w:r w:rsidRPr="00B958A9">
        <w:rPr>
          <w:rFonts w:cs="Arial"/>
          <w:szCs w:val="24"/>
        </w:rPr>
        <w:t xml:space="preserve">the actions performed, with the reservation that the principle of equal and non-discriminatory treatment of economic operators is observed. </w:t>
      </w:r>
    </w:p>
    <w:p w14:paraId="61AEDAEA" w14:textId="77777777" w:rsidR="00582CE0" w:rsidRPr="00B958A9" w:rsidRDefault="00582CE0" w:rsidP="00582CE0">
      <w:pPr>
        <w:spacing w:line="269" w:lineRule="auto"/>
        <w:rPr>
          <w:rFonts w:cs="Arial"/>
          <w:szCs w:val="24"/>
        </w:rPr>
      </w:pPr>
      <w:r w:rsidRPr="00B958A9">
        <w:rPr>
          <w:rFonts w:cs="Arial"/>
          <w:szCs w:val="24"/>
        </w:rPr>
        <w:t>It is beyond any doubt, depending on the adopted model, that the practice of applying the non-compulsory exclusion grounds may differ. Unquestionably, such approach does not support the idea of developing a cohesive legal system concerning public procurement at the EU level, which – as it seems – was to be the goal underlying the 2014 new legislative package.</w:t>
      </w:r>
    </w:p>
    <w:p w14:paraId="0C11331B" w14:textId="03D120AD" w:rsidR="00582CE0" w:rsidRPr="00B958A9" w:rsidRDefault="001D3E3B" w:rsidP="00582CE0">
      <w:pPr>
        <w:spacing w:line="269" w:lineRule="auto"/>
        <w:rPr>
          <w:rFonts w:cs="Arial"/>
          <w:szCs w:val="24"/>
        </w:rPr>
      </w:pPr>
      <w:r w:rsidRPr="00B958A9">
        <w:rPr>
          <w:rFonts w:cs="Arial"/>
          <w:szCs w:val="24"/>
        </w:rPr>
        <w:t>The two</w:t>
      </w:r>
      <w:r w:rsidR="00582CE0" w:rsidRPr="00B958A9">
        <w:rPr>
          <w:rFonts w:cs="Arial"/>
          <w:szCs w:val="24"/>
        </w:rPr>
        <w:t xml:space="preserve"> models have their advantages and disadvantages. For instance, the “Polish” model (item a) i. above) </w:t>
      </w:r>
      <w:r w:rsidRPr="00B958A9">
        <w:rPr>
          <w:rFonts w:cs="Arial"/>
          <w:szCs w:val="24"/>
        </w:rPr>
        <w:t xml:space="preserve">may, </w:t>
      </w:r>
      <w:r w:rsidR="00582CE0" w:rsidRPr="00B958A9">
        <w:rPr>
          <w:rFonts w:cs="Arial"/>
          <w:szCs w:val="24"/>
        </w:rPr>
        <w:t>on the one hand</w:t>
      </w:r>
      <w:r w:rsidRPr="00B958A9">
        <w:rPr>
          <w:rFonts w:cs="Arial"/>
          <w:szCs w:val="24"/>
        </w:rPr>
        <w:t>,</w:t>
      </w:r>
      <w:r w:rsidR="00582CE0" w:rsidRPr="00B958A9">
        <w:rPr>
          <w:rFonts w:cs="Arial"/>
          <w:szCs w:val="24"/>
        </w:rPr>
        <w:t xml:space="preserve"> guarantee transparency and certainty of law at the level of a given procedure since in practice a contracting authority applies non-compulsory exclusion grounds selected by itself in a mandatory manner in the same way it applies compulsory grounds. However, on the other hand, within a given procedure a contracting authority may examine specific grounds (naturally upon a prior notification thereof to contractors), and in </w:t>
      </w:r>
      <w:r w:rsidRPr="00B958A9">
        <w:rPr>
          <w:rFonts w:cs="Arial"/>
          <w:szCs w:val="24"/>
        </w:rPr>
        <w:t xml:space="preserve">a </w:t>
      </w:r>
      <w:r w:rsidR="00582CE0" w:rsidRPr="00B958A9">
        <w:rPr>
          <w:rFonts w:cs="Arial"/>
          <w:szCs w:val="24"/>
        </w:rPr>
        <w:t>subsequent procedure m</w:t>
      </w:r>
      <w:r w:rsidRPr="00B958A9">
        <w:rPr>
          <w:rFonts w:cs="Arial"/>
          <w:szCs w:val="24"/>
        </w:rPr>
        <w:t xml:space="preserve">ay waive such examination. </w:t>
      </w:r>
    </w:p>
    <w:p w14:paraId="0AE23C19" w14:textId="784E053F" w:rsidR="00582CE0" w:rsidRPr="00B958A9" w:rsidRDefault="00582CE0" w:rsidP="00582CE0">
      <w:pPr>
        <w:spacing w:line="269" w:lineRule="auto"/>
        <w:rPr>
          <w:rFonts w:cs="Arial"/>
          <w:szCs w:val="24"/>
        </w:rPr>
      </w:pPr>
      <w:r w:rsidRPr="00B958A9">
        <w:rPr>
          <w:rFonts w:cs="Arial"/>
          <w:szCs w:val="24"/>
        </w:rPr>
        <w:t>In turn, the model presented in item b)</w:t>
      </w:r>
      <w:bookmarkStart w:id="5" w:name="_Hlk19273249"/>
      <w:r w:rsidRPr="00B958A9">
        <w:rPr>
          <w:rFonts w:cs="Arial"/>
          <w:szCs w:val="24"/>
        </w:rPr>
        <w:t>, as it appears, may increase the competitiveness of procedures by limiting excessive exclusion of economic operators in relation to defaults</w:t>
      </w:r>
      <w:bookmarkEnd w:id="5"/>
      <w:r w:rsidRPr="00B958A9">
        <w:rPr>
          <w:rFonts w:cs="Arial"/>
          <w:szCs w:val="24"/>
        </w:rPr>
        <w:t xml:space="preserve"> </w:t>
      </w:r>
      <w:r w:rsidR="006770F6" w:rsidRPr="00B958A9">
        <w:rPr>
          <w:rFonts w:cs="Arial"/>
          <w:szCs w:val="24"/>
        </w:rPr>
        <w:t>that</w:t>
      </w:r>
      <w:r w:rsidR="001D3E3B" w:rsidRPr="00B958A9">
        <w:rPr>
          <w:rFonts w:cs="Arial"/>
          <w:szCs w:val="24"/>
        </w:rPr>
        <w:t>,</w:t>
      </w:r>
      <w:r w:rsidRPr="00B958A9">
        <w:rPr>
          <w:rFonts w:cs="Arial"/>
          <w:szCs w:val="24"/>
        </w:rPr>
        <w:t xml:space="preserve"> </w:t>
      </w:r>
      <w:r w:rsidR="00B92957" w:rsidRPr="00B958A9">
        <w:rPr>
          <w:rFonts w:cs="Arial"/>
          <w:szCs w:val="24"/>
        </w:rPr>
        <w:t xml:space="preserve">according to the </w:t>
      </w:r>
      <w:r w:rsidRPr="00B958A9">
        <w:rPr>
          <w:rFonts w:cs="Arial"/>
          <w:szCs w:val="24"/>
        </w:rPr>
        <w:t>rule</w:t>
      </w:r>
      <w:r w:rsidR="00B92957" w:rsidRPr="00B958A9">
        <w:rPr>
          <w:rFonts w:cs="Arial"/>
          <w:szCs w:val="24"/>
        </w:rPr>
        <w:t xml:space="preserve"> of proportionality</w:t>
      </w:r>
      <w:r w:rsidR="001D3E3B" w:rsidRPr="00B958A9">
        <w:rPr>
          <w:rFonts w:cs="Arial"/>
          <w:szCs w:val="24"/>
        </w:rPr>
        <w:t>,</w:t>
      </w:r>
      <w:r w:rsidRPr="00B958A9">
        <w:rPr>
          <w:rFonts w:cs="Arial"/>
          <w:szCs w:val="24"/>
        </w:rPr>
        <w:t xml:space="preserve"> do not undermine their credibility and </w:t>
      </w:r>
      <w:r w:rsidR="006D7AAC" w:rsidRPr="00B958A9">
        <w:rPr>
          <w:rFonts w:cs="Arial"/>
          <w:szCs w:val="24"/>
        </w:rPr>
        <w:t>reliability</w:t>
      </w:r>
      <w:r w:rsidRPr="00B958A9">
        <w:rPr>
          <w:rFonts w:cs="Arial"/>
          <w:szCs w:val="24"/>
          <w:vertAlign w:val="superscript"/>
        </w:rPr>
        <w:footnoteReference w:id="9"/>
      </w:r>
      <w:r w:rsidRPr="00B958A9">
        <w:rPr>
          <w:rFonts w:cs="Arial"/>
          <w:szCs w:val="24"/>
        </w:rPr>
        <w:t xml:space="preserve">. However, the above does not mean that the contracting authority may be vested with absolute freedom at the stage of excluding economic operators (applying grounds to them), since that would result in economic operators being left in </w:t>
      </w:r>
      <w:r w:rsidR="001D3E3B" w:rsidRPr="00B958A9">
        <w:rPr>
          <w:rFonts w:cs="Arial"/>
          <w:szCs w:val="24"/>
        </w:rPr>
        <w:t>a state</w:t>
      </w:r>
      <w:r w:rsidRPr="00B958A9">
        <w:rPr>
          <w:rFonts w:cs="Arial"/>
          <w:szCs w:val="24"/>
        </w:rPr>
        <w:t xml:space="preserve"> of uncertainty as to the possibility of </w:t>
      </w:r>
      <w:r w:rsidR="001D3E3B" w:rsidRPr="00B958A9">
        <w:rPr>
          <w:rFonts w:cs="Arial"/>
          <w:szCs w:val="24"/>
        </w:rPr>
        <w:t xml:space="preserve">their </w:t>
      </w:r>
      <w:r w:rsidRPr="00B958A9">
        <w:rPr>
          <w:rFonts w:cs="Arial"/>
          <w:szCs w:val="24"/>
        </w:rPr>
        <w:t>participating in given procedures.</w:t>
      </w:r>
    </w:p>
    <w:p w14:paraId="54DE7F47" w14:textId="7E5E2E34" w:rsidR="007D6B5E" w:rsidRPr="00B958A9" w:rsidRDefault="007D6B5E" w:rsidP="00B43D54">
      <w:pPr>
        <w:spacing w:line="269" w:lineRule="auto"/>
        <w:rPr>
          <w:rFonts w:cs="Arial"/>
          <w:vanish/>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9639"/>
      </w:tblGrid>
      <w:tr w:rsidR="00B43D54" w:rsidRPr="00DA2C04" w14:paraId="7DB28F67" w14:textId="77777777" w:rsidTr="00D962D7">
        <w:tc>
          <w:tcPr>
            <w:tcW w:w="9639" w:type="dxa"/>
            <w:shd w:val="clear" w:color="auto" w:fill="95B3D7" w:themeFill="accent1" w:themeFillTint="99"/>
          </w:tcPr>
          <w:p w14:paraId="2DDB4D66" w14:textId="46346099" w:rsidR="00B43D54" w:rsidRPr="00C80A52" w:rsidRDefault="00B43D54" w:rsidP="00B332F3">
            <w:pPr>
              <w:pStyle w:val="StandardL1"/>
              <w:pageBreakBefore/>
              <w:spacing w:before="240"/>
              <w:rPr>
                <w:color w:val="FFFFFF" w:themeColor="background1"/>
                <w:sz w:val="28"/>
                <w:szCs w:val="28"/>
                <w:lang w:val="en-GB"/>
              </w:rPr>
            </w:pPr>
            <w:bookmarkStart w:id="6" w:name="_Hlk19029568"/>
            <w:r w:rsidRPr="00C80A52">
              <w:rPr>
                <w:bCs/>
                <w:color w:val="FFFFFF" w:themeColor="background1"/>
                <w:sz w:val="28"/>
                <w:szCs w:val="28"/>
                <w:lang w:val="en-GB"/>
              </w:rPr>
              <w:lastRenderedPageBreak/>
              <w:t>CHAPTER II</w:t>
            </w:r>
          </w:p>
          <w:p w14:paraId="73D1188F" w14:textId="584E27CD" w:rsidR="00B43D54" w:rsidRPr="00B958A9" w:rsidRDefault="00B43D54" w:rsidP="00182674">
            <w:pPr>
              <w:jc w:val="center"/>
              <w:rPr>
                <w:b/>
                <w:bCs/>
                <w:color w:val="FFFFFF" w:themeColor="background1"/>
                <w:sz w:val="28"/>
                <w:szCs w:val="28"/>
              </w:rPr>
            </w:pPr>
            <w:r w:rsidRPr="00C80A52">
              <w:rPr>
                <w:b/>
                <w:bCs/>
                <w:color w:val="FFFFFF" w:themeColor="background1"/>
                <w:sz w:val="28"/>
                <w:szCs w:val="28"/>
              </w:rPr>
              <w:t>GROUND SPECIFIED IN ARTICLE 57 SECTION 4 ITEM C OF DIRECTIVE 2014/24/EU</w:t>
            </w:r>
          </w:p>
          <w:p w14:paraId="51351D51" w14:textId="33663FE4" w:rsidR="00D73B11" w:rsidRPr="005D0E0B" w:rsidRDefault="00C5320D" w:rsidP="00182674">
            <w:pPr>
              <w:jc w:val="center"/>
              <w:rPr>
                <w:b/>
                <w:bCs/>
                <w:i/>
                <w:iCs/>
                <w:color w:val="FFFFFF" w:themeColor="background1"/>
                <w:sz w:val="20"/>
                <w:lang w:val="pl-PL"/>
              </w:rPr>
            </w:pPr>
            <w:r w:rsidRPr="005D0E0B">
              <w:rPr>
                <w:b/>
                <w:bCs/>
                <w:i/>
                <w:iCs/>
                <w:color w:val="FFFFFF" w:themeColor="background1"/>
                <w:sz w:val="20"/>
                <w:lang w:val="pl-PL"/>
              </w:rPr>
              <w:t xml:space="preserve">Michał Orzechowski, </w:t>
            </w:r>
            <w:r w:rsidR="00D73B11" w:rsidRPr="005D0E0B">
              <w:rPr>
                <w:b/>
                <w:bCs/>
                <w:i/>
                <w:iCs/>
                <w:color w:val="FFFFFF" w:themeColor="background1"/>
                <w:sz w:val="20"/>
                <w:lang w:val="pl-PL"/>
              </w:rPr>
              <w:t>Jarosław Sroka</w:t>
            </w:r>
            <w:r w:rsidRPr="005D0E0B">
              <w:rPr>
                <w:b/>
                <w:bCs/>
                <w:i/>
                <w:iCs/>
                <w:color w:val="FFFFFF" w:themeColor="background1"/>
                <w:sz w:val="20"/>
                <w:lang w:val="pl-PL"/>
              </w:rPr>
              <w:t>, Anna Szymańska, Grzegorz Wąsiewski</w:t>
            </w:r>
          </w:p>
        </w:tc>
      </w:tr>
      <w:bookmarkEnd w:id="6"/>
    </w:tbl>
    <w:p w14:paraId="234743D1" w14:textId="77777777" w:rsidR="00B43D54" w:rsidRPr="005D0E0B" w:rsidRDefault="00B43D54" w:rsidP="00B43D54">
      <w:pPr>
        <w:spacing w:line="269" w:lineRule="auto"/>
        <w:rPr>
          <w:rFonts w:cs="Arial"/>
          <w:szCs w:val="24"/>
          <w:lang w:val="pl-PL"/>
        </w:rPr>
      </w:pPr>
    </w:p>
    <w:p w14:paraId="0CC71778" w14:textId="2313F96C" w:rsidR="006166A9" w:rsidRPr="00B958A9" w:rsidRDefault="006166A9" w:rsidP="006166A9">
      <w:pPr>
        <w:spacing w:line="269" w:lineRule="auto"/>
        <w:rPr>
          <w:rFonts w:cs="Arial"/>
          <w:szCs w:val="24"/>
        </w:rPr>
      </w:pPr>
      <w:r w:rsidRPr="00C80A52">
        <w:rPr>
          <w:rFonts w:cs="Arial"/>
          <w:szCs w:val="24"/>
        </w:rPr>
        <w:t>Pursuant to Article 57 section 4 item c) of Directive 2014/24/EU, the contracting authorities may exclude or be obliged by Member States to exclude any economic operator from participation in a procurement procedure where the contracting authority can demonstrate by appropriate means that the economic operator is guilty of</w:t>
      </w:r>
      <w:bookmarkStart w:id="7" w:name="_Hlk19100483"/>
      <w:r w:rsidRPr="00C80A52">
        <w:rPr>
          <w:rFonts w:cs="Arial"/>
          <w:szCs w:val="24"/>
        </w:rPr>
        <w:t xml:space="preserve"> grave professional misconduct, which renders its integrity questionable.</w:t>
      </w:r>
      <w:bookmarkEnd w:id="7"/>
    </w:p>
    <w:p w14:paraId="668EC3E2" w14:textId="77777777" w:rsidR="006166A9" w:rsidRPr="00B958A9" w:rsidRDefault="006166A9" w:rsidP="00BF25FE">
      <w:pPr>
        <w:pStyle w:val="ListParagraph"/>
        <w:numPr>
          <w:ilvl w:val="0"/>
          <w:numId w:val="17"/>
        </w:numPr>
        <w:spacing w:line="269" w:lineRule="auto"/>
        <w:ind w:left="737" w:hanging="737"/>
        <w:rPr>
          <w:rFonts w:cs="Arial"/>
          <w:b/>
          <w:i/>
          <w:szCs w:val="24"/>
        </w:rPr>
      </w:pPr>
      <w:bookmarkStart w:id="8" w:name="_Hlk19025301"/>
      <w:r w:rsidRPr="00C80A52">
        <w:rPr>
          <w:rFonts w:cs="Arial"/>
          <w:b/>
          <w:bCs/>
          <w:i/>
          <w:iCs/>
          <w:szCs w:val="24"/>
        </w:rPr>
        <w:t>The manner in which the exclusion ground is transposed into national legal regimes</w:t>
      </w:r>
    </w:p>
    <w:bookmarkEnd w:id="8"/>
    <w:p w14:paraId="7CDEC0EB" w14:textId="758C7DBB" w:rsidR="006166A9" w:rsidRPr="00B958A9" w:rsidRDefault="006166A9" w:rsidP="006166A9">
      <w:pPr>
        <w:spacing w:line="269" w:lineRule="auto"/>
        <w:rPr>
          <w:rFonts w:cs="Arial"/>
          <w:szCs w:val="24"/>
        </w:rPr>
      </w:pPr>
      <w:r w:rsidRPr="00C80A52">
        <w:rPr>
          <w:rFonts w:cs="Arial"/>
          <w:szCs w:val="24"/>
        </w:rPr>
        <w:t xml:space="preserve">The exclusion ground of economic operators due to grave professional misconduct is applicable in all national legal regimes. Apart from Malta (cf. below), </w:t>
      </w:r>
      <w:r w:rsidRPr="00C80A52">
        <w:rPr>
          <w:rFonts w:cs="Arial"/>
          <w:b/>
          <w:bCs/>
          <w:szCs w:val="24"/>
        </w:rPr>
        <w:t>the ground was formulated in all regimes in almost the same way as in Directive 2014/24/EU.</w:t>
      </w:r>
      <w:r w:rsidRPr="00C80A52">
        <w:rPr>
          <w:rFonts w:cs="Arial"/>
          <w:szCs w:val="24"/>
        </w:rPr>
        <w:t xml:space="preserve"> The differences, if any, (as e.g. in Sweden) come down to a different edition of the provision, however, without any changes to the substantive nature of such exclusion ground. Only in Malta have the provisions implementing the previously applicable Directives been maintained.</w:t>
      </w:r>
    </w:p>
    <w:p w14:paraId="17D2FD24" w14:textId="4481F958" w:rsidR="006166A9" w:rsidRPr="00B958A9" w:rsidRDefault="00ED5E05" w:rsidP="006166A9">
      <w:pPr>
        <w:spacing w:line="269" w:lineRule="auto"/>
        <w:rPr>
          <w:rFonts w:cs="Arial"/>
          <w:szCs w:val="24"/>
        </w:rPr>
      </w:pPr>
      <w:r w:rsidRPr="00C80A52">
        <w:rPr>
          <w:rFonts w:cs="Arial"/>
          <w:b/>
          <w:bCs/>
          <w:szCs w:val="24"/>
        </w:rPr>
        <w:t xml:space="preserve">In as many as twenty-six states was the exclusion ground due to grave professional misconduct made non-compulsory, </w:t>
      </w:r>
      <w:r w:rsidRPr="00C80A52">
        <w:rPr>
          <w:rFonts w:cs="Arial"/>
          <w:szCs w:val="24"/>
        </w:rPr>
        <w:t>while in only five states was it given a compulsory nature (Austria, Spain, Portugal, Slovakia, and Italy).</w:t>
      </w:r>
    </w:p>
    <w:p w14:paraId="3D9A5C00" w14:textId="61D6F8F2" w:rsidR="006166A9" w:rsidRPr="00B958A9" w:rsidRDefault="006166A9" w:rsidP="006166A9">
      <w:pPr>
        <w:spacing w:line="269" w:lineRule="auto"/>
        <w:rPr>
          <w:rFonts w:cs="Arial"/>
          <w:szCs w:val="24"/>
        </w:rPr>
      </w:pPr>
      <w:r w:rsidRPr="00C80A52">
        <w:rPr>
          <w:rFonts w:cs="Arial"/>
          <w:szCs w:val="24"/>
        </w:rPr>
        <w:lastRenderedPageBreak/>
        <w:t xml:space="preserve"> </w:t>
      </w:r>
      <w:r w:rsidRPr="006F1C3A">
        <w:rPr>
          <w:rFonts w:cs="Arial"/>
          <w:noProof/>
          <w:sz w:val="20"/>
          <w:lang w:eastAsia="en-GB"/>
        </w:rPr>
        <w:drawing>
          <wp:inline distT="0" distB="0" distL="0" distR="0" wp14:anchorId="0F19408C" wp14:editId="381EC6C0">
            <wp:extent cx="5736590" cy="3178629"/>
            <wp:effectExtent l="0" t="0" r="16510" b="317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C1458F" w14:textId="658D7CF2" w:rsidR="00B156B9" w:rsidRPr="00B958A9" w:rsidRDefault="00B156B9" w:rsidP="00BF25FE">
      <w:pPr>
        <w:pStyle w:val="ListParagraph"/>
        <w:numPr>
          <w:ilvl w:val="0"/>
          <w:numId w:val="17"/>
        </w:numPr>
        <w:spacing w:line="269" w:lineRule="auto"/>
        <w:ind w:left="737" w:hanging="737"/>
        <w:rPr>
          <w:rFonts w:cs="Arial"/>
          <w:b/>
          <w:i/>
          <w:szCs w:val="24"/>
        </w:rPr>
      </w:pPr>
      <w:bookmarkStart w:id="9" w:name="_Hlk19025944"/>
      <w:r w:rsidRPr="00C80A52">
        <w:rPr>
          <w:rFonts w:cs="Arial"/>
          <w:b/>
          <w:bCs/>
          <w:i/>
          <w:iCs/>
          <w:szCs w:val="24"/>
        </w:rPr>
        <w:t>Selected examples of application of the ground in Member States</w:t>
      </w:r>
    </w:p>
    <w:bookmarkEnd w:id="9"/>
    <w:p w14:paraId="7D41BAF7" w14:textId="3325FAAD" w:rsidR="00B156B9" w:rsidRPr="00B958A9" w:rsidRDefault="00B156B9" w:rsidP="00B156B9">
      <w:pPr>
        <w:spacing w:line="269" w:lineRule="auto"/>
        <w:rPr>
          <w:rFonts w:cs="Arial"/>
          <w:szCs w:val="24"/>
        </w:rPr>
      </w:pPr>
      <w:r w:rsidRPr="00C80A52">
        <w:rPr>
          <w:rFonts w:cs="Arial"/>
          <w:szCs w:val="24"/>
        </w:rPr>
        <w:t xml:space="preserve">The majority of the states decided to formulate the exclusion ground due to grave professional misconduct in a </w:t>
      </w:r>
      <w:r w:rsidRPr="00C80A52">
        <w:rPr>
          <w:rFonts w:cs="Arial"/>
          <w:b/>
          <w:bCs/>
          <w:szCs w:val="24"/>
        </w:rPr>
        <w:t>general manner.</w:t>
      </w:r>
    </w:p>
    <w:p w14:paraId="530E898D" w14:textId="78078718" w:rsidR="00B156B9" w:rsidRPr="00B958A9" w:rsidRDefault="00B156B9" w:rsidP="00B156B9">
      <w:pPr>
        <w:spacing w:line="269" w:lineRule="auto"/>
        <w:rPr>
          <w:rFonts w:cs="Arial"/>
          <w:szCs w:val="24"/>
        </w:rPr>
      </w:pPr>
      <w:r w:rsidRPr="00C80A52">
        <w:rPr>
          <w:rFonts w:cs="Arial"/>
          <w:szCs w:val="24"/>
        </w:rPr>
        <w:t>A detailed catalogue of events constituting grave professional misconduct was introduced by: Bulgaria (that limited such events to disqualification due to a ban on carrying out specific professional activity), France (by means of referring to specific provisions of law), Lithuania (by means of indicating areas of law such as the violation of provisions on competition, intellectual property or professional ethics standards), and Latvia (by means of referring to specific penal and penal-administrative provisions of law).</w:t>
      </w:r>
    </w:p>
    <w:p w14:paraId="7F1932EE" w14:textId="4CA55DCA" w:rsidR="00B156B9" w:rsidRPr="00B958A9" w:rsidRDefault="00B156B9" w:rsidP="00B156B9">
      <w:pPr>
        <w:spacing w:line="269" w:lineRule="auto"/>
        <w:rPr>
          <w:rFonts w:cs="Arial"/>
          <w:szCs w:val="24"/>
        </w:rPr>
      </w:pPr>
      <w:r w:rsidRPr="00C80A52">
        <w:rPr>
          <w:rFonts w:cs="Arial"/>
          <w:szCs w:val="24"/>
        </w:rPr>
        <w:t xml:space="preserve">In the absence of a detailed catalogue of events constituting grave professional misconduct or specific guidelines of the national legislator, the direction of the interpretation is generally set by the CJEU ruling issued on 13 December 2012 (C-465/11, </w:t>
      </w:r>
      <w:proofErr w:type="spellStart"/>
      <w:r w:rsidRPr="00C80A52">
        <w:rPr>
          <w:rFonts w:cs="Arial"/>
          <w:i/>
          <w:iCs/>
          <w:szCs w:val="24"/>
        </w:rPr>
        <w:t>Forposta</w:t>
      </w:r>
      <w:proofErr w:type="spellEnd"/>
      <w:r w:rsidRPr="00C80A52">
        <w:rPr>
          <w:rFonts w:cs="Arial"/>
          <w:i/>
          <w:iCs/>
          <w:szCs w:val="24"/>
        </w:rPr>
        <w:t xml:space="preserve"> and ABC Direct Contact</w:t>
      </w:r>
      <w:r w:rsidRPr="00C80A52">
        <w:rPr>
          <w:rFonts w:cs="Arial"/>
          <w:szCs w:val="24"/>
        </w:rPr>
        <w:t>)</w:t>
      </w:r>
      <w:r w:rsidRPr="00C80A52">
        <w:rPr>
          <w:rStyle w:val="FootnoteReference"/>
          <w:rFonts w:cs="Arial"/>
          <w:szCs w:val="24"/>
        </w:rPr>
        <w:footnoteReference w:id="10"/>
      </w:r>
      <w:r w:rsidRPr="00C80A52">
        <w:rPr>
          <w:rFonts w:cs="Arial"/>
          <w:szCs w:val="24"/>
        </w:rPr>
        <w:t xml:space="preserve">. In consequence, on the one hand such a broad catalogue of grave professional misconducts will include anything that renders the economic operator’s reliability questionable, while on the other hand it is necessary for the contracting authority to perform </w:t>
      </w:r>
      <w:r w:rsidRPr="00C80A52">
        <w:rPr>
          <w:rFonts w:cs="Arial"/>
          <w:szCs w:val="24"/>
        </w:rPr>
        <w:lastRenderedPageBreak/>
        <w:t>an individual analysis of the factual status and circumstances, taking into account the principle of proportionality.</w:t>
      </w:r>
    </w:p>
    <w:p w14:paraId="5F07E338" w14:textId="5D7C33F4" w:rsidR="00B156B9" w:rsidRPr="00B958A9" w:rsidRDefault="00B156B9" w:rsidP="00B156B9">
      <w:pPr>
        <w:spacing w:line="269" w:lineRule="auto"/>
        <w:rPr>
          <w:rFonts w:cs="Arial"/>
          <w:szCs w:val="24"/>
        </w:rPr>
      </w:pPr>
      <w:r w:rsidRPr="00C80A52">
        <w:rPr>
          <w:rFonts w:cs="Arial"/>
          <w:szCs w:val="24"/>
        </w:rPr>
        <w:t xml:space="preserve">The doctrine and the case law (which is still not very extensive) specify events that could be considered as </w:t>
      </w:r>
      <w:r w:rsidRPr="00C80A52">
        <w:rPr>
          <w:rFonts w:cs="Arial"/>
          <w:b/>
          <w:bCs/>
          <w:szCs w:val="24"/>
        </w:rPr>
        <w:t>cases of grave professional misconduct</w:t>
      </w:r>
      <w:r w:rsidRPr="00C80A52">
        <w:rPr>
          <w:rFonts w:cs="Arial"/>
          <w:szCs w:val="24"/>
        </w:rPr>
        <w:t>. They can include:</w:t>
      </w:r>
    </w:p>
    <w:p w14:paraId="2AA952C0" w14:textId="3771EC6C" w:rsidR="00B156B9" w:rsidRPr="00B958A9" w:rsidRDefault="0050111A" w:rsidP="00BF25FE">
      <w:pPr>
        <w:pStyle w:val="ListParagraph"/>
        <w:numPr>
          <w:ilvl w:val="0"/>
          <w:numId w:val="19"/>
        </w:numPr>
        <w:ind w:left="851" w:hanging="851"/>
        <w:contextualSpacing w:val="0"/>
        <w:rPr>
          <w:rFonts w:cs="Arial"/>
          <w:color w:val="002060"/>
          <w:szCs w:val="24"/>
        </w:rPr>
      </w:pPr>
      <w:r w:rsidRPr="00C80A52">
        <w:rPr>
          <w:rFonts w:cs="Arial"/>
          <w:b/>
          <w:bCs/>
          <w:color w:val="002060"/>
          <w:szCs w:val="24"/>
        </w:rPr>
        <w:t xml:space="preserve">counterfeit </w:t>
      </w:r>
      <w:r w:rsidRPr="00C80A52">
        <w:rPr>
          <w:rFonts w:cs="Arial"/>
          <w:color w:val="002060"/>
          <w:szCs w:val="24"/>
        </w:rPr>
        <w:t>(Germany - this specific case involved the forging by the economic operator’s management board member of a document that was to originate from the contracting authority, irrespective of the penal law qualification);</w:t>
      </w:r>
    </w:p>
    <w:p w14:paraId="3CD86000" w14:textId="5CA2B6C9" w:rsidR="00B156B9" w:rsidRPr="00B958A9" w:rsidRDefault="00B156B9" w:rsidP="00BF25FE">
      <w:pPr>
        <w:pStyle w:val="ListParagraph"/>
        <w:numPr>
          <w:ilvl w:val="0"/>
          <w:numId w:val="19"/>
        </w:numPr>
        <w:ind w:left="851" w:hanging="851"/>
        <w:contextualSpacing w:val="0"/>
        <w:rPr>
          <w:rFonts w:cs="Arial"/>
          <w:color w:val="002060"/>
          <w:szCs w:val="24"/>
        </w:rPr>
      </w:pPr>
      <w:r w:rsidRPr="00C80A52">
        <w:rPr>
          <w:rFonts w:cs="Arial"/>
          <w:b/>
          <w:bCs/>
          <w:color w:val="002060"/>
          <w:szCs w:val="24"/>
        </w:rPr>
        <w:t xml:space="preserve">ignoring the contracting authority’s requests </w:t>
      </w:r>
      <w:r w:rsidRPr="00C80A52">
        <w:rPr>
          <w:rFonts w:cs="Arial"/>
          <w:color w:val="002060"/>
          <w:szCs w:val="24"/>
        </w:rPr>
        <w:t>while performing another contract which led to the occurrence of damage or difficulties in the performance of the contract (Belgium</w:t>
      </w:r>
      <w:r w:rsidR="00761F29" w:rsidRPr="00C80A52">
        <w:rPr>
          <w:rFonts w:cs="Arial"/>
          <w:color w:val="002060"/>
          <w:szCs w:val="24"/>
        </w:rPr>
        <w:t xml:space="preserve"> – a contract in a specific case involved immediate repair of a road, while failure to carry out the request caused a threat to the users of that road</w:t>
      </w:r>
      <w:r w:rsidRPr="00C80A52">
        <w:rPr>
          <w:rFonts w:cs="Arial"/>
          <w:color w:val="002060"/>
          <w:szCs w:val="24"/>
        </w:rPr>
        <w:t>);</w:t>
      </w:r>
    </w:p>
    <w:p w14:paraId="53E7A815" w14:textId="77777777" w:rsidR="00B156B9" w:rsidRPr="00B958A9" w:rsidRDefault="00B156B9" w:rsidP="00BF25FE">
      <w:pPr>
        <w:pStyle w:val="ListParagraph"/>
        <w:numPr>
          <w:ilvl w:val="0"/>
          <w:numId w:val="19"/>
        </w:numPr>
        <w:ind w:left="851" w:hanging="851"/>
        <w:contextualSpacing w:val="0"/>
        <w:rPr>
          <w:rFonts w:cs="Arial"/>
          <w:color w:val="002060"/>
          <w:szCs w:val="24"/>
        </w:rPr>
      </w:pPr>
      <w:r w:rsidRPr="00C80A52">
        <w:rPr>
          <w:rFonts w:cs="Arial"/>
          <w:b/>
          <w:bCs/>
          <w:color w:val="002060"/>
          <w:szCs w:val="24"/>
        </w:rPr>
        <w:t>carrying out business activity without the relevant permits;</w:t>
      </w:r>
    </w:p>
    <w:p w14:paraId="7927FD6D" w14:textId="41345882" w:rsidR="00B156B9" w:rsidRPr="00B958A9" w:rsidRDefault="00B156B9" w:rsidP="00BF25FE">
      <w:pPr>
        <w:pStyle w:val="ListParagraph"/>
        <w:numPr>
          <w:ilvl w:val="0"/>
          <w:numId w:val="19"/>
        </w:numPr>
        <w:ind w:left="851" w:hanging="851"/>
        <w:contextualSpacing w:val="0"/>
        <w:rPr>
          <w:rFonts w:cs="Arial"/>
          <w:color w:val="002060"/>
          <w:szCs w:val="24"/>
        </w:rPr>
      </w:pPr>
      <w:r w:rsidRPr="00C80A52">
        <w:rPr>
          <w:rFonts w:cs="Arial"/>
          <w:b/>
          <w:bCs/>
          <w:color w:val="002060"/>
          <w:szCs w:val="24"/>
        </w:rPr>
        <w:t xml:space="preserve">price collusion </w:t>
      </w:r>
      <w:r w:rsidRPr="00C80A52">
        <w:rPr>
          <w:rFonts w:cs="Arial"/>
          <w:color w:val="002060"/>
          <w:szCs w:val="24"/>
        </w:rPr>
        <w:t>(Denmark);</w:t>
      </w:r>
    </w:p>
    <w:p w14:paraId="357294BF" w14:textId="4028D81B" w:rsidR="00B156B9" w:rsidRPr="00B958A9" w:rsidRDefault="002B40FD" w:rsidP="00BF25FE">
      <w:pPr>
        <w:pStyle w:val="ListParagraph"/>
        <w:numPr>
          <w:ilvl w:val="0"/>
          <w:numId w:val="19"/>
        </w:numPr>
        <w:ind w:left="851" w:hanging="851"/>
        <w:contextualSpacing w:val="0"/>
        <w:rPr>
          <w:rFonts w:cs="Arial"/>
          <w:color w:val="002060"/>
          <w:szCs w:val="24"/>
        </w:rPr>
      </w:pPr>
      <w:r w:rsidRPr="00C80A52">
        <w:rPr>
          <w:rFonts w:cs="Arial"/>
          <w:b/>
          <w:bCs/>
          <w:color w:val="002060"/>
          <w:szCs w:val="24"/>
        </w:rPr>
        <w:t xml:space="preserve">improper performance of the contract </w:t>
      </w:r>
      <w:r w:rsidRPr="00C80A52">
        <w:rPr>
          <w:rFonts w:cs="Arial"/>
          <w:color w:val="002060"/>
          <w:szCs w:val="24"/>
        </w:rPr>
        <w:t>(Belgium, Germany, Italy);</w:t>
      </w:r>
    </w:p>
    <w:p w14:paraId="30B13EFF" w14:textId="576710A5" w:rsidR="00B156B9" w:rsidRPr="00B958A9" w:rsidRDefault="00B156B9" w:rsidP="00BF25FE">
      <w:pPr>
        <w:pStyle w:val="ListParagraph"/>
        <w:numPr>
          <w:ilvl w:val="0"/>
          <w:numId w:val="19"/>
        </w:numPr>
        <w:ind w:left="851" w:hanging="851"/>
        <w:contextualSpacing w:val="0"/>
        <w:rPr>
          <w:rFonts w:cs="Arial"/>
          <w:color w:val="002060"/>
          <w:szCs w:val="24"/>
        </w:rPr>
      </w:pPr>
      <w:r w:rsidRPr="00C80A52">
        <w:rPr>
          <w:rFonts w:cs="Arial"/>
          <w:b/>
          <w:bCs/>
          <w:color w:val="002060"/>
          <w:szCs w:val="24"/>
        </w:rPr>
        <w:t>violation of:</w:t>
      </w:r>
    </w:p>
    <w:p w14:paraId="39082808" w14:textId="13E03DFA" w:rsidR="00D61B45" w:rsidRPr="00B958A9" w:rsidRDefault="00D61B45" w:rsidP="00BF25FE">
      <w:pPr>
        <w:pStyle w:val="ListParagraph"/>
        <w:numPr>
          <w:ilvl w:val="1"/>
          <w:numId w:val="18"/>
        </w:numPr>
        <w:contextualSpacing w:val="0"/>
        <w:rPr>
          <w:rFonts w:cs="Arial"/>
          <w:szCs w:val="24"/>
        </w:rPr>
      </w:pPr>
      <w:r w:rsidRPr="00C80A52">
        <w:rPr>
          <w:rFonts w:cs="Arial"/>
          <w:szCs w:val="24"/>
        </w:rPr>
        <w:t>provisions on roadworthiness tests of vehicles (Belgium);</w:t>
      </w:r>
    </w:p>
    <w:p w14:paraId="08F48457" w14:textId="62D0E975" w:rsidR="00D61B45" w:rsidRPr="00B958A9" w:rsidRDefault="002B40FD" w:rsidP="00BF25FE">
      <w:pPr>
        <w:pStyle w:val="ListParagraph"/>
        <w:numPr>
          <w:ilvl w:val="1"/>
          <w:numId w:val="18"/>
        </w:numPr>
        <w:contextualSpacing w:val="0"/>
        <w:rPr>
          <w:rFonts w:cs="Arial"/>
          <w:szCs w:val="24"/>
        </w:rPr>
      </w:pPr>
      <w:r w:rsidRPr="00C80A52">
        <w:rPr>
          <w:rFonts w:cs="Arial"/>
          <w:szCs w:val="24"/>
        </w:rPr>
        <w:t>Environmental Protection Law (Croatia);</w:t>
      </w:r>
    </w:p>
    <w:p w14:paraId="2785B162" w14:textId="7FF4AF6D" w:rsidR="00D61B45" w:rsidRPr="00B958A9" w:rsidRDefault="002B40FD" w:rsidP="00BF25FE">
      <w:pPr>
        <w:pStyle w:val="ListParagraph"/>
        <w:numPr>
          <w:ilvl w:val="1"/>
          <w:numId w:val="18"/>
        </w:numPr>
        <w:contextualSpacing w:val="0"/>
        <w:rPr>
          <w:rFonts w:cs="Arial"/>
          <w:szCs w:val="24"/>
        </w:rPr>
      </w:pPr>
      <w:r w:rsidRPr="00C80A52">
        <w:rPr>
          <w:rFonts w:cs="Arial"/>
          <w:szCs w:val="24"/>
        </w:rPr>
        <w:t>Labour Law provisions including collective agreements and standards regulating payment of remuneration and occupational safety standards (Croatia);</w:t>
      </w:r>
    </w:p>
    <w:p w14:paraId="4EF2C3C8" w14:textId="5BB75617" w:rsidR="00D61B45" w:rsidRPr="00B958A9" w:rsidRDefault="00D61B45" w:rsidP="00BF25FE">
      <w:pPr>
        <w:pStyle w:val="ListParagraph"/>
        <w:numPr>
          <w:ilvl w:val="1"/>
          <w:numId w:val="18"/>
        </w:numPr>
        <w:contextualSpacing w:val="0"/>
        <w:rPr>
          <w:rFonts w:cs="Arial"/>
          <w:szCs w:val="24"/>
        </w:rPr>
      </w:pPr>
      <w:r w:rsidRPr="00C80A52">
        <w:rPr>
          <w:rFonts w:cs="Arial"/>
          <w:szCs w:val="24"/>
        </w:rPr>
        <w:t>Competition Law (the Netherlands);</w:t>
      </w:r>
    </w:p>
    <w:p w14:paraId="524DBEED" w14:textId="35006546" w:rsidR="00D61B45" w:rsidRPr="00B958A9" w:rsidRDefault="00D61B45" w:rsidP="00BF25FE">
      <w:pPr>
        <w:pStyle w:val="ListParagraph"/>
        <w:numPr>
          <w:ilvl w:val="1"/>
          <w:numId w:val="18"/>
        </w:numPr>
        <w:contextualSpacing w:val="0"/>
        <w:rPr>
          <w:rFonts w:cs="Arial"/>
          <w:szCs w:val="24"/>
        </w:rPr>
      </w:pPr>
      <w:r w:rsidRPr="00C80A52">
        <w:rPr>
          <w:rFonts w:cs="Arial"/>
          <w:szCs w:val="24"/>
        </w:rPr>
        <w:t>a confidentiality undertaking (France);</w:t>
      </w:r>
    </w:p>
    <w:p w14:paraId="0BA259D3" w14:textId="68D119CB" w:rsidR="00D61B45" w:rsidRPr="00B958A9" w:rsidRDefault="002B40FD" w:rsidP="00BF25FE">
      <w:pPr>
        <w:pStyle w:val="ListParagraph"/>
        <w:numPr>
          <w:ilvl w:val="1"/>
          <w:numId w:val="18"/>
        </w:numPr>
        <w:contextualSpacing w:val="0"/>
        <w:rPr>
          <w:rFonts w:cs="Arial"/>
          <w:szCs w:val="24"/>
        </w:rPr>
      </w:pPr>
      <w:r w:rsidRPr="00C80A52">
        <w:rPr>
          <w:rFonts w:cs="Arial"/>
          <w:szCs w:val="24"/>
        </w:rPr>
        <w:t>regulations concerning intellectual property rights (the Czech Republic);</w:t>
      </w:r>
    </w:p>
    <w:p w14:paraId="6E5CB151" w14:textId="7DC6157C" w:rsidR="00D61B45" w:rsidRPr="00B958A9" w:rsidRDefault="00D61B45" w:rsidP="00BF25FE">
      <w:pPr>
        <w:pStyle w:val="ListParagraph"/>
        <w:numPr>
          <w:ilvl w:val="1"/>
          <w:numId w:val="18"/>
        </w:numPr>
        <w:contextualSpacing w:val="0"/>
        <w:rPr>
          <w:rFonts w:cs="Arial"/>
          <w:szCs w:val="24"/>
        </w:rPr>
      </w:pPr>
      <w:r w:rsidRPr="00C80A52">
        <w:rPr>
          <w:rFonts w:cs="Arial"/>
          <w:szCs w:val="24"/>
        </w:rPr>
        <w:t>professional and ethical standards (Croatia).</w:t>
      </w:r>
    </w:p>
    <w:p w14:paraId="128B554F" w14:textId="3A1BB87E" w:rsidR="00D61B45" w:rsidRPr="00B958A9" w:rsidRDefault="00D61B45" w:rsidP="00BF25FE">
      <w:pPr>
        <w:pStyle w:val="ListParagraph"/>
        <w:numPr>
          <w:ilvl w:val="0"/>
          <w:numId w:val="17"/>
        </w:numPr>
        <w:spacing w:line="269" w:lineRule="auto"/>
        <w:ind w:left="737" w:hanging="737"/>
        <w:rPr>
          <w:rFonts w:cs="Arial"/>
          <w:b/>
          <w:i/>
          <w:szCs w:val="24"/>
        </w:rPr>
      </w:pPr>
      <w:bookmarkStart w:id="10" w:name="_Hlk19026169"/>
      <w:r w:rsidRPr="00C80A52">
        <w:rPr>
          <w:rFonts w:cs="Arial"/>
          <w:b/>
          <w:bCs/>
          <w:i/>
          <w:iCs/>
          <w:szCs w:val="24"/>
        </w:rPr>
        <w:lastRenderedPageBreak/>
        <w:t>The non-performance or improper performance of another contract as grave professional misconduct</w:t>
      </w:r>
    </w:p>
    <w:bookmarkEnd w:id="10"/>
    <w:p w14:paraId="11B66DBD" w14:textId="624096AF" w:rsidR="00D61B45" w:rsidRPr="00B958A9" w:rsidRDefault="00D61B45" w:rsidP="00D61B45">
      <w:pPr>
        <w:spacing w:line="269" w:lineRule="auto"/>
        <w:rPr>
          <w:rFonts w:cs="Arial"/>
          <w:szCs w:val="24"/>
        </w:rPr>
      </w:pPr>
      <w:r w:rsidRPr="00C80A52">
        <w:rPr>
          <w:rFonts w:cs="Arial"/>
          <w:szCs w:val="24"/>
        </w:rPr>
        <w:t xml:space="preserve">In connection with the exclusion ground referred to in Article 57 section 4 item g) of Directive </w:t>
      </w:r>
      <w:bookmarkStart w:id="11" w:name="_Hlk14300827"/>
      <w:r w:rsidRPr="00C80A52">
        <w:rPr>
          <w:rFonts w:cs="Arial"/>
          <w:szCs w:val="24"/>
        </w:rPr>
        <w:t xml:space="preserve">2014/24/EU (cf. Chapter III below), </w:t>
      </w:r>
      <w:r w:rsidRPr="00C80A52">
        <w:rPr>
          <w:rFonts w:cs="Arial"/>
          <w:b/>
          <w:bCs/>
          <w:szCs w:val="24"/>
        </w:rPr>
        <w:t>it is generally considered that</w:t>
      </w:r>
      <w:bookmarkEnd w:id="11"/>
      <w:r w:rsidRPr="00C80A52">
        <w:rPr>
          <w:rFonts w:cs="Arial"/>
          <w:b/>
          <w:bCs/>
          <w:szCs w:val="24"/>
        </w:rPr>
        <w:t xml:space="preserve"> the non-performance or improper performance of another contract will be examined as part of that separate ground.</w:t>
      </w:r>
      <w:r w:rsidRPr="00C80A52">
        <w:rPr>
          <w:rFonts w:cs="Arial"/>
          <w:szCs w:val="24"/>
        </w:rPr>
        <w:t xml:space="preserve"> Therefore, it is assumed in the majority of the states that such action or omission of the economic operator will not be treated as grave professional misconduct</w:t>
      </w:r>
      <w:r w:rsidR="001626C4" w:rsidRPr="00C80A52">
        <w:rPr>
          <w:rStyle w:val="FootnoteReference"/>
          <w:rFonts w:cs="Arial"/>
          <w:szCs w:val="24"/>
        </w:rPr>
        <w:footnoteReference w:id="11"/>
      </w:r>
      <w:r w:rsidRPr="00C80A52">
        <w:rPr>
          <w:rFonts w:cs="Arial"/>
          <w:szCs w:val="24"/>
        </w:rPr>
        <w:t>.</w:t>
      </w:r>
    </w:p>
    <w:p w14:paraId="4999845A" w14:textId="5D4BFCC5" w:rsidR="00D61B45" w:rsidRPr="00B958A9" w:rsidRDefault="00D61B45" w:rsidP="00D61B45">
      <w:pPr>
        <w:rPr>
          <w:rFonts w:cs="Arial"/>
          <w:szCs w:val="24"/>
        </w:rPr>
      </w:pPr>
      <w:r w:rsidRPr="00C80A52">
        <w:rPr>
          <w:rFonts w:cs="Arial"/>
          <w:b/>
          <w:bCs/>
          <w:szCs w:val="24"/>
        </w:rPr>
        <w:t>In some states (among others, Belgium, Germany</w:t>
      </w:r>
      <w:r w:rsidR="00C01821" w:rsidRPr="00C80A52">
        <w:rPr>
          <w:rFonts w:cs="Arial"/>
          <w:b/>
          <w:bCs/>
          <w:szCs w:val="24"/>
        </w:rPr>
        <w:t>, Italy</w:t>
      </w:r>
      <w:r w:rsidRPr="00C80A52">
        <w:rPr>
          <w:rFonts w:cs="Arial"/>
          <w:b/>
          <w:bCs/>
          <w:szCs w:val="24"/>
        </w:rPr>
        <w:t xml:space="preserve">) </w:t>
      </w:r>
      <w:r w:rsidRPr="00C80A52">
        <w:rPr>
          <w:rFonts w:cs="Arial"/>
          <w:szCs w:val="24"/>
        </w:rPr>
        <w:t xml:space="preserve">it follows, however, from the </w:t>
      </w:r>
      <w:r w:rsidR="00C01821" w:rsidRPr="00C80A52">
        <w:rPr>
          <w:rFonts w:cs="Arial"/>
          <w:szCs w:val="24"/>
        </w:rPr>
        <w:t xml:space="preserve">provisions of the law itself or from </w:t>
      </w:r>
      <w:r w:rsidRPr="00C80A52">
        <w:rPr>
          <w:rFonts w:cs="Arial"/>
          <w:szCs w:val="24"/>
        </w:rPr>
        <w:t>case law that a violation of another, prior contract may be regarded as grave professional misconduct. In consequence, it is possible in such states to qualify certain acts as ones that are subject to more than one exclusion ground, i.e. the ground related to grave professional misconduct and the ground referred to in Article 57 section 4 item g) of Directive 2014/24/EU.</w:t>
      </w:r>
    </w:p>
    <w:p w14:paraId="4FFE8F01" w14:textId="7DF83E73" w:rsidR="00D61B45" w:rsidRPr="00B958A9" w:rsidRDefault="00D61B45" w:rsidP="00BF25FE">
      <w:pPr>
        <w:pStyle w:val="ListParagraph"/>
        <w:numPr>
          <w:ilvl w:val="0"/>
          <w:numId w:val="17"/>
        </w:numPr>
        <w:spacing w:line="269" w:lineRule="auto"/>
        <w:ind w:left="737" w:hanging="737"/>
        <w:rPr>
          <w:rFonts w:cs="Arial"/>
          <w:b/>
          <w:i/>
          <w:szCs w:val="24"/>
        </w:rPr>
      </w:pPr>
      <w:bookmarkStart w:id="12" w:name="_Hlk19026341"/>
      <w:r w:rsidRPr="00C80A52">
        <w:rPr>
          <w:rFonts w:cs="Arial"/>
          <w:b/>
          <w:bCs/>
          <w:i/>
          <w:iCs/>
          <w:szCs w:val="24"/>
        </w:rPr>
        <w:t>The provision of false information to the contracting authority as part of the public procurement procedure as grave professional misconduct</w:t>
      </w:r>
      <w:bookmarkEnd w:id="12"/>
    </w:p>
    <w:p w14:paraId="71A0D4C9" w14:textId="60A4B5C2" w:rsidR="00D61B45" w:rsidRPr="00B958A9" w:rsidRDefault="00D61B45" w:rsidP="00D61B45">
      <w:pPr>
        <w:spacing w:line="269" w:lineRule="auto"/>
        <w:rPr>
          <w:rFonts w:cs="Arial"/>
          <w:szCs w:val="24"/>
        </w:rPr>
      </w:pPr>
      <w:r w:rsidRPr="00C80A52">
        <w:rPr>
          <w:rFonts w:cs="Arial"/>
          <w:szCs w:val="24"/>
        </w:rPr>
        <w:t xml:space="preserve">In connection with the exclusion ground related to serious misrepresentation and the ground referred to in Article 57 section 4 item i) of Directive 2014/24/EU (cf. Chapter IV below) </w:t>
      </w:r>
      <w:r w:rsidRPr="00C80A52">
        <w:rPr>
          <w:rFonts w:cs="Arial"/>
          <w:b/>
          <w:bCs/>
          <w:szCs w:val="24"/>
        </w:rPr>
        <w:t>it is generally considered that the provision of false information to the contracting authority in the course of the procedure will be examined as part of that separate ground.</w:t>
      </w:r>
      <w:r w:rsidRPr="00C80A52">
        <w:rPr>
          <w:rFonts w:cs="Arial"/>
          <w:szCs w:val="24"/>
        </w:rPr>
        <w:t xml:space="preserve"> Therefore, it is assumed in the majority of the states that such action or omission of the economic operator will not be treated as grave professional misconduct. </w:t>
      </w:r>
    </w:p>
    <w:p w14:paraId="2474F525" w14:textId="1B4550B1" w:rsidR="00D61B45" w:rsidRPr="00B958A9" w:rsidRDefault="00D61B45" w:rsidP="00D61B45">
      <w:pPr>
        <w:spacing w:line="269" w:lineRule="auto"/>
        <w:rPr>
          <w:rFonts w:cs="Arial"/>
          <w:szCs w:val="24"/>
        </w:rPr>
      </w:pPr>
      <w:r w:rsidRPr="00C80A52">
        <w:rPr>
          <w:rFonts w:cs="Arial"/>
          <w:b/>
          <w:bCs/>
          <w:szCs w:val="24"/>
        </w:rPr>
        <w:t>In Belgium</w:t>
      </w:r>
      <w:r w:rsidRPr="00C80A52">
        <w:rPr>
          <w:rFonts w:cs="Arial"/>
          <w:szCs w:val="24"/>
        </w:rPr>
        <w:t>, however, it follows from the case law that the provision of false information to the contracting authority may be considered as grave professional misconduct. In consequence, it is possible in such state to qualify certain acts as ones that are subject to more than one exclusion ground, i.e. the ground described in Article 57 section 4 item c) and h) or i) of Directive 2014/24/EU.</w:t>
      </w:r>
    </w:p>
    <w:p w14:paraId="01F0EC62" w14:textId="666CCABB" w:rsidR="00D61B45" w:rsidRPr="00B958A9" w:rsidRDefault="00D61B45" w:rsidP="00BF25FE">
      <w:pPr>
        <w:pStyle w:val="ListParagraph"/>
        <w:numPr>
          <w:ilvl w:val="0"/>
          <w:numId w:val="17"/>
        </w:numPr>
        <w:spacing w:line="269" w:lineRule="auto"/>
        <w:ind w:left="737" w:hanging="737"/>
        <w:rPr>
          <w:rFonts w:cs="Arial"/>
          <w:szCs w:val="24"/>
        </w:rPr>
      </w:pPr>
      <w:bookmarkStart w:id="13" w:name="_Hlk19027555"/>
      <w:r w:rsidRPr="00C80A52">
        <w:rPr>
          <w:rFonts w:cs="Arial"/>
          <w:b/>
          <w:bCs/>
          <w:i/>
          <w:iCs/>
          <w:szCs w:val="24"/>
        </w:rPr>
        <w:lastRenderedPageBreak/>
        <w:t>The degree/type of fault required in the case law of national authorities</w:t>
      </w:r>
    </w:p>
    <w:bookmarkEnd w:id="13"/>
    <w:p w14:paraId="76AA5C4B" w14:textId="581E0104" w:rsidR="00D61B45" w:rsidRPr="00B958A9" w:rsidRDefault="00D61B45" w:rsidP="008D66AC">
      <w:pPr>
        <w:spacing w:line="269" w:lineRule="auto"/>
        <w:rPr>
          <w:rFonts w:cs="Arial"/>
          <w:szCs w:val="24"/>
        </w:rPr>
      </w:pPr>
      <w:r w:rsidRPr="00C80A52">
        <w:rPr>
          <w:rFonts w:cs="Arial"/>
          <w:szCs w:val="24"/>
        </w:rPr>
        <w:t xml:space="preserve">The application of the exclusion ground related to grave professional misconduct is relatively rare. </w:t>
      </w:r>
      <w:r w:rsidR="00B45508" w:rsidRPr="00C80A52">
        <w:rPr>
          <w:rFonts w:cs="Arial"/>
          <w:szCs w:val="24"/>
        </w:rPr>
        <w:t>There are</w:t>
      </w:r>
      <w:r w:rsidRPr="00C80A52">
        <w:rPr>
          <w:rFonts w:cs="Arial"/>
          <w:szCs w:val="24"/>
        </w:rPr>
        <w:t xml:space="preserve"> states (</w:t>
      </w:r>
      <w:r w:rsidR="00B45508" w:rsidRPr="00C80A52">
        <w:rPr>
          <w:rFonts w:cs="Arial"/>
          <w:szCs w:val="24"/>
        </w:rPr>
        <w:t xml:space="preserve">e.g. </w:t>
      </w:r>
      <w:r w:rsidRPr="00C80A52">
        <w:rPr>
          <w:rFonts w:cs="Arial"/>
          <w:szCs w:val="24"/>
        </w:rPr>
        <w:t>Luxembourg, the Czech Republic, Hungary</w:t>
      </w:r>
      <w:r w:rsidR="00B45508" w:rsidRPr="00C80A52">
        <w:rPr>
          <w:rFonts w:cs="Arial"/>
          <w:szCs w:val="24"/>
        </w:rPr>
        <w:t>,</w:t>
      </w:r>
      <w:r w:rsidRPr="00C80A52">
        <w:rPr>
          <w:rFonts w:cs="Arial"/>
          <w:szCs w:val="24"/>
        </w:rPr>
        <w:t xml:space="preserve"> and Iceland) </w:t>
      </w:r>
      <w:r w:rsidR="00B45508" w:rsidRPr="00C80A52">
        <w:rPr>
          <w:rFonts w:cs="Arial"/>
          <w:szCs w:val="24"/>
        </w:rPr>
        <w:t>in which contracting authorities have not applied this even once</w:t>
      </w:r>
      <w:r w:rsidRPr="00C80A52">
        <w:rPr>
          <w:rFonts w:cs="Arial"/>
          <w:szCs w:val="24"/>
        </w:rPr>
        <w:t xml:space="preserve">. </w:t>
      </w:r>
      <w:r w:rsidR="00B45508" w:rsidRPr="00C80A52">
        <w:rPr>
          <w:rFonts w:cs="Arial"/>
          <w:szCs w:val="24"/>
        </w:rPr>
        <w:t xml:space="preserve">For example, the case law in </w:t>
      </w:r>
      <w:r w:rsidRPr="00C80A52">
        <w:rPr>
          <w:rFonts w:cs="Arial"/>
          <w:szCs w:val="24"/>
        </w:rPr>
        <w:t>the remaining states</w:t>
      </w:r>
      <w:r w:rsidR="00B45508" w:rsidRPr="00C80A52">
        <w:rPr>
          <w:rFonts w:cs="Arial"/>
          <w:szCs w:val="24"/>
        </w:rPr>
        <w:t xml:space="preserve"> can point to certain interpretational </w:t>
      </w:r>
      <w:r w:rsidRPr="00C80A52">
        <w:rPr>
          <w:rFonts w:cs="Arial"/>
          <w:szCs w:val="24"/>
        </w:rPr>
        <w:t xml:space="preserve">guidelines determining the degree of fault necessary in order to apply the </w:t>
      </w:r>
      <w:r w:rsidR="00B45508" w:rsidRPr="00C80A52">
        <w:rPr>
          <w:rFonts w:cs="Arial"/>
          <w:szCs w:val="24"/>
        </w:rPr>
        <w:t xml:space="preserve">discussed </w:t>
      </w:r>
      <w:r w:rsidRPr="00C80A52">
        <w:rPr>
          <w:rFonts w:cs="Arial"/>
          <w:szCs w:val="24"/>
        </w:rPr>
        <w:t>exclusion ground.</w:t>
      </w:r>
    </w:p>
    <w:p w14:paraId="0085D891" w14:textId="79B70FC6" w:rsidR="00321DC4" w:rsidRPr="00B958A9" w:rsidRDefault="00284568" w:rsidP="008D66AC">
      <w:pPr>
        <w:rPr>
          <w:rFonts w:cs="Arial"/>
          <w:szCs w:val="24"/>
        </w:rPr>
      </w:pPr>
      <w:r w:rsidRPr="006F1C3A">
        <w:rPr>
          <w:rFonts w:cs="Arial"/>
          <w:noProof/>
          <w:sz w:val="20"/>
          <w:lang w:eastAsia="en-GB"/>
        </w:rPr>
        <w:drawing>
          <wp:anchor distT="0" distB="0" distL="114300" distR="114300" simplePos="0" relativeHeight="251659776" behindDoc="0" locked="0" layoutInCell="1" allowOverlap="1" wp14:anchorId="1B1F33DF" wp14:editId="5A5059AE">
            <wp:simplePos x="0" y="0"/>
            <wp:positionH relativeFrom="margin">
              <wp:posOffset>-5080</wp:posOffset>
            </wp:positionH>
            <wp:positionV relativeFrom="page">
              <wp:posOffset>3841750</wp:posOffset>
            </wp:positionV>
            <wp:extent cx="6149975" cy="3470910"/>
            <wp:effectExtent l="0" t="0" r="3175" b="15240"/>
            <wp:wrapSquare wrapText="bothSides"/>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C80A52">
        <w:rPr>
          <w:rFonts w:cs="Arial"/>
          <w:szCs w:val="24"/>
        </w:rPr>
        <w:t xml:space="preserve">It is worth mentioning here that in the ruling in the </w:t>
      </w:r>
      <w:proofErr w:type="spellStart"/>
      <w:r w:rsidRPr="00C80A52">
        <w:rPr>
          <w:rFonts w:cs="Arial"/>
          <w:i/>
          <w:iCs/>
          <w:szCs w:val="24"/>
        </w:rPr>
        <w:t>Forposta</w:t>
      </w:r>
      <w:proofErr w:type="spellEnd"/>
      <w:r w:rsidRPr="00C80A52">
        <w:rPr>
          <w:rFonts w:cs="Arial"/>
          <w:i/>
          <w:iCs/>
          <w:szCs w:val="24"/>
        </w:rPr>
        <w:t xml:space="preserve"> </w:t>
      </w:r>
      <w:r w:rsidRPr="00C80A52">
        <w:rPr>
          <w:rFonts w:cs="Arial"/>
          <w:szCs w:val="24"/>
        </w:rPr>
        <w:t xml:space="preserve">case, though issued in the context of Directive 2004/18/EC but still valid in this regard, the CJEU ruled that </w:t>
      </w:r>
      <w:r w:rsidRPr="00C80A52">
        <w:rPr>
          <w:rFonts w:cs="Arial"/>
          <w:i/>
          <w:iCs/>
          <w:szCs w:val="24"/>
        </w:rPr>
        <w:t>the concept of ‘grave misconduct must be understood as normally referring to conduct by a given economic operator which denotes a wrongful intent or negligence of a certain gravity on its part</w:t>
      </w:r>
      <w:r w:rsidRPr="00C80A52">
        <w:rPr>
          <w:rFonts w:cs="Arial"/>
          <w:szCs w:val="24"/>
        </w:rPr>
        <w:t xml:space="preserve">. As a result, 10 states indicated “negligence of a certain gravity” as the minimum degree of fault required to apply this exclusion ground. In the case of 8 further states, mere negligence has been determined as sufficient to apply the analysed ground. </w:t>
      </w:r>
      <w:r w:rsidR="00B45508" w:rsidRPr="00C80A52">
        <w:rPr>
          <w:rFonts w:cs="Arial"/>
          <w:szCs w:val="24"/>
        </w:rPr>
        <w:t xml:space="preserve">What is interesting is that in the further </w:t>
      </w:r>
      <w:r w:rsidRPr="00C80A52">
        <w:rPr>
          <w:rFonts w:cs="Arial"/>
          <w:szCs w:val="24"/>
        </w:rPr>
        <w:t xml:space="preserve">8 states the degree of fault was of no significance for </w:t>
      </w:r>
      <w:r w:rsidR="00B45508" w:rsidRPr="00C80A52">
        <w:rPr>
          <w:rFonts w:cs="Arial"/>
          <w:szCs w:val="24"/>
        </w:rPr>
        <w:t xml:space="preserve">the possibility of </w:t>
      </w:r>
      <w:r w:rsidRPr="00C80A52">
        <w:rPr>
          <w:rFonts w:cs="Arial"/>
          <w:szCs w:val="24"/>
        </w:rPr>
        <w:t>excluding the economic operator based on such ground.</w:t>
      </w:r>
    </w:p>
    <w:p w14:paraId="073F6BED" w14:textId="237B2F7F" w:rsidR="00884925" w:rsidRPr="00B958A9" w:rsidRDefault="00884925" w:rsidP="00BF25FE">
      <w:pPr>
        <w:pStyle w:val="ListParagraph"/>
        <w:numPr>
          <w:ilvl w:val="0"/>
          <w:numId w:val="17"/>
        </w:numPr>
        <w:spacing w:line="269" w:lineRule="auto"/>
        <w:ind w:left="737" w:hanging="737"/>
        <w:rPr>
          <w:rFonts w:cs="Arial"/>
          <w:szCs w:val="24"/>
        </w:rPr>
      </w:pPr>
      <w:bookmarkStart w:id="14" w:name="_Hlk19028246"/>
      <w:r w:rsidRPr="00C80A52">
        <w:rPr>
          <w:rFonts w:cs="Arial"/>
          <w:b/>
          <w:bCs/>
          <w:i/>
          <w:iCs/>
          <w:szCs w:val="24"/>
        </w:rPr>
        <w:t>Examples of “appropriate” means in the case law and the doctrine</w:t>
      </w:r>
    </w:p>
    <w:bookmarkEnd w:id="14"/>
    <w:p w14:paraId="3F397B09" w14:textId="77CBF110" w:rsidR="00884925" w:rsidRPr="00B958A9" w:rsidRDefault="0010328D" w:rsidP="00884925">
      <w:pPr>
        <w:spacing w:line="269" w:lineRule="auto"/>
        <w:rPr>
          <w:rFonts w:cs="Arial"/>
          <w:szCs w:val="24"/>
        </w:rPr>
      </w:pPr>
      <w:r w:rsidRPr="00C80A52">
        <w:rPr>
          <w:rFonts w:cs="Arial"/>
          <w:szCs w:val="24"/>
        </w:rPr>
        <w:lastRenderedPageBreak/>
        <w:t>It is assumed that contracting authorities have a high degree of discretion in determining which means are “appropriate” to demonstrate that the economic operator is guilty of grave professional misconduct.</w:t>
      </w:r>
    </w:p>
    <w:p w14:paraId="2810DC82" w14:textId="2785AB78" w:rsidR="0010328D" w:rsidRPr="00B958A9" w:rsidRDefault="0010328D" w:rsidP="00884925">
      <w:pPr>
        <w:spacing w:line="269" w:lineRule="auto"/>
        <w:rPr>
          <w:rFonts w:cs="Arial"/>
          <w:szCs w:val="24"/>
        </w:rPr>
      </w:pPr>
      <w:r w:rsidRPr="00C80A52">
        <w:rPr>
          <w:rFonts w:cs="Arial"/>
          <w:szCs w:val="24"/>
        </w:rPr>
        <w:t>In the majority of the states (17 states) it is possible to determine the occurrence of “grave professional misconduct” based on generally admissible means of evidence such as expert opinions, evidence in the form of private documents, or witness statements.</w:t>
      </w:r>
    </w:p>
    <w:p w14:paraId="1B31E8EE" w14:textId="0531A5BF" w:rsidR="00884925" w:rsidRPr="00B958A9" w:rsidRDefault="00884925" w:rsidP="00884925">
      <w:pPr>
        <w:spacing w:line="269" w:lineRule="auto"/>
        <w:rPr>
          <w:rFonts w:cs="Arial"/>
          <w:szCs w:val="24"/>
        </w:rPr>
      </w:pPr>
      <w:r w:rsidRPr="00C80A52">
        <w:rPr>
          <w:rFonts w:cs="Arial"/>
          <w:szCs w:val="24"/>
        </w:rPr>
        <w:t>In several states the issue of a ruling by a court or public administration authority against a given economic operator stating “grave professional misconduct” is deemed as sufficient.</w:t>
      </w:r>
    </w:p>
    <w:p w14:paraId="3FC7584D" w14:textId="185F48BF" w:rsidR="00884925" w:rsidRPr="00B958A9" w:rsidRDefault="004D415E" w:rsidP="00884925">
      <w:pPr>
        <w:spacing w:line="269" w:lineRule="auto"/>
        <w:rPr>
          <w:rFonts w:cs="Arial"/>
          <w:szCs w:val="24"/>
        </w:rPr>
      </w:pPr>
      <w:r w:rsidRPr="00C80A52">
        <w:rPr>
          <w:rFonts w:cs="Arial"/>
          <w:b/>
          <w:bCs/>
          <w:szCs w:val="24"/>
        </w:rPr>
        <w:t>In exceptional cases the mere institution of penal proceedings may be deemed as sufficient for the purpose of exclusion due to grave professional misconduct.</w:t>
      </w:r>
      <w:r w:rsidRPr="00C80A52">
        <w:rPr>
          <w:rFonts w:cs="Arial"/>
          <w:szCs w:val="24"/>
        </w:rPr>
        <w:t xml:space="preserve"> In Austria, in particular the submission of an indictment may be the ground for the economic operator’s exclusion. Certain doctrine representatives in Germany also share this position. In turn, in Sweden the exclusion ground may be the institution of proceedings by the competition authority.</w:t>
      </w:r>
    </w:p>
    <w:p w14:paraId="4761FEA0" w14:textId="77777777" w:rsidR="00484791" w:rsidRPr="00B958A9" w:rsidRDefault="00484791" w:rsidP="00BF25FE">
      <w:pPr>
        <w:pStyle w:val="ListParagraph"/>
        <w:numPr>
          <w:ilvl w:val="0"/>
          <w:numId w:val="17"/>
        </w:numPr>
        <w:spacing w:line="269" w:lineRule="auto"/>
        <w:ind w:left="737" w:hanging="737"/>
        <w:rPr>
          <w:rFonts w:cs="Arial"/>
          <w:b/>
          <w:i/>
          <w:szCs w:val="24"/>
        </w:rPr>
      </w:pPr>
      <w:r w:rsidRPr="00C80A52">
        <w:rPr>
          <w:rFonts w:cs="Arial"/>
          <w:b/>
          <w:bCs/>
          <w:i/>
          <w:iCs/>
          <w:szCs w:val="24"/>
        </w:rPr>
        <w:t xml:space="preserve">Exclusion period </w:t>
      </w:r>
    </w:p>
    <w:p w14:paraId="6466A6D1" w14:textId="7736E333" w:rsidR="00A0431A" w:rsidRPr="00B958A9" w:rsidRDefault="00A0431A" w:rsidP="00A0431A">
      <w:pPr>
        <w:spacing w:line="269" w:lineRule="auto"/>
        <w:rPr>
          <w:rFonts w:cs="Arial"/>
          <w:szCs w:val="24"/>
        </w:rPr>
      </w:pPr>
      <w:r w:rsidRPr="00C80A52">
        <w:rPr>
          <w:rFonts w:cs="Arial"/>
          <w:szCs w:val="24"/>
        </w:rPr>
        <w:t xml:space="preserve">In the majority of the states the exclusion period begins to run from the date of the violation constituting the exclusion ground. 11 states </w:t>
      </w:r>
      <w:r w:rsidR="00B45508" w:rsidRPr="00C80A52">
        <w:rPr>
          <w:rFonts w:cs="Arial"/>
          <w:szCs w:val="24"/>
        </w:rPr>
        <w:t xml:space="preserve">deemed </w:t>
      </w:r>
      <w:r w:rsidRPr="00C80A52">
        <w:rPr>
          <w:rFonts w:cs="Arial"/>
          <w:szCs w:val="24"/>
        </w:rPr>
        <w:t>that this period begins to run from the court ruling or decision of a public administration authority stating the existence of “</w:t>
      </w:r>
      <w:r w:rsidRPr="00C80A52">
        <w:rPr>
          <w:rFonts w:cs="Arial"/>
          <w:i/>
          <w:iCs/>
          <w:szCs w:val="24"/>
        </w:rPr>
        <w:t>grave professional misconduct</w:t>
      </w:r>
      <w:r w:rsidRPr="00C80A52">
        <w:rPr>
          <w:rFonts w:cs="Arial"/>
          <w:szCs w:val="24"/>
        </w:rPr>
        <w:t xml:space="preserve">” becoming final and binding. Only in Switzerland is the beginning of the exclusion period determined on a case-by-case basis. </w:t>
      </w:r>
    </w:p>
    <w:p w14:paraId="4927DB3D" w14:textId="3F582375" w:rsidR="00A0431A" w:rsidRPr="00B958A9" w:rsidRDefault="00A0431A" w:rsidP="00A0431A">
      <w:pPr>
        <w:spacing w:line="269" w:lineRule="auto"/>
        <w:rPr>
          <w:rFonts w:cs="Arial"/>
          <w:szCs w:val="24"/>
        </w:rPr>
      </w:pPr>
      <w:r w:rsidRPr="00C80A52">
        <w:rPr>
          <w:rFonts w:cs="Arial"/>
          <w:b/>
          <w:bCs/>
          <w:szCs w:val="24"/>
        </w:rPr>
        <w:t>In the majority of cases the exclusion period is 3 years (20 states).</w:t>
      </w:r>
      <w:r w:rsidRPr="00C80A52">
        <w:rPr>
          <w:rFonts w:cs="Arial"/>
          <w:szCs w:val="24"/>
        </w:rPr>
        <w:t xml:space="preserve"> This period is derived mainly from the wording of Article 57 section 7 of Directive 2014/24/EU. Only in the case of 3 states is this period 5 years. In a further 3 states it was shortened to 2 years. In Switzerland the provisions of law do not specify the exclusion period - it is determined on a case-by-case basis as part of the ruling issued in the given case.</w:t>
      </w:r>
    </w:p>
    <w:p w14:paraId="66F926A1" w14:textId="77777777" w:rsidR="009D2936" w:rsidRPr="00B958A9" w:rsidRDefault="00A0431A" w:rsidP="00A0431A">
      <w:pPr>
        <w:spacing w:line="269" w:lineRule="auto"/>
        <w:rPr>
          <w:rFonts w:cs="Arial"/>
          <w:szCs w:val="24"/>
        </w:rPr>
      </w:pPr>
      <w:r w:rsidRPr="006F1C3A">
        <w:rPr>
          <w:rFonts w:cs="Arial"/>
          <w:noProof/>
          <w:sz w:val="20"/>
          <w:lang w:eastAsia="en-GB"/>
        </w:rPr>
        <w:lastRenderedPageBreak/>
        <w:drawing>
          <wp:inline distT="0" distB="0" distL="0" distR="0" wp14:anchorId="311BE820" wp14:editId="63EE70D5">
            <wp:extent cx="6183086" cy="3820795"/>
            <wp:effectExtent l="0" t="0" r="8255" b="0"/>
            <wp:docPr id="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4AAECB" w14:textId="02573782" w:rsidR="00A0431A" w:rsidRPr="00B958A9" w:rsidRDefault="00A0431A" w:rsidP="00A0431A">
      <w:pPr>
        <w:spacing w:line="269" w:lineRule="auto"/>
        <w:rPr>
          <w:rFonts w:cs="Arial"/>
          <w:szCs w:val="24"/>
        </w:rPr>
      </w:pPr>
      <w:r w:rsidRPr="00C80A52">
        <w:rPr>
          <w:rFonts w:cs="Arial"/>
          <w:szCs w:val="24"/>
        </w:rPr>
        <w:t xml:space="preserve">In some states (Cyprus, Spain, France, Romania, Iceland, Bulgaria, Italy) it is possible to </w:t>
      </w:r>
      <w:r w:rsidRPr="00C80A52">
        <w:rPr>
          <w:rFonts w:cs="Arial"/>
          <w:b/>
          <w:bCs/>
          <w:szCs w:val="24"/>
        </w:rPr>
        <w:t xml:space="preserve">differentiate the exclusion period by way of a determination made by the courts or public administration authorities issuing a ruling in a given case </w:t>
      </w:r>
      <w:r w:rsidRPr="00C80A52">
        <w:rPr>
          <w:rFonts w:cs="Arial"/>
          <w:szCs w:val="24"/>
        </w:rPr>
        <w:t xml:space="preserve">that grave professional misconduct has occurred (i.e. a </w:t>
      </w:r>
      <w:proofErr w:type="spellStart"/>
      <w:r w:rsidRPr="00C80A52">
        <w:rPr>
          <w:rFonts w:cs="Arial"/>
          <w:szCs w:val="24"/>
        </w:rPr>
        <w:t>prejudication</w:t>
      </w:r>
      <w:proofErr w:type="spellEnd"/>
      <w:r w:rsidRPr="00C80A52">
        <w:rPr>
          <w:rFonts w:cs="Arial"/>
          <w:szCs w:val="24"/>
        </w:rPr>
        <w:t>).</w:t>
      </w:r>
    </w:p>
    <w:p w14:paraId="3E690B82" w14:textId="706422C4" w:rsidR="00A0431A" w:rsidRPr="00B958A9" w:rsidRDefault="00A0431A" w:rsidP="00D278D6">
      <w:pPr>
        <w:spacing w:line="269" w:lineRule="auto"/>
        <w:rPr>
          <w:rFonts w:cs="Arial"/>
          <w:szCs w:val="24"/>
        </w:rPr>
      </w:pPr>
      <w:r w:rsidRPr="00C80A52">
        <w:rPr>
          <w:rFonts w:cs="Arial"/>
          <w:szCs w:val="24"/>
        </w:rPr>
        <w:t xml:space="preserve">An interesting solution operates in Greece where the exclusion period is - as a general rule - 3 years. However, in the announcement of the given contract the contracting authority may shorten that period in accordance with the principle of proportionality. Similar solutions have been adopted in Sweden, Norway, and Austria. </w:t>
      </w:r>
    </w:p>
    <w:p w14:paraId="7A8297C9" w14:textId="790CF5DD" w:rsidR="00A0431A" w:rsidRPr="00B958A9" w:rsidRDefault="00E34686" w:rsidP="00A0431A">
      <w:pPr>
        <w:spacing w:line="269" w:lineRule="auto"/>
        <w:rPr>
          <w:rFonts w:cs="Arial"/>
          <w:szCs w:val="24"/>
        </w:rPr>
      </w:pPr>
      <w:r w:rsidRPr="00C80A52">
        <w:rPr>
          <w:rFonts w:cs="Arial"/>
          <w:szCs w:val="24"/>
        </w:rPr>
        <w:t>In turn, Lichtenstein has introduced an entirely different regulation according to which the exclusion is applicable solely to the procedure in which the contracting authority issued a decision on the exclusion and does not apply to future public procurement procedures.</w:t>
      </w:r>
    </w:p>
    <w:p w14:paraId="3D95F7D4" w14:textId="4440E0A6" w:rsidR="00A0431A" w:rsidRPr="00B958A9" w:rsidRDefault="00A0431A" w:rsidP="00A0431A">
      <w:pPr>
        <w:spacing w:line="269" w:lineRule="auto"/>
        <w:rPr>
          <w:rFonts w:cs="Arial"/>
          <w:szCs w:val="24"/>
        </w:rPr>
      </w:pPr>
      <w:r w:rsidRPr="006F1C3A">
        <w:rPr>
          <w:rFonts w:cs="Arial"/>
          <w:noProof/>
          <w:sz w:val="20"/>
          <w:lang w:eastAsia="en-GB"/>
        </w:rPr>
        <w:lastRenderedPageBreak/>
        <w:drawing>
          <wp:inline distT="0" distB="0" distL="0" distR="0" wp14:anchorId="07F715F4" wp14:editId="74B6C6E2">
            <wp:extent cx="6139180" cy="3784600"/>
            <wp:effectExtent l="0" t="0" r="13970" b="6350"/>
            <wp:docPr id="6"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07A6623" w14:textId="2A36BE41" w:rsidR="00321DC4" w:rsidRPr="00B958A9" w:rsidRDefault="00911487" w:rsidP="00BF25FE">
      <w:pPr>
        <w:pStyle w:val="ListParagraph"/>
        <w:numPr>
          <w:ilvl w:val="0"/>
          <w:numId w:val="17"/>
        </w:numPr>
        <w:spacing w:line="269" w:lineRule="auto"/>
        <w:ind w:left="737" w:hanging="737"/>
        <w:rPr>
          <w:rFonts w:cs="Arial"/>
          <w:b/>
          <w:i/>
          <w:szCs w:val="24"/>
        </w:rPr>
      </w:pPr>
      <w:r w:rsidRPr="00C80A52">
        <w:rPr>
          <w:rFonts w:cs="Arial"/>
          <w:b/>
          <w:bCs/>
          <w:i/>
          <w:iCs/>
          <w:szCs w:val="24"/>
        </w:rPr>
        <w:t>The self-cleaning option</w:t>
      </w:r>
    </w:p>
    <w:p w14:paraId="6F034707" w14:textId="1D15C7B0" w:rsidR="00911487" w:rsidRPr="00B958A9" w:rsidRDefault="00911487" w:rsidP="00911487">
      <w:pPr>
        <w:rPr>
          <w:rFonts w:cs="Arial"/>
          <w:color w:val="002060"/>
          <w:szCs w:val="24"/>
        </w:rPr>
      </w:pPr>
      <w:r w:rsidRPr="00C80A52">
        <w:rPr>
          <w:rFonts w:cs="Arial"/>
          <w:b/>
          <w:bCs/>
          <w:color w:val="002060"/>
          <w:szCs w:val="24"/>
        </w:rPr>
        <w:t>In all states the economic operator that is guilty of grave professional misconduct may make use of the self-cleaning procedure.</w:t>
      </w:r>
      <w:r w:rsidRPr="00C80A52">
        <w:rPr>
          <w:rFonts w:cs="Arial"/>
          <w:color w:val="002060"/>
          <w:szCs w:val="24"/>
        </w:rPr>
        <w:t xml:space="preserve"> The economic operator may do so by presenting evidence that the means undertaken thereby allow it to demonstrate its </w:t>
      </w:r>
      <w:r w:rsidR="002248F1" w:rsidRPr="00C80A52">
        <w:rPr>
          <w:rFonts w:cs="Arial"/>
          <w:color w:val="002060"/>
          <w:szCs w:val="24"/>
        </w:rPr>
        <w:t>reliability</w:t>
      </w:r>
      <w:r w:rsidRPr="00C80A52">
        <w:rPr>
          <w:rFonts w:cs="Arial"/>
          <w:color w:val="002060"/>
          <w:szCs w:val="24"/>
        </w:rPr>
        <w:t xml:space="preserve">. </w:t>
      </w:r>
    </w:p>
    <w:p w14:paraId="6BC8C011" w14:textId="3801C5A1" w:rsidR="00911487" w:rsidRPr="00B958A9" w:rsidRDefault="00911487" w:rsidP="00911487">
      <w:pPr>
        <w:rPr>
          <w:rFonts w:cs="Arial"/>
          <w:color w:val="002060"/>
          <w:szCs w:val="24"/>
        </w:rPr>
      </w:pPr>
      <w:r w:rsidRPr="00C80A52">
        <w:rPr>
          <w:rFonts w:cs="Arial"/>
          <w:color w:val="002060"/>
          <w:szCs w:val="24"/>
        </w:rPr>
        <w:t>The majority of states do not have a detailed regulation on self-cleaning. The assessment of evidence presented by economic operators should take the circumstances of each case into consideration with due respect given to the principle of proportionality.</w:t>
      </w:r>
    </w:p>
    <w:p w14:paraId="27F66E92" w14:textId="6498A8D1" w:rsidR="00D61B45" w:rsidRPr="00B958A9" w:rsidRDefault="00911487" w:rsidP="00911487">
      <w:pPr>
        <w:rPr>
          <w:rFonts w:cs="Arial"/>
          <w:color w:val="002060"/>
          <w:szCs w:val="24"/>
        </w:rPr>
      </w:pPr>
      <w:r w:rsidRPr="00C80A52">
        <w:rPr>
          <w:rFonts w:cs="Arial"/>
          <w:b/>
          <w:bCs/>
          <w:color w:val="002060"/>
          <w:szCs w:val="24"/>
        </w:rPr>
        <w:t xml:space="preserve">Economic operators may present the following evidence to demonstrate that the means taken thereby allow them to demonstrate their </w:t>
      </w:r>
      <w:r w:rsidR="006910CF" w:rsidRPr="00C80A52">
        <w:rPr>
          <w:rFonts w:cs="Arial"/>
          <w:b/>
          <w:bCs/>
          <w:color w:val="002060"/>
          <w:szCs w:val="24"/>
        </w:rPr>
        <w:t>reliability</w:t>
      </w:r>
      <w:r w:rsidR="00A51E74" w:rsidRPr="00C80A52">
        <w:rPr>
          <w:rStyle w:val="FootnoteReference"/>
          <w:rFonts w:cs="Arial"/>
          <w:b/>
          <w:bCs/>
          <w:color w:val="002060"/>
          <w:szCs w:val="24"/>
        </w:rPr>
        <w:footnoteReference w:id="12"/>
      </w:r>
      <w:r w:rsidRPr="00C80A52">
        <w:rPr>
          <w:rFonts w:cs="Arial"/>
          <w:b/>
          <w:bCs/>
          <w:color w:val="002060"/>
          <w:szCs w:val="24"/>
        </w:rPr>
        <w:t>:</w:t>
      </w:r>
    </w:p>
    <w:p w14:paraId="3B4AE629" w14:textId="6DE55257" w:rsidR="00911487" w:rsidRPr="00B958A9" w:rsidRDefault="00911487" w:rsidP="00BF25FE">
      <w:pPr>
        <w:pStyle w:val="ListParagraph"/>
        <w:numPr>
          <w:ilvl w:val="0"/>
          <w:numId w:val="20"/>
        </w:numPr>
        <w:ind w:left="851" w:hanging="851"/>
        <w:contextualSpacing w:val="0"/>
        <w:rPr>
          <w:rFonts w:cs="Arial"/>
          <w:b/>
          <w:color w:val="002060"/>
          <w:szCs w:val="24"/>
        </w:rPr>
      </w:pPr>
      <w:r w:rsidRPr="00C80A52">
        <w:rPr>
          <w:rFonts w:cs="Arial"/>
          <w:b/>
          <w:bCs/>
          <w:color w:val="002060"/>
          <w:szCs w:val="24"/>
        </w:rPr>
        <w:t xml:space="preserve">confirmation of redressing the damage, </w:t>
      </w:r>
      <w:r w:rsidRPr="00C80A52">
        <w:rPr>
          <w:rFonts w:cs="Arial"/>
          <w:color w:val="002060"/>
          <w:szCs w:val="24"/>
        </w:rPr>
        <w:t>e.g. by paying compensation (Germany);</w:t>
      </w:r>
    </w:p>
    <w:p w14:paraId="436C88C3" w14:textId="77777777" w:rsidR="00911487" w:rsidRPr="00B958A9" w:rsidRDefault="00911487" w:rsidP="00BF25FE">
      <w:pPr>
        <w:pStyle w:val="ListParagraph"/>
        <w:numPr>
          <w:ilvl w:val="0"/>
          <w:numId w:val="20"/>
        </w:numPr>
        <w:ind w:left="851" w:hanging="851"/>
        <w:contextualSpacing w:val="0"/>
        <w:rPr>
          <w:rFonts w:cs="Arial"/>
          <w:color w:val="002060"/>
          <w:szCs w:val="24"/>
        </w:rPr>
      </w:pPr>
      <w:r w:rsidRPr="00C80A52">
        <w:rPr>
          <w:rFonts w:cs="Arial"/>
          <w:b/>
          <w:bCs/>
          <w:color w:val="002060"/>
          <w:szCs w:val="24"/>
        </w:rPr>
        <w:lastRenderedPageBreak/>
        <w:t xml:space="preserve">undertaking HR activities, </w:t>
      </w:r>
      <w:r w:rsidRPr="00C80A52">
        <w:rPr>
          <w:rFonts w:cs="Arial"/>
          <w:color w:val="002060"/>
          <w:szCs w:val="24"/>
        </w:rPr>
        <w:t>including bringing consequences to bear against the economic operator’s employees and contractors that performed the acts or omissions resulting in the emergence of the ground, including the dismissal of such persons;</w:t>
      </w:r>
    </w:p>
    <w:p w14:paraId="35C780D3" w14:textId="77777777" w:rsidR="00911487" w:rsidRPr="00B958A9" w:rsidRDefault="00911487" w:rsidP="00BF25FE">
      <w:pPr>
        <w:pStyle w:val="ListParagraph"/>
        <w:numPr>
          <w:ilvl w:val="0"/>
          <w:numId w:val="20"/>
        </w:numPr>
        <w:ind w:left="851" w:hanging="851"/>
        <w:contextualSpacing w:val="0"/>
        <w:rPr>
          <w:rFonts w:cs="Arial"/>
          <w:color w:val="002060"/>
          <w:szCs w:val="24"/>
        </w:rPr>
      </w:pPr>
      <w:r w:rsidRPr="00C80A52">
        <w:rPr>
          <w:rFonts w:cs="Arial"/>
          <w:b/>
          <w:bCs/>
          <w:color w:val="002060"/>
          <w:szCs w:val="24"/>
        </w:rPr>
        <w:t xml:space="preserve">undertaking technical and organisational means </w:t>
      </w:r>
      <w:r w:rsidRPr="00C80A52">
        <w:rPr>
          <w:rFonts w:cs="Arial"/>
          <w:color w:val="002060"/>
          <w:szCs w:val="24"/>
        </w:rPr>
        <w:t>that are relevant for preventing further, improper conduct of the economic operator, such as:</w:t>
      </w:r>
    </w:p>
    <w:p w14:paraId="41A5EC47" w14:textId="77777777" w:rsidR="00911487" w:rsidRPr="00B958A9" w:rsidRDefault="00911487" w:rsidP="00BF25FE">
      <w:pPr>
        <w:pStyle w:val="ListParagraph"/>
        <w:numPr>
          <w:ilvl w:val="1"/>
          <w:numId w:val="18"/>
        </w:numPr>
        <w:contextualSpacing w:val="0"/>
        <w:rPr>
          <w:rFonts w:cs="Arial"/>
          <w:szCs w:val="24"/>
        </w:rPr>
      </w:pPr>
      <w:r w:rsidRPr="00C80A52">
        <w:rPr>
          <w:rFonts w:cs="Arial"/>
          <w:szCs w:val="24"/>
        </w:rPr>
        <w:t>carrying out induction training sessions for staff members to observe certain rules;</w:t>
      </w:r>
    </w:p>
    <w:p w14:paraId="15664087" w14:textId="77777777" w:rsidR="00911487" w:rsidRPr="00B958A9" w:rsidRDefault="00911487" w:rsidP="00BF25FE">
      <w:pPr>
        <w:pStyle w:val="ListParagraph"/>
        <w:numPr>
          <w:ilvl w:val="1"/>
          <w:numId w:val="18"/>
        </w:numPr>
        <w:contextualSpacing w:val="0"/>
        <w:rPr>
          <w:rFonts w:cs="Arial"/>
          <w:szCs w:val="24"/>
        </w:rPr>
      </w:pPr>
      <w:r w:rsidRPr="00C80A52">
        <w:rPr>
          <w:rFonts w:cs="Arial"/>
          <w:szCs w:val="24"/>
        </w:rPr>
        <w:t>introducing additional control and intra-organisational compliance systems, along with a periodical evaluation of such systems;</w:t>
      </w:r>
    </w:p>
    <w:p w14:paraId="0EC641A1" w14:textId="51A4B628" w:rsidR="00911487" w:rsidRPr="00B958A9" w:rsidRDefault="00911487" w:rsidP="00BF25FE">
      <w:pPr>
        <w:pStyle w:val="ListParagraph"/>
        <w:numPr>
          <w:ilvl w:val="0"/>
          <w:numId w:val="20"/>
        </w:numPr>
        <w:ind w:left="851" w:hanging="851"/>
        <w:contextualSpacing w:val="0"/>
        <w:rPr>
          <w:rFonts w:cs="Arial"/>
          <w:color w:val="002060"/>
          <w:szCs w:val="24"/>
        </w:rPr>
      </w:pPr>
      <w:r w:rsidRPr="00C80A52">
        <w:rPr>
          <w:rFonts w:cs="Arial"/>
          <w:b/>
          <w:bCs/>
          <w:color w:val="002060"/>
          <w:szCs w:val="24"/>
        </w:rPr>
        <w:t xml:space="preserve">the economic operator’s cooperation with </w:t>
      </w:r>
      <w:r w:rsidR="00B45508" w:rsidRPr="00C80A52">
        <w:rPr>
          <w:rFonts w:cs="Arial"/>
          <w:b/>
          <w:bCs/>
          <w:color w:val="002060"/>
          <w:szCs w:val="24"/>
        </w:rPr>
        <w:t xml:space="preserve">the contracting authority or with </w:t>
      </w:r>
      <w:r w:rsidRPr="00C80A52">
        <w:rPr>
          <w:rFonts w:cs="Arial"/>
          <w:color w:val="002060"/>
          <w:szCs w:val="24"/>
        </w:rPr>
        <w:t>law enforcement authorities or other authorities, e.g. anti-monopoly authorities;</w:t>
      </w:r>
    </w:p>
    <w:p w14:paraId="66D07502" w14:textId="69F79772" w:rsidR="00911487" w:rsidRPr="00B958A9" w:rsidRDefault="00911487" w:rsidP="00BF25FE">
      <w:pPr>
        <w:pStyle w:val="ListParagraph"/>
        <w:numPr>
          <w:ilvl w:val="0"/>
          <w:numId w:val="20"/>
        </w:numPr>
        <w:ind w:left="851" w:hanging="851"/>
        <w:contextualSpacing w:val="0"/>
        <w:rPr>
          <w:rFonts w:cs="Arial"/>
          <w:color w:val="002060"/>
          <w:szCs w:val="24"/>
        </w:rPr>
      </w:pPr>
      <w:r w:rsidRPr="00C80A52">
        <w:rPr>
          <w:rFonts w:cs="Arial"/>
          <w:b/>
          <w:bCs/>
          <w:color w:val="002060"/>
          <w:szCs w:val="24"/>
        </w:rPr>
        <w:t xml:space="preserve">submitting an appeal </w:t>
      </w:r>
      <w:r w:rsidRPr="00C80A52">
        <w:rPr>
          <w:rFonts w:cs="Arial"/>
          <w:color w:val="002060"/>
          <w:szCs w:val="24"/>
        </w:rPr>
        <w:t xml:space="preserve">against a non-final judgement under which the contracting authority questions the economic operator’s </w:t>
      </w:r>
      <w:r w:rsidR="002248F1" w:rsidRPr="00C80A52">
        <w:rPr>
          <w:rFonts w:cs="Arial"/>
          <w:color w:val="002060"/>
          <w:szCs w:val="24"/>
        </w:rPr>
        <w:t>reliability</w:t>
      </w:r>
      <w:r w:rsidRPr="00C80A52">
        <w:rPr>
          <w:rFonts w:cs="Arial"/>
          <w:color w:val="002060"/>
          <w:szCs w:val="24"/>
        </w:rPr>
        <w:t xml:space="preserve"> (Croatia).</w:t>
      </w:r>
    </w:p>
    <w:p w14:paraId="6E35B932" w14:textId="74FA19B2" w:rsidR="00B51484" w:rsidRPr="00B958A9" w:rsidRDefault="00911487" w:rsidP="00911487">
      <w:pPr>
        <w:rPr>
          <w:rFonts w:cs="Arial"/>
          <w:color w:val="002060"/>
          <w:szCs w:val="24"/>
        </w:rPr>
      </w:pPr>
      <w:r w:rsidRPr="00C80A52">
        <w:rPr>
          <w:rFonts w:cs="Arial"/>
          <w:color w:val="002060"/>
          <w:szCs w:val="24"/>
        </w:rPr>
        <w:t xml:space="preserve">An interesting self-cleaning solution is available in Latvia where contracting authorities are directly entitled to submit a request for an opinion to the relevant penal or administrative authorities concerning the means presented by the economic operators as part of the self-cleaning institution. </w:t>
      </w:r>
    </w:p>
    <w:p w14:paraId="307DCE54" w14:textId="543E1EF0" w:rsidR="00911487" w:rsidRPr="00B958A9" w:rsidRDefault="00B51484" w:rsidP="00911487">
      <w:pPr>
        <w:rPr>
          <w:rFonts w:cs="Arial"/>
          <w:color w:val="002060"/>
          <w:szCs w:val="24"/>
        </w:rPr>
      </w:pPr>
      <w:r w:rsidRPr="00C80A52">
        <w:rPr>
          <w:rFonts w:cs="Arial"/>
          <w:color w:val="002060"/>
          <w:szCs w:val="24"/>
        </w:rPr>
        <w:t>The German doctrine stresses the necessity for economic operators to document undertaking the relevant means and draws attention to the usefulness of external audits for demonstrating the effectiveness of the activities taken by the economic operator to prevent its future improper conduct.</w:t>
      </w:r>
    </w:p>
    <w:p w14:paraId="2592E18C" w14:textId="2E269405" w:rsidR="00972894" w:rsidRPr="00B958A9" w:rsidRDefault="00B51484" w:rsidP="00911487">
      <w:pPr>
        <w:rPr>
          <w:rFonts w:cs="Arial"/>
          <w:color w:val="002060"/>
          <w:szCs w:val="24"/>
        </w:rPr>
      </w:pPr>
      <w:r w:rsidRPr="00C80A52">
        <w:rPr>
          <w:rFonts w:cs="Arial"/>
          <w:b/>
          <w:bCs/>
          <w:color w:val="002060"/>
          <w:szCs w:val="24"/>
        </w:rPr>
        <w:t>In the majority of states it is unclear whether economic operators should apply the self-cleaning procedure on a prior basis or only as late as upon an express summons from the contracting authority;</w:t>
      </w:r>
      <w:r w:rsidRPr="00C80A52">
        <w:rPr>
          <w:rFonts w:cs="Arial"/>
          <w:color w:val="002060"/>
          <w:szCs w:val="24"/>
        </w:rPr>
        <w:t xml:space="preserve"> This issue was clearly regulated in Estonia, where economic operators should present evidence demonstrating their </w:t>
      </w:r>
      <w:r w:rsidR="006D7AAC" w:rsidRPr="00C80A52">
        <w:rPr>
          <w:rFonts w:cs="Arial"/>
          <w:color w:val="002060"/>
          <w:szCs w:val="24"/>
        </w:rPr>
        <w:t>reliability</w:t>
      </w:r>
      <w:r w:rsidRPr="00C80A52">
        <w:rPr>
          <w:rFonts w:cs="Arial"/>
          <w:color w:val="002060"/>
          <w:szCs w:val="24"/>
        </w:rPr>
        <w:t xml:space="preserve"> already with the tender offer, thus admitting that the exclusion ground is applicable thereto.</w:t>
      </w:r>
    </w:p>
    <w:p w14:paraId="1619D701" w14:textId="0D6B0F87" w:rsidR="00911487" w:rsidRPr="00B958A9" w:rsidRDefault="00972894" w:rsidP="00911487">
      <w:pPr>
        <w:rPr>
          <w:rFonts w:cs="Arial"/>
          <w:color w:val="002060"/>
          <w:szCs w:val="24"/>
        </w:rPr>
      </w:pPr>
      <w:r w:rsidRPr="00C80A52">
        <w:rPr>
          <w:rFonts w:cs="Arial"/>
          <w:szCs w:val="24"/>
        </w:rPr>
        <w:lastRenderedPageBreak/>
        <w:t>In turn, it is indicated in Greece and in Poland</w:t>
      </w:r>
      <w:r w:rsidR="008C231F" w:rsidRPr="00C80A52">
        <w:rPr>
          <w:rFonts w:cs="Arial"/>
          <w:szCs w:val="24"/>
        </w:rPr>
        <w:t xml:space="preserve"> (though there are also contrary positions</w:t>
      </w:r>
      <w:r w:rsidR="008C231F" w:rsidRPr="00C80A52">
        <w:rPr>
          <w:rStyle w:val="FootnoteReference"/>
          <w:rFonts w:cs="Arial"/>
          <w:szCs w:val="24"/>
        </w:rPr>
        <w:footnoteReference w:id="13"/>
      </w:r>
      <w:r w:rsidR="008C231F" w:rsidRPr="00C80A52">
        <w:rPr>
          <w:rFonts w:cs="Arial"/>
          <w:szCs w:val="24"/>
        </w:rPr>
        <w:t>)</w:t>
      </w:r>
      <w:r w:rsidRPr="00C80A52">
        <w:rPr>
          <w:rFonts w:cs="Arial"/>
          <w:szCs w:val="24"/>
        </w:rPr>
        <w:t xml:space="preserve"> that effective self-cleaning may take place only at the stage of submitting a tender offer / application for admission to participate in the tender procedure or in the ESPD. In consequence, if it is determined at a later stage that a given economic operator is subject to exclusion, it will not be able to resort to the self-cleaning procedure</w:t>
      </w:r>
      <w:r w:rsidRPr="00C80A52">
        <w:t>.</w:t>
      </w:r>
      <w:r w:rsidRPr="00C80A52">
        <w:rPr>
          <w:rFonts w:cs="Arial"/>
          <w:color w:val="002060"/>
          <w:szCs w:val="24"/>
        </w:rPr>
        <w:t xml:space="preserve"> </w:t>
      </w:r>
    </w:p>
    <w:p w14:paraId="32E64233" w14:textId="7E92FD98" w:rsidR="00851906" w:rsidRPr="00B958A9" w:rsidRDefault="00851906">
      <w:pPr>
        <w:spacing w:after="0" w:line="276" w:lineRule="auto"/>
        <w:jc w:val="left"/>
        <w:rPr>
          <w:rFonts w:cs="Arial"/>
          <w:szCs w:val="24"/>
        </w:rPr>
      </w:pPr>
      <w:r w:rsidRPr="00C80A52">
        <w:rPr>
          <w:rFonts w:cs="Arial"/>
          <w:szCs w:val="24"/>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9639"/>
      </w:tblGrid>
      <w:tr w:rsidR="004C41EF" w:rsidRPr="00B958A9" w14:paraId="287F91C2" w14:textId="77777777" w:rsidTr="00D962D7">
        <w:tc>
          <w:tcPr>
            <w:tcW w:w="9639" w:type="dxa"/>
            <w:shd w:val="clear" w:color="auto" w:fill="95B3D7" w:themeFill="accent1" w:themeFillTint="99"/>
          </w:tcPr>
          <w:p w14:paraId="03122599" w14:textId="5EA1FCBF" w:rsidR="004C41EF" w:rsidRPr="00C80A52" w:rsidRDefault="00537204" w:rsidP="00182674">
            <w:pPr>
              <w:pStyle w:val="StandardL1"/>
              <w:spacing w:before="240"/>
              <w:rPr>
                <w:color w:val="FFFFFF" w:themeColor="background1"/>
                <w:sz w:val="28"/>
                <w:szCs w:val="28"/>
                <w:lang w:val="en-GB"/>
              </w:rPr>
            </w:pPr>
            <w:r w:rsidRPr="00C80A52">
              <w:rPr>
                <w:b w:val="0"/>
                <w:sz w:val="20"/>
                <w:lang w:val="en-GB"/>
              </w:rPr>
              <w:lastRenderedPageBreak/>
              <w:br w:type="page"/>
            </w:r>
            <w:bookmarkStart w:id="15" w:name="_Hlk19032085"/>
            <w:r w:rsidRPr="00C80A52">
              <w:rPr>
                <w:bCs/>
                <w:color w:val="FFFFFF" w:themeColor="background1"/>
                <w:sz w:val="28"/>
                <w:szCs w:val="28"/>
                <w:lang w:val="en-GB"/>
              </w:rPr>
              <w:t>CHAPTER III</w:t>
            </w:r>
          </w:p>
          <w:p w14:paraId="3163761F" w14:textId="541E8AF8" w:rsidR="004C41EF" w:rsidRPr="00B958A9" w:rsidRDefault="004C41EF" w:rsidP="004C41EF">
            <w:pPr>
              <w:pageBreakBefore/>
              <w:jc w:val="center"/>
              <w:rPr>
                <w:b/>
                <w:bCs/>
                <w:color w:val="FFFFFF" w:themeColor="background1"/>
                <w:sz w:val="28"/>
                <w:szCs w:val="28"/>
              </w:rPr>
            </w:pPr>
            <w:r w:rsidRPr="00C80A52">
              <w:rPr>
                <w:b/>
                <w:bCs/>
                <w:color w:val="FFFFFF" w:themeColor="background1"/>
                <w:sz w:val="28"/>
                <w:szCs w:val="28"/>
              </w:rPr>
              <w:t>GROUND SPECIFIED IN ARTICLE 57 SEC. 4 LETTER G OF DIRECTIVE 2014/24/EU</w:t>
            </w:r>
          </w:p>
          <w:p w14:paraId="6A3904F1" w14:textId="6BB9AF20" w:rsidR="00D73B11" w:rsidRPr="00B958A9" w:rsidRDefault="00D73B11" w:rsidP="004C41EF">
            <w:pPr>
              <w:pageBreakBefore/>
              <w:jc w:val="center"/>
              <w:rPr>
                <w:b/>
                <w:bCs/>
                <w:i/>
                <w:iCs/>
                <w:color w:val="FFFFFF" w:themeColor="background1"/>
                <w:sz w:val="28"/>
                <w:szCs w:val="28"/>
              </w:rPr>
            </w:pPr>
            <w:r w:rsidRPr="00C80A52">
              <w:rPr>
                <w:b/>
                <w:bCs/>
                <w:i/>
                <w:iCs/>
                <w:color w:val="FFFFFF" w:themeColor="background1"/>
                <w:szCs w:val="24"/>
              </w:rPr>
              <w:t>Mirella Lechna</w:t>
            </w:r>
            <w:r w:rsidR="002F1F1F" w:rsidRPr="00C80A52">
              <w:rPr>
                <w:rStyle w:val="FootnoteReference"/>
                <w:b/>
                <w:bCs/>
                <w:i/>
                <w:iCs/>
                <w:color w:val="FFFFFF" w:themeColor="background1"/>
                <w:szCs w:val="24"/>
              </w:rPr>
              <w:footnoteReference w:id="14"/>
            </w:r>
          </w:p>
        </w:tc>
      </w:tr>
      <w:bookmarkEnd w:id="15"/>
    </w:tbl>
    <w:p w14:paraId="70F8F7B0" w14:textId="77777777" w:rsidR="004C41EF" w:rsidRPr="00B958A9" w:rsidRDefault="004C41EF" w:rsidP="004C41EF">
      <w:pPr>
        <w:rPr>
          <w:rFonts w:cs="Arial"/>
          <w:color w:val="002060"/>
          <w:szCs w:val="24"/>
        </w:rPr>
      </w:pPr>
    </w:p>
    <w:p w14:paraId="7B88B984" w14:textId="464C6B42" w:rsidR="004C41EF" w:rsidRPr="00B958A9" w:rsidRDefault="004C41EF" w:rsidP="004C41EF">
      <w:pPr>
        <w:rPr>
          <w:rFonts w:cs="Arial"/>
          <w:color w:val="002060"/>
          <w:szCs w:val="24"/>
        </w:rPr>
      </w:pPr>
      <w:r w:rsidRPr="00C80A52">
        <w:rPr>
          <w:rFonts w:cs="Arial"/>
          <w:color w:val="002060"/>
          <w:szCs w:val="24"/>
        </w:rPr>
        <w:t xml:space="preserve">Under Article 57 section </w:t>
      </w:r>
      <w:r w:rsidR="008C231F" w:rsidRPr="00C80A52">
        <w:rPr>
          <w:rFonts w:cs="Arial"/>
          <w:color w:val="002060"/>
          <w:szCs w:val="24"/>
        </w:rPr>
        <w:t xml:space="preserve">4 </w:t>
      </w:r>
      <w:r w:rsidRPr="00C80A52">
        <w:rPr>
          <w:rFonts w:cs="Arial"/>
          <w:color w:val="002060"/>
          <w:szCs w:val="24"/>
        </w:rPr>
        <w:t xml:space="preserve">item g) of Directive 2014/24/EU, it is possible to exclude an economic operator if </w:t>
      </w:r>
      <w:bookmarkStart w:id="16" w:name="_Hlk19100580"/>
      <w:r w:rsidRPr="00C80A52">
        <w:rPr>
          <w:rFonts w:cs="Arial"/>
          <w:color w:val="002060"/>
          <w:szCs w:val="24"/>
        </w:rPr>
        <w:t>it has shown significant or persistent deficiencies in the performance of a substantive requirement under a prior public contract or concession contract which led to early termination of that contract, damages, or other comparable sanctions</w:t>
      </w:r>
      <w:bookmarkEnd w:id="16"/>
      <w:r w:rsidRPr="00C80A52">
        <w:rPr>
          <w:rFonts w:cs="Arial"/>
          <w:color w:val="002060"/>
          <w:szCs w:val="24"/>
        </w:rPr>
        <w:t xml:space="preserve">. </w:t>
      </w:r>
    </w:p>
    <w:p w14:paraId="7390378E" w14:textId="77777777" w:rsidR="004C41EF" w:rsidRPr="00B958A9" w:rsidRDefault="004C41EF" w:rsidP="00BF25FE">
      <w:pPr>
        <w:pStyle w:val="ListParagraph"/>
        <w:numPr>
          <w:ilvl w:val="0"/>
          <w:numId w:val="22"/>
        </w:numPr>
        <w:spacing w:line="269" w:lineRule="auto"/>
        <w:ind w:left="737" w:hanging="737"/>
        <w:rPr>
          <w:rFonts w:cs="Arial"/>
          <w:b/>
          <w:i/>
          <w:szCs w:val="24"/>
        </w:rPr>
      </w:pPr>
      <w:bookmarkStart w:id="17" w:name="_Hlk19090676"/>
      <w:bookmarkStart w:id="18" w:name="_Hlk19030013"/>
      <w:r w:rsidRPr="00C80A52">
        <w:rPr>
          <w:rFonts w:cs="Arial"/>
          <w:b/>
          <w:bCs/>
          <w:i/>
          <w:iCs/>
          <w:szCs w:val="24"/>
        </w:rPr>
        <w:t>The manner in which the exclusion ground is transposed into national legal regimes</w:t>
      </w:r>
      <w:bookmarkEnd w:id="17"/>
    </w:p>
    <w:bookmarkEnd w:id="18"/>
    <w:p w14:paraId="63D85805" w14:textId="39BA3E57" w:rsidR="004C41EF" w:rsidRPr="00B958A9" w:rsidRDefault="004C41EF" w:rsidP="004C41EF">
      <w:pPr>
        <w:rPr>
          <w:rFonts w:cs="Arial"/>
          <w:color w:val="002060"/>
          <w:szCs w:val="24"/>
        </w:rPr>
      </w:pPr>
      <w:r w:rsidRPr="00C80A52">
        <w:rPr>
          <w:rFonts w:cs="Arial"/>
          <w:b/>
          <w:bCs/>
          <w:color w:val="002060"/>
          <w:szCs w:val="24"/>
        </w:rPr>
        <w:t>This ground was introduced in all Member States, except for Ireland.</w:t>
      </w:r>
      <w:r w:rsidRPr="00C80A52">
        <w:rPr>
          <w:rFonts w:cs="Arial"/>
          <w:color w:val="002060"/>
          <w:szCs w:val="24"/>
        </w:rPr>
        <w:t xml:space="preserve"> It is non-compulsory in the majority of the states. It has been made compulsory in Austria, Lithuania, Portugal</w:t>
      </w:r>
      <w:r w:rsidR="008C231F" w:rsidRPr="00C80A52">
        <w:rPr>
          <w:rFonts w:cs="Arial"/>
          <w:color w:val="002060"/>
          <w:szCs w:val="24"/>
        </w:rPr>
        <w:t>,</w:t>
      </w:r>
      <w:r w:rsidRPr="00C80A52">
        <w:rPr>
          <w:rFonts w:cs="Arial"/>
          <w:color w:val="002060"/>
          <w:szCs w:val="24"/>
        </w:rPr>
        <w:t xml:space="preserve"> Italy</w:t>
      </w:r>
      <w:r w:rsidR="008C231F" w:rsidRPr="00C80A52">
        <w:rPr>
          <w:rFonts w:cs="Arial"/>
          <w:color w:val="002060"/>
          <w:szCs w:val="24"/>
        </w:rPr>
        <w:t>, and Spain</w:t>
      </w:r>
      <w:r w:rsidRPr="00C80A52">
        <w:rPr>
          <w:rFonts w:cs="Arial"/>
          <w:color w:val="002060"/>
          <w:szCs w:val="24"/>
        </w:rPr>
        <w:t>.</w:t>
      </w:r>
    </w:p>
    <w:p w14:paraId="7DB59373" w14:textId="7498E048" w:rsidR="004C41EF" w:rsidRPr="00B958A9" w:rsidRDefault="004C41EF" w:rsidP="004C41EF">
      <w:pPr>
        <w:rPr>
          <w:color w:val="002060"/>
          <w:szCs w:val="24"/>
        </w:rPr>
      </w:pPr>
      <w:r w:rsidRPr="00C80A52">
        <w:rPr>
          <w:b/>
          <w:bCs/>
          <w:color w:val="002060"/>
          <w:szCs w:val="24"/>
        </w:rPr>
        <w:t xml:space="preserve">In the majority of the Member States the wording of the ground is a repetition of the </w:t>
      </w:r>
      <w:r w:rsidR="002F1F1F" w:rsidRPr="00C80A52">
        <w:rPr>
          <w:b/>
          <w:bCs/>
          <w:color w:val="002060"/>
          <w:szCs w:val="24"/>
        </w:rPr>
        <w:t xml:space="preserve">provisions of </w:t>
      </w:r>
      <w:r w:rsidRPr="00C80A52">
        <w:rPr>
          <w:b/>
          <w:bCs/>
          <w:color w:val="002060"/>
          <w:szCs w:val="24"/>
        </w:rPr>
        <w:t>Directive 2014/24/EU.</w:t>
      </w:r>
      <w:r w:rsidRPr="00C80A52">
        <w:rPr>
          <w:color w:val="002060"/>
          <w:szCs w:val="24"/>
        </w:rPr>
        <w:t xml:space="preserve"> In some states the wording of this provision differs from the wording included in the directive usually due to the failure to introduce the notion of “</w:t>
      </w:r>
      <w:r w:rsidRPr="00C80A52">
        <w:rPr>
          <w:i/>
          <w:iCs/>
          <w:color w:val="002060"/>
          <w:szCs w:val="24"/>
        </w:rPr>
        <w:t>significant or persistent deficiencies</w:t>
      </w:r>
      <w:r w:rsidRPr="00C80A52">
        <w:rPr>
          <w:color w:val="002060"/>
          <w:szCs w:val="24"/>
        </w:rPr>
        <w:t xml:space="preserve">” and due to formulating the ground only as the non-performance or material violation of the contract (Hungary, Norway, Bulgaria, Denmark, Slovakia, Spain, and Latvia). </w:t>
      </w:r>
    </w:p>
    <w:p w14:paraId="39E6A89A" w14:textId="79E9431C" w:rsidR="004C41EF" w:rsidRPr="00B958A9" w:rsidRDefault="004C41EF" w:rsidP="004C41EF">
      <w:pPr>
        <w:rPr>
          <w:color w:val="002060"/>
          <w:szCs w:val="24"/>
        </w:rPr>
      </w:pPr>
      <w:r w:rsidRPr="00C80A52">
        <w:rPr>
          <w:b/>
          <w:bCs/>
          <w:color w:val="002060"/>
          <w:szCs w:val="24"/>
        </w:rPr>
        <w:t>However, the common denominator of the exclusion grounds in the states is a requirement for the violation of the contract to be grave or significant.</w:t>
      </w:r>
      <w:r w:rsidRPr="00C80A52">
        <w:rPr>
          <w:color w:val="002060"/>
          <w:szCs w:val="24"/>
        </w:rPr>
        <w:t xml:space="preserve"> In Spain an additional requirement was stipulated for the violation of the contract to be intentional or resulting from gross negligence.</w:t>
      </w:r>
    </w:p>
    <w:p w14:paraId="6129987D" w14:textId="179051DA" w:rsidR="004C41EF" w:rsidRPr="00B958A9" w:rsidRDefault="004C41EF" w:rsidP="004C41EF">
      <w:pPr>
        <w:rPr>
          <w:rFonts w:cs="Arial"/>
          <w:color w:val="002060"/>
          <w:szCs w:val="24"/>
        </w:rPr>
      </w:pPr>
      <w:r w:rsidRPr="00C80A52">
        <w:rPr>
          <w:color w:val="002060"/>
          <w:szCs w:val="24"/>
        </w:rPr>
        <w:lastRenderedPageBreak/>
        <w:t xml:space="preserve">There are also no major differences - as compared to the wording of Directive 2014/24/EU - with respect to the second part of the ground, i.e. the requirement for the indicated violations to lead to “early termination of that contract, damages, or other comparable sanctions”. In the case of Latvia and Slovakia, the wording of the provision is restricted solely to the termination of the contract. Termination, compensation, liquidated damages and </w:t>
      </w:r>
      <w:r w:rsidR="002F1F1F" w:rsidRPr="00C80A52">
        <w:rPr>
          <w:color w:val="002060"/>
          <w:szCs w:val="24"/>
        </w:rPr>
        <w:t xml:space="preserve">remuneration </w:t>
      </w:r>
      <w:r w:rsidRPr="00C80A52">
        <w:rPr>
          <w:color w:val="002060"/>
          <w:szCs w:val="24"/>
        </w:rPr>
        <w:t>reduction are the factors that have been indicated in Estonia.</w:t>
      </w:r>
    </w:p>
    <w:p w14:paraId="0A8F4BF5" w14:textId="4082DE1E" w:rsidR="004C41EF" w:rsidRPr="00B958A9" w:rsidRDefault="004C41EF" w:rsidP="004C41EF">
      <w:pPr>
        <w:rPr>
          <w:rFonts w:cs="Arial"/>
          <w:color w:val="002060"/>
          <w:szCs w:val="24"/>
        </w:rPr>
      </w:pPr>
      <w:r w:rsidRPr="00C80A52">
        <w:rPr>
          <w:rFonts w:cs="Arial"/>
          <w:b/>
          <w:bCs/>
          <w:color w:val="002060"/>
          <w:szCs w:val="24"/>
        </w:rPr>
        <w:t>Examples of conduct covered by the provision of Article 57 section 2 item g) of Directive 2014/24/EU:</w:t>
      </w:r>
    </w:p>
    <w:p w14:paraId="3F68E609" w14:textId="644DCF93" w:rsidR="004C41EF" w:rsidRPr="00B958A9" w:rsidRDefault="004C41EF" w:rsidP="00BF25FE">
      <w:pPr>
        <w:pStyle w:val="ListParagraph"/>
        <w:numPr>
          <w:ilvl w:val="0"/>
          <w:numId w:val="21"/>
        </w:numPr>
        <w:ind w:left="851" w:hanging="851"/>
        <w:contextualSpacing w:val="0"/>
        <w:rPr>
          <w:rFonts w:cs="Arial"/>
          <w:color w:val="002060"/>
          <w:szCs w:val="24"/>
        </w:rPr>
      </w:pPr>
      <w:r w:rsidRPr="00C80A52">
        <w:rPr>
          <w:rFonts w:cs="Arial"/>
          <w:color w:val="002060"/>
          <w:szCs w:val="24"/>
        </w:rPr>
        <w:t>notice of termination given by the contracting authority with respect to two out of nine contracts performed by the given economic operator due to repetitively occurring violations of the contract (Estonia);</w:t>
      </w:r>
    </w:p>
    <w:p w14:paraId="364DB8A4" w14:textId="16A0DC15" w:rsidR="004C41EF" w:rsidRPr="00B958A9" w:rsidRDefault="004C41EF" w:rsidP="00BF25FE">
      <w:pPr>
        <w:pStyle w:val="ListParagraph"/>
        <w:numPr>
          <w:ilvl w:val="0"/>
          <w:numId w:val="21"/>
        </w:numPr>
        <w:ind w:left="851" w:hanging="851"/>
        <w:contextualSpacing w:val="0"/>
        <w:rPr>
          <w:rFonts w:cs="Arial"/>
          <w:color w:val="002060"/>
          <w:szCs w:val="24"/>
        </w:rPr>
      </w:pPr>
      <w:r w:rsidRPr="00C80A52">
        <w:rPr>
          <w:rFonts w:cs="Arial"/>
          <w:color w:val="002060"/>
          <w:szCs w:val="24"/>
        </w:rPr>
        <w:t xml:space="preserve">repetitively occurring failure to provide proper </w:t>
      </w:r>
      <w:r w:rsidR="002F1F1F" w:rsidRPr="00C80A52">
        <w:rPr>
          <w:rFonts w:cs="Arial"/>
          <w:color w:val="002060"/>
          <w:szCs w:val="24"/>
        </w:rPr>
        <w:t xml:space="preserve">performance of a material part of the contractual </w:t>
      </w:r>
      <w:r w:rsidR="003A23E9" w:rsidRPr="00B958A9">
        <w:rPr>
          <w:rFonts w:cs="Arial"/>
          <w:color w:val="002060"/>
          <w:szCs w:val="24"/>
        </w:rPr>
        <w:t>obligation</w:t>
      </w:r>
      <w:r w:rsidR="002F1F1F" w:rsidRPr="00C80A52">
        <w:rPr>
          <w:rFonts w:cs="Arial"/>
          <w:color w:val="002060"/>
          <w:szCs w:val="24"/>
        </w:rPr>
        <w:t xml:space="preserve"> of the economic operator </w:t>
      </w:r>
      <w:r w:rsidRPr="00C80A52">
        <w:rPr>
          <w:rFonts w:cs="Arial"/>
          <w:color w:val="002060"/>
          <w:szCs w:val="24"/>
        </w:rPr>
        <w:t>of the electronic management system</w:t>
      </w:r>
      <w:r w:rsidR="002F1F1F" w:rsidRPr="00C80A52">
        <w:rPr>
          <w:rFonts w:cs="Arial"/>
          <w:color w:val="002060"/>
          <w:szCs w:val="24"/>
        </w:rPr>
        <w:t>,</w:t>
      </w:r>
      <w:r w:rsidRPr="00C80A52">
        <w:rPr>
          <w:rFonts w:cs="Arial"/>
          <w:color w:val="002060"/>
          <w:szCs w:val="24"/>
        </w:rPr>
        <w:t xml:space="preserve"> which constituted the economic operator’s material obligation indicated in the contract (Hungary);</w:t>
      </w:r>
    </w:p>
    <w:p w14:paraId="5EB14F75" w14:textId="77777777" w:rsidR="004C41EF" w:rsidRPr="00B958A9" w:rsidRDefault="004C41EF" w:rsidP="00BF25FE">
      <w:pPr>
        <w:pStyle w:val="ListParagraph"/>
        <w:numPr>
          <w:ilvl w:val="0"/>
          <w:numId w:val="21"/>
        </w:numPr>
        <w:ind w:left="851" w:hanging="851"/>
        <w:contextualSpacing w:val="0"/>
        <w:rPr>
          <w:rFonts w:cs="Arial"/>
          <w:color w:val="002060"/>
          <w:szCs w:val="24"/>
        </w:rPr>
      </w:pPr>
      <w:r w:rsidRPr="00C80A52">
        <w:rPr>
          <w:rFonts w:cs="Arial"/>
          <w:color w:val="002060"/>
          <w:szCs w:val="24"/>
        </w:rPr>
        <w:t>violation of the confidentiality obligation and violation of material guarantee obligations (Germany, Finland);</w:t>
      </w:r>
    </w:p>
    <w:p w14:paraId="53421A36" w14:textId="77777777" w:rsidR="004C41EF" w:rsidRPr="00B958A9" w:rsidRDefault="004C41EF" w:rsidP="00BF25FE">
      <w:pPr>
        <w:pStyle w:val="ListParagraph"/>
        <w:numPr>
          <w:ilvl w:val="0"/>
          <w:numId w:val="21"/>
        </w:numPr>
        <w:ind w:left="851" w:hanging="851"/>
        <w:contextualSpacing w:val="0"/>
        <w:rPr>
          <w:rFonts w:cs="Arial"/>
          <w:color w:val="002060"/>
          <w:szCs w:val="24"/>
        </w:rPr>
      </w:pPr>
      <w:r w:rsidRPr="00C80A52">
        <w:rPr>
          <w:rFonts w:cs="Arial"/>
          <w:color w:val="002060"/>
          <w:szCs w:val="24"/>
        </w:rPr>
        <w:t>non-performance or delayed performance of one or more contractual obligations (Italy);</w:t>
      </w:r>
    </w:p>
    <w:p w14:paraId="29F47A3C" w14:textId="77777777" w:rsidR="004C41EF" w:rsidRPr="00B958A9" w:rsidRDefault="004C41EF" w:rsidP="00BF25FE">
      <w:pPr>
        <w:pStyle w:val="ListParagraph"/>
        <w:numPr>
          <w:ilvl w:val="0"/>
          <w:numId w:val="21"/>
        </w:numPr>
        <w:ind w:left="851" w:hanging="851"/>
        <w:contextualSpacing w:val="0"/>
        <w:rPr>
          <w:rFonts w:cs="Arial"/>
          <w:color w:val="002060"/>
          <w:szCs w:val="24"/>
        </w:rPr>
      </w:pPr>
      <w:r w:rsidRPr="00C80A52">
        <w:rPr>
          <w:rFonts w:cs="Arial"/>
          <w:color w:val="002060"/>
          <w:szCs w:val="24"/>
        </w:rPr>
        <w:t>defectiveness of the delivered product resulting in it being unfit for the agreed purpose (Italy, Finland, Austria) or performing the order in a manner that is inconsistent with the manner specified in the contract as a result of which the effect is unfit for specific purposes (Poland);</w:t>
      </w:r>
    </w:p>
    <w:p w14:paraId="230229DD" w14:textId="4DF48F58" w:rsidR="004C41EF" w:rsidRPr="00B958A9" w:rsidRDefault="004C41EF" w:rsidP="00BF25FE">
      <w:pPr>
        <w:pStyle w:val="ListParagraph"/>
        <w:numPr>
          <w:ilvl w:val="0"/>
          <w:numId w:val="21"/>
        </w:numPr>
        <w:ind w:left="851" w:hanging="851"/>
        <w:contextualSpacing w:val="0"/>
        <w:rPr>
          <w:rFonts w:cs="Arial"/>
          <w:color w:val="002060"/>
          <w:szCs w:val="24"/>
        </w:rPr>
      </w:pPr>
      <w:r w:rsidRPr="00C80A52">
        <w:rPr>
          <w:rFonts w:cs="Arial"/>
          <w:color w:val="002060"/>
          <w:szCs w:val="24"/>
        </w:rPr>
        <w:t>any activities that undermine the reliability of the economic operator e.g. withdrawing from the performance of the contract without notifying the contracting authority of the same (Finland).</w:t>
      </w:r>
    </w:p>
    <w:p w14:paraId="7FB46C93" w14:textId="13652B2A" w:rsidR="004C41EF" w:rsidRPr="00B958A9" w:rsidRDefault="004C41EF" w:rsidP="00BF25FE">
      <w:pPr>
        <w:pStyle w:val="ListParagraph"/>
        <w:numPr>
          <w:ilvl w:val="0"/>
          <w:numId w:val="22"/>
        </w:numPr>
        <w:spacing w:line="269" w:lineRule="auto"/>
        <w:ind w:left="737" w:hanging="737"/>
        <w:rPr>
          <w:rFonts w:cs="Arial"/>
          <w:b/>
          <w:i/>
          <w:szCs w:val="24"/>
        </w:rPr>
      </w:pPr>
      <w:bookmarkStart w:id="19" w:name="_Hlk19030204"/>
      <w:r w:rsidRPr="00C80A52">
        <w:rPr>
          <w:rFonts w:cs="Arial"/>
          <w:b/>
          <w:bCs/>
          <w:i/>
          <w:iCs/>
          <w:szCs w:val="24"/>
        </w:rPr>
        <w:t xml:space="preserve"> “Deficiencies” of a significant or persistent nature</w:t>
      </w:r>
    </w:p>
    <w:bookmarkEnd w:id="19"/>
    <w:p w14:paraId="6D3787B5" w14:textId="09FE345C" w:rsidR="004C41EF" w:rsidRPr="00B958A9" w:rsidRDefault="004C41EF" w:rsidP="004C41EF">
      <w:pPr>
        <w:rPr>
          <w:rFonts w:cs="Arial"/>
          <w:color w:val="002060"/>
          <w:szCs w:val="24"/>
        </w:rPr>
      </w:pPr>
      <w:r w:rsidRPr="00C80A52">
        <w:rPr>
          <w:rFonts w:cs="Arial"/>
          <w:color w:val="002060"/>
          <w:szCs w:val="24"/>
        </w:rPr>
        <w:t xml:space="preserve">The notion of “significant or persistent deficiencies” has not been defined in the Acts regulating Public Procurement Law in the individual states. Many states also lack case law </w:t>
      </w:r>
      <w:r w:rsidRPr="00C80A52">
        <w:rPr>
          <w:rFonts w:cs="Arial"/>
          <w:color w:val="002060"/>
          <w:szCs w:val="24"/>
        </w:rPr>
        <w:lastRenderedPageBreak/>
        <w:t>which may result from the fact that Member States have only recently implemented the provisions of Directive 2014/24/EU.</w:t>
      </w:r>
    </w:p>
    <w:p w14:paraId="624D113C" w14:textId="4D354C2C" w:rsidR="004C41EF" w:rsidRPr="00B958A9" w:rsidRDefault="004C41EF" w:rsidP="004C41EF">
      <w:pPr>
        <w:rPr>
          <w:rFonts w:cs="Arial"/>
          <w:color w:val="002060"/>
          <w:szCs w:val="24"/>
        </w:rPr>
      </w:pPr>
      <w:r w:rsidRPr="00C80A52">
        <w:rPr>
          <w:color w:val="002060"/>
          <w:szCs w:val="24"/>
        </w:rPr>
        <w:t xml:space="preserve">Court authorities of certain Member States (e.g. Belgium, Germany) acknowledge that this ground should be interpreted analogously to the “grave professional misconduct” ground pursuant to the wording of Article 45 section 2 item d) of the repealed Directive 2004/18/EC and taking into consideration the case law related to the said ground. This is due to the fact that both grounds for exclusion sanction the violation by the economic operator of the provisions of the contract entered into with the contracting authority. Please note that CJEU’s ruling in the </w:t>
      </w:r>
      <w:proofErr w:type="spellStart"/>
      <w:r w:rsidRPr="00C80A52">
        <w:rPr>
          <w:i/>
          <w:iCs/>
          <w:color w:val="002060"/>
          <w:szCs w:val="24"/>
        </w:rPr>
        <w:t>Forposta</w:t>
      </w:r>
      <w:proofErr w:type="spellEnd"/>
      <w:r w:rsidRPr="00C80A52">
        <w:rPr>
          <w:color w:val="002060"/>
          <w:szCs w:val="24"/>
        </w:rPr>
        <w:t xml:space="preserve"> case is also applicable to this exclusion ground. </w:t>
      </w:r>
    </w:p>
    <w:p w14:paraId="419B0E74" w14:textId="70364BC9" w:rsidR="004C41EF" w:rsidRPr="00B958A9" w:rsidRDefault="00350203" w:rsidP="004C41EF">
      <w:pPr>
        <w:rPr>
          <w:color w:val="002060"/>
          <w:szCs w:val="24"/>
        </w:rPr>
      </w:pPr>
      <w:r w:rsidRPr="00C80A52">
        <w:rPr>
          <w:color w:val="002060"/>
          <w:szCs w:val="24"/>
        </w:rPr>
        <w:t>In those states, examples of punishable “deficiencies” include the kinds of conduct referred to in Recital 101 of Directive 2014/24/EU, i.e. failure to deliver a product or perform the contract, significant shortcomings of the product or service delivered, making it unusable for the intended purpose, or improper conduct that casts serious doubts as to the reliability of the economic operator.</w:t>
      </w:r>
    </w:p>
    <w:p w14:paraId="208A2A21" w14:textId="09F88FD9" w:rsidR="00182674" w:rsidRPr="00B958A9" w:rsidRDefault="00182674" w:rsidP="00BF25FE">
      <w:pPr>
        <w:pStyle w:val="ListParagraph"/>
        <w:numPr>
          <w:ilvl w:val="0"/>
          <w:numId w:val="22"/>
        </w:numPr>
        <w:spacing w:line="269" w:lineRule="auto"/>
        <w:ind w:left="737" w:hanging="737"/>
        <w:rPr>
          <w:rFonts w:cs="Arial"/>
          <w:b/>
          <w:i/>
          <w:szCs w:val="24"/>
        </w:rPr>
      </w:pPr>
      <w:bookmarkStart w:id="20" w:name="_Hlk19030343"/>
      <w:r w:rsidRPr="00C80A52">
        <w:rPr>
          <w:rFonts w:cs="Arial"/>
          <w:b/>
          <w:bCs/>
          <w:i/>
          <w:iCs/>
          <w:szCs w:val="24"/>
        </w:rPr>
        <w:t>“Persistent” deficiencies</w:t>
      </w:r>
    </w:p>
    <w:bookmarkEnd w:id="20"/>
    <w:p w14:paraId="7108457F" w14:textId="443FE63E" w:rsidR="00182674" w:rsidRPr="00B958A9" w:rsidRDefault="00182674" w:rsidP="00182674">
      <w:pPr>
        <w:rPr>
          <w:color w:val="002060"/>
          <w:szCs w:val="24"/>
        </w:rPr>
      </w:pPr>
      <w:r w:rsidRPr="00C80A52">
        <w:rPr>
          <w:b/>
          <w:bCs/>
          <w:color w:val="002060"/>
          <w:szCs w:val="24"/>
        </w:rPr>
        <w:t>The “persistence” ground is not uniformly interpreted in the individual member states</w:t>
      </w:r>
      <w:r w:rsidRPr="00C80A52">
        <w:rPr>
          <w:color w:val="002060"/>
          <w:szCs w:val="24"/>
        </w:rPr>
        <w:t xml:space="preserve">. In most states the term refers to an individual procurement contract that has been performed earlier, where the economic operator has breached its substantive requirements at least twice during its performance. </w:t>
      </w:r>
    </w:p>
    <w:p w14:paraId="20564471" w14:textId="77777777" w:rsidR="001A57DA" w:rsidRPr="00B958A9" w:rsidRDefault="00182674" w:rsidP="00182674">
      <w:pPr>
        <w:rPr>
          <w:color w:val="002060"/>
          <w:szCs w:val="24"/>
        </w:rPr>
      </w:pPr>
      <w:r w:rsidRPr="00C80A52">
        <w:rPr>
          <w:color w:val="002060"/>
          <w:szCs w:val="24"/>
        </w:rPr>
        <w:t xml:space="preserve">In some states, especially those where the concept of “persistence” is not used, even a single breach of contract is sufficient for this ground to occur. Interestingly enough, in Portugal the requirement for “persistence” has been formulated, but it is stressed in the legal doctrine that even a single breach of contract can trigger this exclusion ground if it is serious enough. </w:t>
      </w:r>
    </w:p>
    <w:p w14:paraId="0A08EB0D" w14:textId="45894145" w:rsidR="00182674" w:rsidRPr="00B958A9" w:rsidRDefault="00182674" w:rsidP="00182674">
      <w:pPr>
        <w:rPr>
          <w:color w:val="002060"/>
          <w:szCs w:val="24"/>
        </w:rPr>
      </w:pPr>
      <w:r w:rsidRPr="00C80A52">
        <w:rPr>
          <w:b/>
          <w:bCs/>
          <w:color w:val="002060"/>
          <w:szCs w:val="24"/>
        </w:rPr>
        <w:t>In most states the recurrence of a breach is of key importance to the assessment of the persistence ground</w:t>
      </w:r>
      <w:r w:rsidRPr="00C80A52">
        <w:rPr>
          <w:color w:val="002060"/>
          <w:szCs w:val="24"/>
        </w:rPr>
        <w:t xml:space="preserve">. It is believed that economic operators cannot be excluded on the grounds of minor deficiencies in the performance of a prior contract. However, if such deficiencies recur, they undermine an economic operator’s reliability, which justifies its exclusion. </w:t>
      </w:r>
    </w:p>
    <w:p w14:paraId="132E0DD1" w14:textId="3A88360E" w:rsidR="00182674" w:rsidRPr="00B958A9" w:rsidRDefault="00182674" w:rsidP="00182674">
      <w:pPr>
        <w:rPr>
          <w:color w:val="002060"/>
          <w:szCs w:val="24"/>
        </w:rPr>
      </w:pPr>
      <w:r w:rsidRPr="00C80A52">
        <w:rPr>
          <w:color w:val="002060"/>
          <w:szCs w:val="24"/>
        </w:rPr>
        <w:t xml:space="preserve">The perception of “persistence”, insofar it relates to the time in which a breach recurs, varies from state to state. In Italy and Germany, the ground of “persistence” is met if improper </w:t>
      </w:r>
      <w:r w:rsidRPr="00C80A52">
        <w:rPr>
          <w:color w:val="002060"/>
          <w:szCs w:val="24"/>
        </w:rPr>
        <w:lastRenderedPageBreak/>
        <w:t>performance of a contract continues for a longer period, but it need not have anything to do with recurrence (In German, the ground is defined as “</w:t>
      </w:r>
      <w:proofErr w:type="spellStart"/>
      <w:r w:rsidRPr="00C80A52">
        <w:rPr>
          <w:i/>
          <w:iCs/>
          <w:color w:val="002060"/>
          <w:szCs w:val="24"/>
        </w:rPr>
        <w:t>fortdauernd</w:t>
      </w:r>
      <w:proofErr w:type="spellEnd"/>
      <w:r w:rsidRPr="00C80A52">
        <w:rPr>
          <w:color w:val="002060"/>
          <w:szCs w:val="24"/>
        </w:rPr>
        <w:t>”, which translates as “lasting”). In Finland, three minor defaults occurring within only one month have been treated in the case law as a single deficiency that is not</w:t>
      </w:r>
      <w:r w:rsidR="00571D76" w:rsidRPr="00C80A52">
        <w:rPr>
          <w:color w:val="002060"/>
          <w:szCs w:val="24"/>
        </w:rPr>
        <w:t>, however,</w:t>
      </w:r>
      <w:r w:rsidRPr="00C80A52">
        <w:rPr>
          <w:color w:val="002060"/>
          <w:szCs w:val="24"/>
        </w:rPr>
        <w:t xml:space="preserve"> serious enough to be considered “persistent or substantive” within the meaning of the ground in question</w:t>
      </w:r>
      <w:r w:rsidRPr="00C80A52">
        <w:rPr>
          <w:rStyle w:val="FootnoteReference"/>
          <w:color w:val="002060"/>
          <w:szCs w:val="24"/>
        </w:rPr>
        <w:footnoteReference w:id="15"/>
      </w:r>
      <w:r w:rsidRPr="00C80A52">
        <w:rPr>
          <w:color w:val="002060"/>
          <w:szCs w:val="24"/>
        </w:rPr>
        <w:t xml:space="preserve">. </w:t>
      </w:r>
    </w:p>
    <w:p w14:paraId="487BDA58" w14:textId="2D7A2ACA" w:rsidR="00182674" w:rsidRPr="00B958A9" w:rsidRDefault="00182674" w:rsidP="00182674">
      <w:pPr>
        <w:rPr>
          <w:color w:val="002060"/>
          <w:szCs w:val="24"/>
        </w:rPr>
      </w:pPr>
      <w:r w:rsidRPr="00C80A52">
        <w:rPr>
          <w:b/>
          <w:bCs/>
          <w:color w:val="002060"/>
          <w:szCs w:val="24"/>
        </w:rPr>
        <w:t>In some states, some important aspects considered in assessing the persistence of deficiencies may also include the question whether they affected the proper performance of the contact by the economic operator</w:t>
      </w:r>
      <w:r w:rsidRPr="00C80A52">
        <w:rPr>
          <w:color w:val="002060"/>
          <w:szCs w:val="24"/>
        </w:rPr>
        <w:t xml:space="preserve">. In Greece, a situation where an economic operator committed minor deficiencies in the course of performing a contract, but performed the contract in spite of those violations, was found insufficient to apply this ground. </w:t>
      </w:r>
    </w:p>
    <w:p w14:paraId="4ABE2471" w14:textId="5B5869B9" w:rsidR="001A57DA" w:rsidRPr="00B958A9" w:rsidRDefault="00182674" w:rsidP="00182674">
      <w:pPr>
        <w:rPr>
          <w:color w:val="002060"/>
          <w:szCs w:val="24"/>
        </w:rPr>
      </w:pPr>
      <w:r w:rsidRPr="00C80A52">
        <w:rPr>
          <w:b/>
          <w:bCs/>
          <w:color w:val="002060"/>
          <w:szCs w:val="24"/>
        </w:rPr>
        <w:t>In the Polish statutory legislation</w:t>
      </w:r>
      <w:r w:rsidRPr="00C80A52">
        <w:rPr>
          <w:color w:val="002060"/>
          <w:szCs w:val="24"/>
        </w:rPr>
        <w:t xml:space="preserve"> the concept of “significant or persistent deficiency in the performance of a substantive requirement under a prior contract,” has been replaced with “failure to perform or improper performance of a prior contract to a significant extent for reasons attributable to [the economic operator]”</w:t>
      </w:r>
      <w:r w:rsidR="00571D76" w:rsidRPr="00C80A52">
        <w:rPr>
          <w:rStyle w:val="FootnoteReference"/>
          <w:color w:val="002060"/>
          <w:szCs w:val="24"/>
        </w:rPr>
        <w:footnoteReference w:id="16"/>
      </w:r>
      <w:r w:rsidRPr="00C80A52">
        <w:rPr>
          <w:color w:val="002060"/>
          <w:szCs w:val="24"/>
        </w:rPr>
        <w:t>. It has been pointed out in the case law that the following aspects are relevant in this regard:</w:t>
      </w:r>
    </w:p>
    <w:p w14:paraId="2D03338F" w14:textId="72F68DB7" w:rsidR="001A57DA" w:rsidRPr="00B958A9" w:rsidRDefault="009D2936" w:rsidP="00C918B5">
      <w:pPr>
        <w:pStyle w:val="ListParagraph"/>
        <w:numPr>
          <w:ilvl w:val="0"/>
          <w:numId w:val="42"/>
        </w:numPr>
        <w:rPr>
          <w:color w:val="002060"/>
          <w:szCs w:val="24"/>
        </w:rPr>
      </w:pPr>
      <w:r w:rsidRPr="00C80A52">
        <w:rPr>
          <w:color w:val="002060"/>
          <w:szCs w:val="24"/>
        </w:rPr>
        <w:t>“the scope of improper performance or failure to perform the economic operator’s obligation is significant in terms of the value or subject matter when compared to the scope of the contract in place”;</w:t>
      </w:r>
    </w:p>
    <w:p w14:paraId="3844B0FD" w14:textId="5EF3277D" w:rsidR="001A57DA" w:rsidRPr="00B958A9" w:rsidRDefault="009D2936" w:rsidP="00C918B5">
      <w:pPr>
        <w:pStyle w:val="ListParagraph"/>
        <w:numPr>
          <w:ilvl w:val="0"/>
          <w:numId w:val="42"/>
        </w:numPr>
        <w:rPr>
          <w:color w:val="002060"/>
          <w:szCs w:val="24"/>
        </w:rPr>
      </w:pPr>
      <w:r w:rsidRPr="00C80A52">
        <w:rPr>
          <w:color w:val="002060"/>
          <w:szCs w:val="24"/>
        </w:rPr>
        <w:t>“the economic operator’s performance does not meet the contracting authority’s expectations set out in the contract”;</w:t>
      </w:r>
    </w:p>
    <w:p w14:paraId="7D722058" w14:textId="5358DB45" w:rsidR="001A57DA" w:rsidRPr="00B958A9" w:rsidRDefault="009D2936" w:rsidP="00C918B5">
      <w:pPr>
        <w:pStyle w:val="ListParagraph"/>
        <w:numPr>
          <w:ilvl w:val="0"/>
          <w:numId w:val="41"/>
        </w:numPr>
        <w:rPr>
          <w:color w:val="002060"/>
          <w:szCs w:val="24"/>
        </w:rPr>
      </w:pPr>
      <w:r w:rsidRPr="00C80A52">
        <w:rPr>
          <w:color w:val="002060"/>
          <w:szCs w:val="24"/>
        </w:rPr>
        <w:lastRenderedPageBreak/>
        <w:t>“the economic operator’s performance is marked by the same commonly recurring defects, even if not in relation to the most essential requirements, including a chronic failure to meet the deadline for contract performance”</w:t>
      </w:r>
      <w:r w:rsidRPr="00C80A52">
        <w:rPr>
          <w:rStyle w:val="FootnoteReference"/>
          <w:color w:val="002060"/>
          <w:szCs w:val="24"/>
        </w:rPr>
        <w:footnoteReference w:id="17"/>
      </w:r>
      <w:r w:rsidRPr="00C80A52">
        <w:rPr>
          <w:color w:val="002060"/>
          <w:szCs w:val="24"/>
        </w:rPr>
        <w:t xml:space="preserve">. </w:t>
      </w:r>
    </w:p>
    <w:p w14:paraId="0FB2739D" w14:textId="42C84BA5" w:rsidR="00182674" w:rsidRPr="00B958A9" w:rsidRDefault="00182674" w:rsidP="00182674">
      <w:pPr>
        <w:rPr>
          <w:color w:val="002060"/>
          <w:szCs w:val="24"/>
        </w:rPr>
      </w:pPr>
      <w:r w:rsidRPr="00C80A52">
        <w:rPr>
          <w:color w:val="002060"/>
          <w:szCs w:val="24"/>
        </w:rPr>
        <w:t>Therefore, even though the wording of the Polish regulation is not identical with that of Directive 2014/24/EU, the interpretation adopted by the National Appeals Chamber ensures that the underlying ground is applied in a manner conforming to Directive 2014/24/EU.</w:t>
      </w:r>
    </w:p>
    <w:p w14:paraId="431E6440" w14:textId="5E600131" w:rsidR="00182674" w:rsidRPr="00B958A9" w:rsidRDefault="00182674" w:rsidP="00BF25FE">
      <w:pPr>
        <w:pStyle w:val="ListParagraph"/>
        <w:numPr>
          <w:ilvl w:val="0"/>
          <w:numId w:val="22"/>
        </w:numPr>
        <w:spacing w:line="269" w:lineRule="auto"/>
        <w:ind w:left="737" w:hanging="737"/>
        <w:rPr>
          <w:rFonts w:cs="Arial"/>
          <w:b/>
          <w:i/>
          <w:szCs w:val="24"/>
        </w:rPr>
      </w:pPr>
      <w:bookmarkStart w:id="21" w:name="_Hlk19030860"/>
      <w:r w:rsidRPr="00C80A52">
        <w:rPr>
          <w:rFonts w:cs="Arial"/>
          <w:b/>
          <w:bCs/>
          <w:i/>
          <w:iCs/>
          <w:szCs w:val="24"/>
        </w:rPr>
        <w:t>“Significant” deficiencies</w:t>
      </w:r>
    </w:p>
    <w:bookmarkEnd w:id="21"/>
    <w:p w14:paraId="138DFF7B" w14:textId="048D242B" w:rsidR="004C41EF" w:rsidRPr="00B958A9" w:rsidRDefault="00182674" w:rsidP="004C41EF">
      <w:pPr>
        <w:rPr>
          <w:color w:val="002060"/>
          <w:szCs w:val="24"/>
        </w:rPr>
      </w:pPr>
      <w:r w:rsidRPr="00C80A52">
        <w:rPr>
          <w:b/>
          <w:bCs/>
          <w:color w:val="002060"/>
          <w:szCs w:val="24"/>
        </w:rPr>
        <w:t>The assessment whether a deficiency in contract performance has been “significant” depends on the circumstances of the specific case</w:t>
      </w:r>
      <w:r w:rsidRPr="00C80A52">
        <w:rPr>
          <w:color w:val="002060"/>
          <w:szCs w:val="24"/>
        </w:rPr>
        <w:t>. Member states develop their own general interpretation guidelines according to which this assessment is to be made. In Germany and Austria, the term “significant” is understood from the perspective of significance of the breached obligation to attaining the contract’s objectives</w:t>
      </w:r>
      <w:r w:rsidRPr="00C80A52">
        <w:rPr>
          <w:rStyle w:val="FootnoteReference"/>
          <w:color w:val="002060"/>
          <w:szCs w:val="24"/>
        </w:rPr>
        <w:footnoteReference w:id="18"/>
      </w:r>
      <w:r w:rsidRPr="00C80A52">
        <w:rPr>
          <w:color w:val="002060"/>
          <w:szCs w:val="24"/>
        </w:rPr>
        <w:t xml:space="preserve">, the degree of fault and the consequences of improper performance to the contracting authority. According to German case law, a breach must represent a severe factual and financial burden to the contracting authority. In Austria, </w:t>
      </w:r>
      <w:r w:rsidR="008B180D" w:rsidRPr="00C80A52">
        <w:rPr>
          <w:color w:val="002060"/>
          <w:szCs w:val="24"/>
        </w:rPr>
        <w:t xml:space="preserve">it is indicated that </w:t>
      </w:r>
      <w:r w:rsidRPr="00C80A52">
        <w:rPr>
          <w:color w:val="002060"/>
          <w:szCs w:val="24"/>
        </w:rPr>
        <w:t>recurring delays in performance or a failure to perform the service of winter maintenance of roads have been found to represent significant deficiencies in contract performance given the threat to life and health that they entail.</w:t>
      </w:r>
    </w:p>
    <w:p w14:paraId="24D5D9FE" w14:textId="17A1EA39" w:rsidR="003C79AA" w:rsidRPr="00B958A9" w:rsidRDefault="003C79AA" w:rsidP="00BF25FE">
      <w:pPr>
        <w:pStyle w:val="ListParagraph"/>
        <w:numPr>
          <w:ilvl w:val="0"/>
          <w:numId w:val="22"/>
        </w:numPr>
        <w:spacing w:line="269" w:lineRule="auto"/>
        <w:ind w:left="737" w:hanging="737"/>
        <w:rPr>
          <w:rFonts w:cs="Arial"/>
          <w:b/>
          <w:i/>
          <w:szCs w:val="24"/>
        </w:rPr>
      </w:pPr>
      <w:bookmarkStart w:id="22" w:name="_Hlk19031202"/>
      <w:r w:rsidRPr="00C80A52">
        <w:rPr>
          <w:rFonts w:cs="Arial"/>
          <w:b/>
          <w:bCs/>
          <w:i/>
          <w:iCs/>
          <w:szCs w:val="24"/>
        </w:rPr>
        <w:t>“Substantive requirements”</w:t>
      </w:r>
    </w:p>
    <w:bookmarkEnd w:id="22"/>
    <w:p w14:paraId="2D5EB914" w14:textId="478A9039" w:rsidR="003C79AA" w:rsidRPr="00B958A9" w:rsidRDefault="001A57DA" w:rsidP="003C79AA">
      <w:pPr>
        <w:spacing w:line="269" w:lineRule="auto"/>
        <w:rPr>
          <w:rFonts w:cs="Arial"/>
          <w:bCs/>
          <w:iCs/>
          <w:szCs w:val="24"/>
        </w:rPr>
      </w:pPr>
      <w:r w:rsidRPr="00C80A52">
        <w:rPr>
          <w:rFonts w:cs="Arial"/>
          <w:b/>
          <w:bCs/>
          <w:szCs w:val="24"/>
        </w:rPr>
        <w:t xml:space="preserve">The following aspects may be taken into account when assessing </w:t>
      </w:r>
      <w:proofErr w:type="spellStart"/>
      <w:r w:rsidRPr="00C80A52">
        <w:rPr>
          <w:rFonts w:cs="Arial"/>
          <w:b/>
          <w:bCs/>
          <w:szCs w:val="24"/>
        </w:rPr>
        <w:t>substantiveness</w:t>
      </w:r>
      <w:proofErr w:type="spellEnd"/>
      <w:r w:rsidRPr="00C80A52">
        <w:rPr>
          <w:rFonts w:cs="Arial"/>
          <w:szCs w:val="24"/>
        </w:rPr>
        <w:t>:</w:t>
      </w:r>
    </w:p>
    <w:p w14:paraId="25EEF994" w14:textId="77777777" w:rsidR="003C79AA" w:rsidRPr="00B958A9" w:rsidRDefault="003C79AA" w:rsidP="00BF25FE">
      <w:pPr>
        <w:pStyle w:val="ListParagraph"/>
        <w:numPr>
          <w:ilvl w:val="0"/>
          <w:numId w:val="23"/>
        </w:numPr>
        <w:ind w:left="851" w:hanging="851"/>
        <w:contextualSpacing w:val="0"/>
        <w:rPr>
          <w:rFonts w:cs="Arial"/>
          <w:color w:val="002060"/>
          <w:szCs w:val="24"/>
        </w:rPr>
      </w:pPr>
      <w:r w:rsidRPr="00C80A52">
        <w:rPr>
          <w:rFonts w:cs="Arial"/>
          <w:color w:val="002060"/>
          <w:szCs w:val="24"/>
        </w:rPr>
        <w:t xml:space="preserve">the nature of deficiencies, </w:t>
      </w:r>
    </w:p>
    <w:p w14:paraId="5BE956EA" w14:textId="77777777" w:rsidR="003C79AA" w:rsidRPr="00B958A9" w:rsidRDefault="003C79AA" w:rsidP="00BF25FE">
      <w:pPr>
        <w:pStyle w:val="ListParagraph"/>
        <w:numPr>
          <w:ilvl w:val="0"/>
          <w:numId w:val="23"/>
        </w:numPr>
        <w:ind w:left="851" w:hanging="851"/>
        <w:contextualSpacing w:val="0"/>
        <w:rPr>
          <w:rFonts w:cs="Arial"/>
          <w:color w:val="002060"/>
          <w:szCs w:val="24"/>
        </w:rPr>
      </w:pPr>
      <w:r w:rsidRPr="00C80A52">
        <w:rPr>
          <w:rFonts w:cs="Arial"/>
          <w:color w:val="002060"/>
          <w:szCs w:val="24"/>
        </w:rPr>
        <w:t xml:space="preserve">the quantity of products not delivered as compared to the quantity provided for in the contract, </w:t>
      </w:r>
    </w:p>
    <w:p w14:paraId="21B83909" w14:textId="77777777" w:rsidR="003C79AA" w:rsidRPr="00B958A9" w:rsidRDefault="003C79AA" w:rsidP="00BF25FE">
      <w:pPr>
        <w:pStyle w:val="ListParagraph"/>
        <w:numPr>
          <w:ilvl w:val="0"/>
          <w:numId w:val="23"/>
        </w:numPr>
        <w:ind w:left="851" w:hanging="851"/>
        <w:contextualSpacing w:val="0"/>
        <w:rPr>
          <w:rFonts w:cs="Arial"/>
          <w:color w:val="002060"/>
          <w:szCs w:val="24"/>
        </w:rPr>
      </w:pPr>
      <w:r w:rsidRPr="00C80A52">
        <w:rPr>
          <w:rFonts w:cs="Arial"/>
          <w:color w:val="002060"/>
          <w:szCs w:val="24"/>
        </w:rPr>
        <w:t xml:space="preserve">the value of the subject matter of the contract that has not been performed or has not been performed within the contractual deadline, </w:t>
      </w:r>
    </w:p>
    <w:p w14:paraId="3370C292" w14:textId="77777777" w:rsidR="003C79AA" w:rsidRPr="00B958A9" w:rsidRDefault="003C79AA" w:rsidP="00BF25FE">
      <w:pPr>
        <w:pStyle w:val="ListParagraph"/>
        <w:numPr>
          <w:ilvl w:val="0"/>
          <w:numId w:val="23"/>
        </w:numPr>
        <w:ind w:left="851" w:hanging="851"/>
        <w:contextualSpacing w:val="0"/>
        <w:rPr>
          <w:rFonts w:cs="Arial"/>
          <w:color w:val="002060"/>
          <w:szCs w:val="24"/>
        </w:rPr>
      </w:pPr>
      <w:r w:rsidRPr="00C80A52">
        <w:rPr>
          <w:rFonts w:cs="Arial"/>
          <w:color w:val="002060"/>
          <w:szCs w:val="24"/>
        </w:rPr>
        <w:lastRenderedPageBreak/>
        <w:t>breach of contractual balance,</w:t>
      </w:r>
    </w:p>
    <w:p w14:paraId="07E52CA4" w14:textId="77777777" w:rsidR="003C79AA" w:rsidRPr="00B958A9" w:rsidRDefault="003C79AA" w:rsidP="00BF25FE">
      <w:pPr>
        <w:pStyle w:val="ListParagraph"/>
        <w:numPr>
          <w:ilvl w:val="0"/>
          <w:numId w:val="23"/>
        </w:numPr>
        <w:ind w:left="851" w:hanging="851"/>
        <w:contextualSpacing w:val="0"/>
        <w:rPr>
          <w:rFonts w:cs="Arial"/>
          <w:color w:val="002060"/>
          <w:szCs w:val="24"/>
        </w:rPr>
      </w:pPr>
      <w:r w:rsidRPr="00C80A52">
        <w:rPr>
          <w:rFonts w:cs="Arial"/>
          <w:color w:val="002060"/>
          <w:szCs w:val="24"/>
        </w:rPr>
        <w:t>gravity of the breached contractual provisions,</w:t>
      </w:r>
    </w:p>
    <w:p w14:paraId="7DEE3BA2" w14:textId="77777777" w:rsidR="003C79AA" w:rsidRPr="00B958A9" w:rsidRDefault="003C79AA" w:rsidP="00BF25FE">
      <w:pPr>
        <w:pStyle w:val="ListParagraph"/>
        <w:numPr>
          <w:ilvl w:val="0"/>
          <w:numId w:val="23"/>
        </w:numPr>
        <w:ind w:left="851" w:hanging="851"/>
        <w:contextualSpacing w:val="0"/>
        <w:rPr>
          <w:rFonts w:cs="Arial"/>
          <w:color w:val="002060"/>
          <w:szCs w:val="24"/>
        </w:rPr>
      </w:pPr>
      <w:r w:rsidRPr="00C80A52">
        <w:rPr>
          <w:rFonts w:cs="Arial"/>
          <w:color w:val="002060"/>
          <w:szCs w:val="24"/>
        </w:rPr>
        <w:t>intentional non-performance of contract by the economic operator.</w:t>
      </w:r>
    </w:p>
    <w:p w14:paraId="3772AE90" w14:textId="12E0C288" w:rsidR="003C79AA" w:rsidRPr="00B958A9" w:rsidRDefault="003C79AA" w:rsidP="003C79AA">
      <w:pPr>
        <w:spacing w:line="269" w:lineRule="auto"/>
        <w:rPr>
          <w:rFonts w:cs="Arial"/>
          <w:bCs/>
          <w:iCs/>
          <w:szCs w:val="24"/>
        </w:rPr>
      </w:pPr>
      <w:r w:rsidRPr="00C80A52">
        <w:rPr>
          <w:rFonts w:cs="Arial"/>
          <w:szCs w:val="24"/>
        </w:rPr>
        <w:t>The “</w:t>
      </w:r>
      <w:proofErr w:type="spellStart"/>
      <w:r w:rsidRPr="00C80A52">
        <w:rPr>
          <w:rFonts w:cs="Arial"/>
          <w:szCs w:val="24"/>
        </w:rPr>
        <w:t>substantiveness</w:t>
      </w:r>
      <w:proofErr w:type="spellEnd"/>
      <w:r w:rsidRPr="00C80A52">
        <w:rPr>
          <w:rFonts w:cs="Arial"/>
          <w:szCs w:val="24"/>
        </w:rPr>
        <w:t xml:space="preserve">” of contractual requirements is sometimes understood in accordance with the general rules of the contract (civil) law applicable in the given state (as is the case e.g. of Norway or Lithuania). </w:t>
      </w:r>
    </w:p>
    <w:p w14:paraId="459F95C4" w14:textId="20AAB0B0" w:rsidR="003C79AA" w:rsidRPr="00B958A9" w:rsidRDefault="00902FC0" w:rsidP="003C79AA">
      <w:pPr>
        <w:spacing w:line="269" w:lineRule="auto"/>
        <w:rPr>
          <w:rFonts w:cs="Arial"/>
          <w:bCs/>
          <w:iCs/>
          <w:szCs w:val="24"/>
        </w:rPr>
      </w:pPr>
      <w:r w:rsidRPr="00C80A52">
        <w:rPr>
          <w:rFonts w:cs="Arial"/>
          <w:szCs w:val="24"/>
        </w:rPr>
        <w:t>In Bulgaria, this ground is only applied in situations where the failure to perform the contract affects at least 50% of the contract’s value.</w:t>
      </w:r>
    </w:p>
    <w:p w14:paraId="164156AC" w14:textId="2CBD5A55" w:rsidR="003C79AA" w:rsidRPr="00B958A9" w:rsidRDefault="003C79AA" w:rsidP="003C79AA">
      <w:pPr>
        <w:spacing w:line="269" w:lineRule="auto"/>
        <w:rPr>
          <w:rFonts w:cs="Arial"/>
          <w:bCs/>
          <w:iCs/>
          <w:szCs w:val="24"/>
        </w:rPr>
      </w:pPr>
      <w:proofErr w:type="spellStart"/>
      <w:r w:rsidRPr="00C80A52">
        <w:rPr>
          <w:rFonts w:cs="Arial"/>
          <w:b/>
          <w:bCs/>
          <w:szCs w:val="24"/>
        </w:rPr>
        <w:t>Substantiveness</w:t>
      </w:r>
      <w:proofErr w:type="spellEnd"/>
      <w:r w:rsidRPr="00C80A52">
        <w:rPr>
          <w:rFonts w:cs="Arial"/>
          <w:b/>
          <w:bCs/>
          <w:szCs w:val="24"/>
        </w:rPr>
        <w:t xml:space="preserve"> of requirements is also often perceived by member states in terms of the consequences of a given breach, i.e. if a failure to perform or improper performance of a contract has led to its termination, damages or other comparable sanctions, this </w:t>
      </w:r>
      <w:r w:rsidR="001C1797" w:rsidRPr="00C80A52">
        <w:rPr>
          <w:rFonts w:cs="Arial"/>
          <w:b/>
          <w:bCs/>
          <w:szCs w:val="24"/>
        </w:rPr>
        <w:t>decides</w:t>
      </w:r>
      <w:r w:rsidRPr="00C80A52">
        <w:rPr>
          <w:rFonts w:cs="Arial"/>
          <w:b/>
          <w:bCs/>
          <w:szCs w:val="24"/>
        </w:rPr>
        <w:t xml:space="preserve"> that a breach has been significant</w:t>
      </w:r>
      <w:r w:rsidRPr="00C80A52">
        <w:rPr>
          <w:rFonts w:cs="Arial"/>
          <w:szCs w:val="24"/>
        </w:rPr>
        <w:t>. In most states, the consequences that must occur are “termination of the contract, damages or other comparable sanctions”, but in some states a significant breach of contract is also one that merely leads to notice of termination being given by the contracting authority (</w:t>
      </w:r>
      <w:r w:rsidR="001C1797" w:rsidRPr="00C80A52">
        <w:rPr>
          <w:rFonts w:cs="Arial"/>
          <w:szCs w:val="24"/>
        </w:rPr>
        <w:t>e.g.</w:t>
      </w:r>
      <w:r w:rsidRPr="00C80A52">
        <w:rPr>
          <w:rFonts w:cs="Arial"/>
          <w:szCs w:val="24"/>
        </w:rPr>
        <w:t xml:space="preserve"> in Latvia). In Finland, while “giving notice of contract termination” is one of the sanctions that must be brought about by the deficiencies, in a situation where the contracting authority has had grounds to give notice of termination of a prior contract, but has not done so only because of </w:t>
      </w:r>
      <w:r w:rsidR="00891124">
        <w:rPr>
          <w:rFonts w:cs="Arial"/>
          <w:szCs w:val="24"/>
        </w:rPr>
        <w:t>the acute need for carrying out the procurement</w:t>
      </w:r>
      <w:r w:rsidRPr="00C80A52">
        <w:rPr>
          <w:rFonts w:cs="Arial"/>
          <w:szCs w:val="24"/>
        </w:rPr>
        <w:t xml:space="preserve">, these exclusion grounds will also be applicable. In Slovakia, a breached contractual requirement is considered substantive if its weight is such that, had the other party known about it at the time of the contract execution, it would not have entered into the contract. </w:t>
      </w:r>
    </w:p>
    <w:p w14:paraId="63A6CF7C" w14:textId="77777777" w:rsidR="003C79AA" w:rsidRPr="00B958A9" w:rsidRDefault="003C79AA" w:rsidP="003C79AA">
      <w:pPr>
        <w:spacing w:line="269" w:lineRule="auto"/>
        <w:rPr>
          <w:rFonts w:cs="Arial"/>
          <w:b/>
          <w:bCs/>
          <w:szCs w:val="24"/>
        </w:rPr>
      </w:pPr>
      <w:r w:rsidRPr="00C80A52">
        <w:rPr>
          <w:rFonts w:cs="Arial"/>
          <w:szCs w:val="24"/>
        </w:rPr>
        <w:t xml:space="preserve">Examples of breaches that are regarded as breaches of substantive requirements in member states: </w:t>
      </w:r>
    </w:p>
    <w:p w14:paraId="1172C16F" w14:textId="2ABED46C" w:rsidR="003C79AA" w:rsidRPr="00B958A9" w:rsidRDefault="003C79AA" w:rsidP="00BF25FE">
      <w:pPr>
        <w:pStyle w:val="ListParagraph"/>
        <w:numPr>
          <w:ilvl w:val="0"/>
          <w:numId w:val="24"/>
        </w:numPr>
        <w:ind w:left="851" w:hanging="851"/>
        <w:contextualSpacing w:val="0"/>
        <w:rPr>
          <w:rFonts w:cs="Arial"/>
          <w:color w:val="002060"/>
          <w:szCs w:val="24"/>
        </w:rPr>
      </w:pPr>
      <w:r w:rsidRPr="00C80A52">
        <w:rPr>
          <w:rFonts w:cs="Arial"/>
          <w:color w:val="002060"/>
          <w:szCs w:val="24"/>
        </w:rPr>
        <w:t xml:space="preserve">in Belgium, exclusion on account of </w:t>
      </w:r>
      <w:r w:rsidR="009039DB" w:rsidRPr="00C80A52">
        <w:rPr>
          <w:rFonts w:cs="Arial"/>
          <w:color w:val="002060"/>
          <w:szCs w:val="24"/>
        </w:rPr>
        <w:t xml:space="preserve">non-performance </w:t>
      </w:r>
      <w:r w:rsidRPr="00C80A52">
        <w:rPr>
          <w:rFonts w:cs="Arial"/>
          <w:color w:val="002060"/>
          <w:szCs w:val="24"/>
        </w:rPr>
        <w:t xml:space="preserve">or improper performance of a prior contract can only take place if deficiencies in the performance of a prior contract are relevant in the context of the contract to which the tender relates (e.g. a similar subject of the contract) and </w:t>
      </w:r>
      <w:r w:rsidR="00AF0C17" w:rsidRPr="00C80A52">
        <w:rPr>
          <w:rFonts w:cs="Arial"/>
          <w:color w:val="002060"/>
          <w:szCs w:val="24"/>
        </w:rPr>
        <w:t xml:space="preserve">an appropriate period </w:t>
      </w:r>
      <w:r w:rsidRPr="00C80A52">
        <w:rPr>
          <w:rFonts w:cs="Arial"/>
          <w:color w:val="002060"/>
          <w:szCs w:val="24"/>
        </w:rPr>
        <w:t xml:space="preserve">has passed since the </w:t>
      </w:r>
      <w:r w:rsidR="00AF0C17" w:rsidRPr="00C80A52">
        <w:rPr>
          <w:rFonts w:cs="Arial"/>
          <w:color w:val="002060"/>
          <w:szCs w:val="24"/>
        </w:rPr>
        <w:t xml:space="preserve">non-performance </w:t>
      </w:r>
      <w:r w:rsidRPr="00C80A52">
        <w:rPr>
          <w:rFonts w:cs="Arial"/>
          <w:color w:val="002060"/>
          <w:szCs w:val="24"/>
        </w:rPr>
        <w:t>or improper performance of a prior contract,</w:t>
      </w:r>
    </w:p>
    <w:p w14:paraId="39A346ED" w14:textId="5E088986" w:rsidR="003C79AA" w:rsidRPr="00B958A9" w:rsidRDefault="003C79AA" w:rsidP="00BF25FE">
      <w:pPr>
        <w:pStyle w:val="ListParagraph"/>
        <w:numPr>
          <w:ilvl w:val="0"/>
          <w:numId w:val="24"/>
        </w:numPr>
        <w:ind w:left="851" w:hanging="851"/>
        <w:contextualSpacing w:val="0"/>
        <w:rPr>
          <w:rFonts w:cs="Arial"/>
          <w:color w:val="002060"/>
          <w:szCs w:val="24"/>
        </w:rPr>
      </w:pPr>
      <w:r w:rsidRPr="00C80A52">
        <w:rPr>
          <w:rFonts w:cs="Arial"/>
          <w:color w:val="002060"/>
          <w:szCs w:val="24"/>
        </w:rPr>
        <w:t>the delivered product is defective to such extent that it cannot be used in accordance with its intended purpose (Italy).</w:t>
      </w:r>
    </w:p>
    <w:p w14:paraId="11FF739E" w14:textId="34D657E2" w:rsidR="003C79AA" w:rsidRPr="00B958A9" w:rsidRDefault="003C79AA" w:rsidP="00BF25FE">
      <w:pPr>
        <w:pStyle w:val="ListParagraph"/>
        <w:numPr>
          <w:ilvl w:val="0"/>
          <w:numId w:val="22"/>
        </w:numPr>
        <w:spacing w:line="269" w:lineRule="auto"/>
        <w:ind w:left="737" w:hanging="737"/>
        <w:rPr>
          <w:rFonts w:cs="Arial"/>
          <w:b/>
          <w:i/>
          <w:szCs w:val="24"/>
        </w:rPr>
      </w:pPr>
      <w:bookmarkStart w:id="23" w:name="_Hlk19031253"/>
      <w:r w:rsidRPr="00C80A52">
        <w:rPr>
          <w:rFonts w:cs="Arial"/>
          <w:b/>
          <w:bCs/>
          <w:i/>
          <w:iCs/>
          <w:szCs w:val="24"/>
        </w:rPr>
        <w:lastRenderedPageBreak/>
        <w:t>A subjectively or objectively substantive requirement?</w:t>
      </w:r>
    </w:p>
    <w:bookmarkEnd w:id="23"/>
    <w:p w14:paraId="281A1172" w14:textId="21A83235" w:rsidR="003C79AA" w:rsidRPr="00B958A9" w:rsidRDefault="003C79AA" w:rsidP="003C79AA">
      <w:pPr>
        <w:spacing w:line="269" w:lineRule="auto"/>
        <w:rPr>
          <w:rFonts w:cs="Arial"/>
          <w:bCs/>
          <w:iCs/>
          <w:szCs w:val="24"/>
        </w:rPr>
      </w:pPr>
      <w:r w:rsidRPr="00C80A52">
        <w:rPr>
          <w:rFonts w:cs="Arial"/>
          <w:b/>
          <w:bCs/>
          <w:szCs w:val="24"/>
        </w:rPr>
        <w:t>According to the uniform case law of the member states, the fact whether an economic operator has improperly performed a prior procurement contract to a significant extent must be established through an objective analysis</w:t>
      </w:r>
      <w:r w:rsidRPr="00C80A52">
        <w:rPr>
          <w:rFonts w:cs="Arial"/>
          <w:szCs w:val="24"/>
        </w:rPr>
        <w:t>. This standpoint is also expressed in the National Appeals Chamber’s adjudication practice</w:t>
      </w:r>
      <w:r w:rsidRPr="00C80A52">
        <w:rPr>
          <w:rStyle w:val="FootnoteReference"/>
          <w:rFonts w:cs="Arial"/>
          <w:szCs w:val="24"/>
        </w:rPr>
        <w:footnoteReference w:id="19"/>
      </w:r>
      <w:r w:rsidRPr="00C80A52">
        <w:rPr>
          <w:rFonts w:cs="Arial"/>
          <w:szCs w:val="24"/>
        </w:rPr>
        <w:t xml:space="preserve">. This means that the given fact must objectively constitute a “substantive requirement”. Croatian case law points out that an economic operator is not subject to exclusion if early termination has been prompted by a failure to meet requirements that were requested by the contracting authority only when the performance of the public procurement contract was already underway, but were not contained in the tender documentation. </w:t>
      </w:r>
    </w:p>
    <w:p w14:paraId="0B1BFE0F" w14:textId="3236F501" w:rsidR="003C79AA" w:rsidRPr="00B958A9" w:rsidRDefault="003C79AA" w:rsidP="003C79AA">
      <w:pPr>
        <w:spacing w:line="269" w:lineRule="auto"/>
        <w:rPr>
          <w:rFonts w:cs="Arial"/>
          <w:bCs/>
          <w:iCs/>
          <w:szCs w:val="24"/>
        </w:rPr>
      </w:pPr>
      <w:r w:rsidRPr="00C80A52">
        <w:rPr>
          <w:rFonts w:cs="Arial"/>
          <w:szCs w:val="24"/>
        </w:rPr>
        <w:t>It is different in Slovenia and Greece, where the “</w:t>
      </w:r>
      <w:proofErr w:type="spellStart"/>
      <w:r w:rsidRPr="00C80A52">
        <w:rPr>
          <w:rFonts w:cs="Arial"/>
          <w:szCs w:val="24"/>
        </w:rPr>
        <w:t>substantiveness</w:t>
      </w:r>
      <w:proofErr w:type="spellEnd"/>
      <w:r w:rsidRPr="00C80A52">
        <w:rPr>
          <w:rFonts w:cs="Arial"/>
          <w:szCs w:val="24"/>
        </w:rPr>
        <w:t xml:space="preserve">” of a requirement is assessed from the </w:t>
      </w:r>
      <w:r w:rsidR="002B1704" w:rsidRPr="00C80A52">
        <w:rPr>
          <w:rFonts w:cs="Arial"/>
          <w:szCs w:val="24"/>
        </w:rPr>
        <w:t xml:space="preserve">perspective of the </w:t>
      </w:r>
      <w:r w:rsidRPr="00C80A52">
        <w:rPr>
          <w:rFonts w:cs="Arial"/>
          <w:szCs w:val="24"/>
        </w:rPr>
        <w:t>contracting authority</w:t>
      </w:r>
      <w:r w:rsidR="002B1704" w:rsidRPr="00C80A52">
        <w:rPr>
          <w:rFonts w:cs="Arial"/>
          <w:szCs w:val="24"/>
        </w:rPr>
        <w:t xml:space="preserve"> which decides on exclusion</w:t>
      </w:r>
      <w:r w:rsidRPr="00C80A52">
        <w:rPr>
          <w:rFonts w:cs="Arial"/>
          <w:szCs w:val="24"/>
        </w:rPr>
        <w:t xml:space="preserve">. </w:t>
      </w:r>
    </w:p>
    <w:p w14:paraId="1DF64E73" w14:textId="7C992EB8" w:rsidR="003C79AA" w:rsidRPr="00B958A9" w:rsidRDefault="003C79AA" w:rsidP="003C79AA">
      <w:pPr>
        <w:spacing w:line="269" w:lineRule="auto"/>
        <w:rPr>
          <w:rFonts w:cs="Arial"/>
          <w:bCs/>
          <w:iCs/>
          <w:szCs w:val="24"/>
        </w:rPr>
      </w:pPr>
      <w:r w:rsidRPr="00C80A52">
        <w:rPr>
          <w:rFonts w:cs="Arial"/>
          <w:szCs w:val="24"/>
        </w:rPr>
        <w:t>A question may arise whether the “</w:t>
      </w:r>
      <w:proofErr w:type="spellStart"/>
      <w:r w:rsidRPr="00C80A52">
        <w:rPr>
          <w:rFonts w:cs="Arial"/>
          <w:szCs w:val="24"/>
        </w:rPr>
        <w:t>substantiveness</w:t>
      </w:r>
      <w:proofErr w:type="spellEnd"/>
      <w:r w:rsidRPr="00C80A52">
        <w:rPr>
          <w:rFonts w:cs="Arial"/>
          <w:szCs w:val="24"/>
        </w:rPr>
        <w:t>” of requirements must be known in advance and notified to the economic operator, e.g. by means of appropriately formulated contractual provisions. It seems that the answer to that is negative. One exception is Spain, where, as a condition to applying this ground, the prior contract must explicitly state that the given requirement is substantive or that it constitutes one of the main contractual obligations. Such a requirement also exists in Lithuania, except that, in situations where a contract executed in that state does not distinctively stipulate provisions of substantive nature, the contracting authority is required to request the court’s opinion on the “</w:t>
      </w:r>
      <w:proofErr w:type="spellStart"/>
      <w:r w:rsidRPr="00C80A52">
        <w:rPr>
          <w:rFonts w:cs="Arial"/>
          <w:szCs w:val="24"/>
        </w:rPr>
        <w:t>substantiveness</w:t>
      </w:r>
      <w:proofErr w:type="spellEnd"/>
      <w:r w:rsidRPr="00C80A52">
        <w:rPr>
          <w:rFonts w:cs="Arial"/>
          <w:szCs w:val="24"/>
        </w:rPr>
        <w:t>” of the given requirement.</w:t>
      </w:r>
    </w:p>
    <w:p w14:paraId="0DFC5CF1" w14:textId="77777777" w:rsidR="00833C61" w:rsidRPr="00B958A9" w:rsidRDefault="00833C61" w:rsidP="00BF25FE">
      <w:pPr>
        <w:pStyle w:val="ListParagraph"/>
        <w:numPr>
          <w:ilvl w:val="0"/>
          <w:numId w:val="22"/>
        </w:numPr>
        <w:spacing w:line="269" w:lineRule="auto"/>
        <w:ind w:left="737" w:hanging="737"/>
        <w:rPr>
          <w:rFonts w:cs="Arial"/>
          <w:b/>
          <w:i/>
          <w:szCs w:val="24"/>
        </w:rPr>
      </w:pPr>
      <w:bookmarkStart w:id="24" w:name="_Hlk19031389"/>
      <w:r w:rsidRPr="00C80A52">
        <w:rPr>
          <w:rFonts w:cs="Arial"/>
          <w:b/>
          <w:bCs/>
          <w:i/>
          <w:iCs/>
          <w:szCs w:val="24"/>
        </w:rPr>
        <w:t>Exclusion of an economic operator in the course of pending litigation</w:t>
      </w:r>
    </w:p>
    <w:bookmarkEnd w:id="24"/>
    <w:p w14:paraId="5496809B" w14:textId="77777777" w:rsidR="00D42445" w:rsidRPr="00B958A9" w:rsidRDefault="00833C61" w:rsidP="00833C61">
      <w:pPr>
        <w:spacing w:line="269" w:lineRule="auto"/>
        <w:rPr>
          <w:rFonts w:cs="Arial"/>
          <w:bCs/>
          <w:iCs/>
          <w:szCs w:val="24"/>
        </w:rPr>
      </w:pPr>
      <w:r w:rsidRPr="00C80A52">
        <w:rPr>
          <w:rFonts w:cs="Arial"/>
          <w:szCs w:val="24"/>
        </w:rPr>
        <w:t xml:space="preserve">There are no national regulations addressing the question whether the exclusion ground will be applicable in the course of pending litigation proceedings concerning the legitimacy of early contract termination by the contracting authority. </w:t>
      </w:r>
    </w:p>
    <w:p w14:paraId="25863F6D" w14:textId="2BB15ADD" w:rsidR="00833C61" w:rsidRPr="00B958A9" w:rsidRDefault="0039087D" w:rsidP="00833C61">
      <w:pPr>
        <w:spacing w:line="269" w:lineRule="auto"/>
        <w:rPr>
          <w:rFonts w:cs="Arial"/>
          <w:bCs/>
          <w:iCs/>
          <w:szCs w:val="24"/>
        </w:rPr>
      </w:pPr>
      <w:r w:rsidRPr="00C80A52">
        <w:rPr>
          <w:rFonts w:cs="Arial"/>
          <w:b/>
          <w:bCs/>
          <w:szCs w:val="24"/>
        </w:rPr>
        <w:t xml:space="preserve">In most states it is assumed that the fact of being involved in a court dispute </w:t>
      </w:r>
      <w:r w:rsidR="00B958A9" w:rsidRPr="00C80A52">
        <w:rPr>
          <w:rFonts w:cs="Arial"/>
          <w:b/>
          <w:bCs/>
          <w:szCs w:val="24"/>
        </w:rPr>
        <w:t xml:space="preserve">concerning the legitimacy of the contracting authority terminating the contract early </w:t>
      </w:r>
      <w:r w:rsidRPr="00C80A52">
        <w:rPr>
          <w:rFonts w:cs="Arial"/>
          <w:b/>
          <w:bCs/>
          <w:szCs w:val="24"/>
        </w:rPr>
        <w:t>does not represent an exclusion ground</w:t>
      </w:r>
      <w:r w:rsidRPr="00C80A52">
        <w:rPr>
          <w:rStyle w:val="FootnoteReference"/>
          <w:rFonts w:cs="Arial"/>
          <w:szCs w:val="24"/>
        </w:rPr>
        <w:footnoteReference w:id="20"/>
      </w:r>
      <w:r w:rsidRPr="00C80A52">
        <w:rPr>
          <w:rFonts w:cs="Arial"/>
          <w:szCs w:val="24"/>
        </w:rPr>
        <w:t xml:space="preserve">. </w:t>
      </w:r>
    </w:p>
    <w:p w14:paraId="071A8376" w14:textId="1DDF3A92" w:rsidR="00833C61" w:rsidRPr="00B958A9" w:rsidRDefault="00833C61" w:rsidP="00833C61">
      <w:pPr>
        <w:spacing w:line="269" w:lineRule="auto"/>
        <w:rPr>
          <w:rFonts w:cs="Arial"/>
          <w:bCs/>
          <w:iCs/>
          <w:szCs w:val="24"/>
        </w:rPr>
      </w:pPr>
      <w:r w:rsidRPr="00C80A52">
        <w:rPr>
          <w:rFonts w:cs="Arial"/>
          <w:szCs w:val="24"/>
        </w:rPr>
        <w:lastRenderedPageBreak/>
        <w:t>One can also find a different view – in some states ongoing court proceedings regarding premature termination of contract are not an obstacle to applying the said exclusion grounds to an economic operator (France, Czech Republic, the Netherlands, Belgium, Estonia, Latvia</w:t>
      </w:r>
      <w:r w:rsidR="00B958A9" w:rsidRPr="00C80A52">
        <w:rPr>
          <w:rFonts w:cs="Arial"/>
          <w:szCs w:val="24"/>
        </w:rPr>
        <w:t>, Italy</w:t>
      </w:r>
      <w:r w:rsidRPr="00C80A52">
        <w:rPr>
          <w:rFonts w:cs="Arial"/>
          <w:szCs w:val="24"/>
        </w:rPr>
        <w:t>)</w:t>
      </w:r>
      <w:r w:rsidR="00B958A9" w:rsidRPr="00C80A52">
        <w:rPr>
          <w:rStyle w:val="FootnoteReference"/>
          <w:rFonts w:cs="Arial"/>
          <w:szCs w:val="24"/>
        </w:rPr>
        <w:footnoteReference w:id="21"/>
      </w:r>
      <w:r w:rsidRPr="00C80A52">
        <w:rPr>
          <w:rFonts w:cs="Arial"/>
          <w:szCs w:val="24"/>
        </w:rPr>
        <w:t>.</w:t>
      </w:r>
    </w:p>
    <w:p w14:paraId="6A1CB3BC" w14:textId="15B9E623" w:rsidR="00833C61" w:rsidRPr="00B958A9" w:rsidRDefault="00833C61" w:rsidP="00BF25FE">
      <w:pPr>
        <w:pStyle w:val="ListParagraph"/>
        <w:numPr>
          <w:ilvl w:val="0"/>
          <w:numId w:val="22"/>
        </w:numPr>
        <w:spacing w:line="269" w:lineRule="auto"/>
        <w:ind w:left="737" w:hanging="737"/>
        <w:rPr>
          <w:rFonts w:cs="Arial"/>
          <w:b/>
          <w:i/>
          <w:szCs w:val="24"/>
        </w:rPr>
      </w:pPr>
      <w:bookmarkStart w:id="25" w:name="_Hlk19031467"/>
      <w:r w:rsidRPr="00C80A52">
        <w:rPr>
          <w:rFonts w:cs="Arial"/>
          <w:szCs w:val="24"/>
        </w:rPr>
        <w:t xml:space="preserve"> </w:t>
      </w:r>
      <w:r w:rsidRPr="00C80A52">
        <w:rPr>
          <w:rFonts w:cs="Arial"/>
          <w:b/>
          <w:bCs/>
          <w:i/>
          <w:iCs/>
          <w:szCs w:val="24"/>
        </w:rPr>
        <w:t>Termination of a contract by an economic operator</w:t>
      </w:r>
    </w:p>
    <w:bookmarkEnd w:id="25"/>
    <w:p w14:paraId="0A9FAF86" w14:textId="4490698C" w:rsidR="00833C61" w:rsidRPr="00B958A9" w:rsidRDefault="00833C61" w:rsidP="00833C61">
      <w:pPr>
        <w:spacing w:line="269" w:lineRule="auto"/>
        <w:rPr>
          <w:rFonts w:cs="Arial"/>
          <w:bCs/>
          <w:iCs/>
          <w:szCs w:val="24"/>
        </w:rPr>
      </w:pPr>
      <w:r w:rsidRPr="00C80A52">
        <w:rPr>
          <w:rFonts w:cs="Arial"/>
          <w:szCs w:val="24"/>
        </w:rPr>
        <w:t xml:space="preserve">In principle, termination of a contract by an economic operator is not deemed to be a circumstance which justifies exclusion of the economic operator. </w:t>
      </w:r>
    </w:p>
    <w:p w14:paraId="17BE7867" w14:textId="7247A621" w:rsidR="00833C61" w:rsidRPr="00B958A9" w:rsidRDefault="00833C61" w:rsidP="00833C61">
      <w:pPr>
        <w:spacing w:line="269" w:lineRule="auto"/>
        <w:rPr>
          <w:rFonts w:cs="Arial"/>
          <w:bCs/>
          <w:iCs/>
          <w:szCs w:val="24"/>
        </w:rPr>
      </w:pPr>
      <w:r w:rsidRPr="00C80A52">
        <w:rPr>
          <w:rFonts w:cs="Arial"/>
          <w:szCs w:val="24"/>
        </w:rPr>
        <w:t>However, there is a known case where the NAC decided in favour of the contracting authority on the issue of the legitimacy of exclusion, in spite of the fact that the economic operator had first withdrawn from the contract, though in a situation in which the contracting authority also withdrew from the contact at a later stage (where the parties continued to perform the contract regardless of the economic operator’s withdrawal from it)</w:t>
      </w:r>
      <w:r w:rsidRPr="00C80A52">
        <w:rPr>
          <w:rStyle w:val="FootnoteReference"/>
          <w:rFonts w:cs="Arial"/>
          <w:szCs w:val="24"/>
        </w:rPr>
        <w:footnoteReference w:id="22"/>
      </w:r>
      <w:r w:rsidRPr="00C80A52">
        <w:rPr>
          <w:rFonts w:cs="Arial"/>
          <w:szCs w:val="24"/>
        </w:rPr>
        <w:t>.</w:t>
      </w:r>
    </w:p>
    <w:p w14:paraId="6611DB20" w14:textId="483BA8F9" w:rsidR="00833C61" w:rsidRPr="00B958A9" w:rsidRDefault="00833C61" w:rsidP="00BF25FE">
      <w:pPr>
        <w:pStyle w:val="ListParagraph"/>
        <w:numPr>
          <w:ilvl w:val="0"/>
          <w:numId w:val="22"/>
        </w:numPr>
        <w:spacing w:line="269" w:lineRule="auto"/>
        <w:ind w:left="737" w:hanging="737"/>
        <w:contextualSpacing w:val="0"/>
        <w:rPr>
          <w:rFonts w:cs="Arial"/>
          <w:b/>
          <w:i/>
          <w:szCs w:val="24"/>
        </w:rPr>
      </w:pPr>
      <w:bookmarkStart w:id="26" w:name="_Hlk19031587"/>
      <w:r w:rsidRPr="00C80A52">
        <w:rPr>
          <w:rFonts w:cs="Arial"/>
          <w:b/>
          <w:bCs/>
          <w:i/>
          <w:iCs/>
          <w:szCs w:val="24"/>
        </w:rPr>
        <w:t>“Other comparable sanctions”</w:t>
      </w:r>
    </w:p>
    <w:bookmarkEnd w:id="26"/>
    <w:p w14:paraId="0A7FE306" w14:textId="77777777" w:rsidR="00833C61" w:rsidRPr="00B958A9" w:rsidRDefault="00833C61" w:rsidP="00833C61">
      <w:pPr>
        <w:spacing w:line="269" w:lineRule="auto"/>
        <w:rPr>
          <w:rFonts w:cs="Arial"/>
          <w:bCs/>
          <w:iCs/>
          <w:szCs w:val="24"/>
        </w:rPr>
      </w:pPr>
      <w:r w:rsidRPr="00C80A52">
        <w:rPr>
          <w:rFonts w:cs="Arial"/>
          <w:b/>
          <w:bCs/>
          <w:szCs w:val="24"/>
        </w:rPr>
        <w:t>In all EU states the main sanction is decidedly termination of the contract or damages</w:t>
      </w:r>
      <w:r w:rsidRPr="00C80A52">
        <w:rPr>
          <w:rFonts w:cs="Arial"/>
          <w:szCs w:val="24"/>
        </w:rPr>
        <w:t xml:space="preserve">, thus the understanding of the concept of “other comparable sanctions” is of secondary importance. </w:t>
      </w:r>
    </w:p>
    <w:p w14:paraId="78629EFF" w14:textId="64C814D5" w:rsidR="00833C61" w:rsidRPr="00B958A9" w:rsidRDefault="00AF17A1" w:rsidP="00833C61">
      <w:pPr>
        <w:spacing w:line="269" w:lineRule="auto"/>
        <w:rPr>
          <w:rFonts w:cs="Arial"/>
          <w:bCs/>
          <w:iCs/>
          <w:szCs w:val="24"/>
        </w:rPr>
      </w:pPr>
      <w:r w:rsidRPr="00C80A52">
        <w:rPr>
          <w:rFonts w:cs="Arial"/>
          <w:szCs w:val="24"/>
        </w:rPr>
        <w:t>In the majority of states, liquidated damages are considered to be another comparable sanction (Norway, Slovenia, Bulgaria, Denmark, Italy, Ireland, Estonia, and Spain, where the national law does not however refer to other comparable sanctions – such interpretation is therefore based on a pro-EU interpretation of the regulation).</w:t>
      </w:r>
    </w:p>
    <w:p w14:paraId="7A7A8A8E" w14:textId="20268FFA" w:rsidR="00833C61" w:rsidRPr="00B958A9" w:rsidRDefault="00833C61" w:rsidP="00833C61">
      <w:pPr>
        <w:spacing w:line="269" w:lineRule="auto"/>
        <w:rPr>
          <w:rFonts w:cs="Arial"/>
          <w:bCs/>
          <w:iCs/>
          <w:szCs w:val="24"/>
        </w:rPr>
      </w:pPr>
      <w:r w:rsidRPr="00C80A52">
        <w:rPr>
          <w:rFonts w:cs="Arial"/>
          <w:szCs w:val="24"/>
        </w:rPr>
        <w:t>In Sweden, however, it is only the imposition of significant liquidated damages that is seen as the occurrence of exclusion grounds. Similarly in Czech Republic, the imposition of liquidated damages is deemed to be “</w:t>
      </w:r>
      <w:r w:rsidRPr="00C80A52">
        <w:rPr>
          <w:rFonts w:cs="Arial"/>
          <w:i/>
          <w:iCs/>
          <w:szCs w:val="24"/>
        </w:rPr>
        <w:t>another comparable sanction</w:t>
      </w:r>
      <w:r w:rsidRPr="00C80A52">
        <w:rPr>
          <w:rFonts w:cs="Arial"/>
          <w:szCs w:val="24"/>
        </w:rPr>
        <w:t>” when the amount of the damages imposed is significant or when they were imposed for a breach of material obligations.</w:t>
      </w:r>
    </w:p>
    <w:p w14:paraId="4A225568" w14:textId="6677B83A" w:rsidR="00833C61" w:rsidRPr="00B958A9" w:rsidRDefault="00833C61" w:rsidP="00833C61">
      <w:pPr>
        <w:spacing w:line="269" w:lineRule="auto"/>
        <w:rPr>
          <w:rFonts w:cs="Arial"/>
          <w:bCs/>
          <w:iCs/>
          <w:szCs w:val="24"/>
        </w:rPr>
      </w:pPr>
      <w:r w:rsidRPr="00C80A52">
        <w:rPr>
          <w:rFonts w:cs="Arial"/>
          <w:szCs w:val="24"/>
        </w:rPr>
        <w:lastRenderedPageBreak/>
        <w:t xml:space="preserve">However, there are states, such as Croatia, where the imposition of liquidated damages on an economic operator is not seen to be a circumstance which justifies exclusion. </w:t>
      </w:r>
    </w:p>
    <w:p w14:paraId="0AC662DD" w14:textId="77777777" w:rsidR="00AF17A1" w:rsidRPr="00B958A9" w:rsidRDefault="00833C61" w:rsidP="00833C61">
      <w:pPr>
        <w:spacing w:line="269" w:lineRule="auto"/>
        <w:rPr>
          <w:rFonts w:cs="Arial"/>
          <w:bCs/>
          <w:iCs/>
          <w:szCs w:val="24"/>
        </w:rPr>
      </w:pPr>
      <w:r w:rsidRPr="00C80A52">
        <w:rPr>
          <w:rFonts w:cs="Arial"/>
          <w:b/>
          <w:bCs/>
          <w:szCs w:val="24"/>
        </w:rPr>
        <w:t>The following are given as examples of “other comparable sanctions”</w:t>
      </w:r>
      <w:r w:rsidRPr="00C80A52">
        <w:rPr>
          <w:rFonts w:cs="Arial"/>
          <w:szCs w:val="24"/>
        </w:rPr>
        <w:t>:</w:t>
      </w:r>
    </w:p>
    <w:p w14:paraId="076673E3" w14:textId="77777777" w:rsidR="00AF17A1" w:rsidRPr="00B958A9" w:rsidRDefault="00833C61" w:rsidP="00C918B5">
      <w:pPr>
        <w:pStyle w:val="ListParagraph"/>
        <w:numPr>
          <w:ilvl w:val="0"/>
          <w:numId w:val="44"/>
        </w:numPr>
        <w:spacing w:line="269" w:lineRule="auto"/>
        <w:rPr>
          <w:rFonts w:cs="Arial"/>
          <w:bCs/>
          <w:iCs/>
          <w:szCs w:val="24"/>
        </w:rPr>
      </w:pPr>
      <w:r w:rsidRPr="00C80A52">
        <w:rPr>
          <w:rFonts w:cs="Arial"/>
          <w:szCs w:val="24"/>
        </w:rPr>
        <w:t xml:space="preserve">order to make a performance (Cyprus), </w:t>
      </w:r>
    </w:p>
    <w:p w14:paraId="2A8DCB02" w14:textId="77777777" w:rsidR="00AF17A1" w:rsidRPr="00B958A9" w:rsidRDefault="00833C61" w:rsidP="00C918B5">
      <w:pPr>
        <w:pStyle w:val="ListParagraph"/>
        <w:numPr>
          <w:ilvl w:val="0"/>
          <w:numId w:val="44"/>
        </w:numPr>
        <w:spacing w:line="269" w:lineRule="auto"/>
        <w:rPr>
          <w:rFonts w:cs="Arial"/>
          <w:bCs/>
          <w:iCs/>
          <w:szCs w:val="24"/>
        </w:rPr>
      </w:pPr>
      <w:r w:rsidRPr="00C80A52">
        <w:rPr>
          <w:rFonts w:cs="Arial"/>
          <w:szCs w:val="24"/>
        </w:rPr>
        <w:t xml:space="preserve">substitute performance (Belgium, Germany), </w:t>
      </w:r>
    </w:p>
    <w:p w14:paraId="6CE3C9D3" w14:textId="77777777" w:rsidR="00AF17A1" w:rsidRPr="00B958A9" w:rsidRDefault="00833C61" w:rsidP="00C918B5">
      <w:pPr>
        <w:pStyle w:val="ListParagraph"/>
        <w:numPr>
          <w:ilvl w:val="0"/>
          <w:numId w:val="44"/>
        </w:numPr>
        <w:spacing w:line="269" w:lineRule="auto"/>
        <w:rPr>
          <w:rFonts w:cs="Arial"/>
          <w:bCs/>
          <w:iCs/>
          <w:szCs w:val="24"/>
        </w:rPr>
      </w:pPr>
      <w:r w:rsidRPr="00C80A52">
        <w:rPr>
          <w:rFonts w:cs="Arial"/>
          <w:szCs w:val="24"/>
        </w:rPr>
        <w:t xml:space="preserve">lowering of remuneration (Estonia), </w:t>
      </w:r>
    </w:p>
    <w:p w14:paraId="7C3EAE16" w14:textId="77777777" w:rsidR="00AF17A1" w:rsidRPr="00B958A9" w:rsidRDefault="00833C61" w:rsidP="00C918B5">
      <w:pPr>
        <w:pStyle w:val="ListParagraph"/>
        <w:numPr>
          <w:ilvl w:val="0"/>
          <w:numId w:val="44"/>
        </w:numPr>
        <w:spacing w:line="269" w:lineRule="auto"/>
        <w:rPr>
          <w:rFonts w:cs="Arial"/>
          <w:bCs/>
          <w:iCs/>
          <w:szCs w:val="24"/>
        </w:rPr>
      </w:pPr>
      <w:r w:rsidRPr="00C80A52">
        <w:rPr>
          <w:rFonts w:cs="Arial"/>
          <w:szCs w:val="24"/>
        </w:rPr>
        <w:t xml:space="preserve">demand to carry out a broad scope of remedial works (Germany), </w:t>
      </w:r>
    </w:p>
    <w:p w14:paraId="27DC1C16" w14:textId="4C8B958F" w:rsidR="00833C61" w:rsidRPr="00B958A9" w:rsidRDefault="00833C61" w:rsidP="00C918B5">
      <w:pPr>
        <w:pStyle w:val="ListParagraph"/>
        <w:numPr>
          <w:ilvl w:val="0"/>
          <w:numId w:val="44"/>
        </w:numPr>
        <w:spacing w:line="269" w:lineRule="auto"/>
        <w:rPr>
          <w:rFonts w:cs="Arial"/>
          <w:bCs/>
          <w:iCs/>
          <w:szCs w:val="24"/>
        </w:rPr>
      </w:pPr>
      <w:r w:rsidRPr="00C80A52">
        <w:rPr>
          <w:rFonts w:cs="Arial"/>
          <w:szCs w:val="24"/>
        </w:rPr>
        <w:t>withholding the performance bond (Croatia, Italy).</w:t>
      </w:r>
    </w:p>
    <w:p w14:paraId="422E4F49" w14:textId="0CAD6607" w:rsidR="00833C61" w:rsidRPr="00B958A9" w:rsidRDefault="00833C61" w:rsidP="00833C61">
      <w:pPr>
        <w:spacing w:line="269" w:lineRule="auto"/>
        <w:rPr>
          <w:rFonts w:cs="Arial"/>
          <w:bCs/>
          <w:iCs/>
          <w:szCs w:val="24"/>
        </w:rPr>
      </w:pPr>
      <w:r w:rsidRPr="00C80A52">
        <w:rPr>
          <w:rFonts w:cs="Arial"/>
          <w:szCs w:val="24"/>
        </w:rPr>
        <w:t xml:space="preserve">The Croatian legal doctrine points out that the other comparable sanctions must be derived from the Croatian Code of Obligations. </w:t>
      </w:r>
    </w:p>
    <w:p w14:paraId="05A46E74" w14:textId="6A6F884D" w:rsidR="00833C61" w:rsidRPr="00B958A9" w:rsidRDefault="00AF17A1" w:rsidP="00833C61">
      <w:pPr>
        <w:spacing w:line="269" w:lineRule="auto"/>
        <w:rPr>
          <w:rFonts w:cs="Arial"/>
          <w:bCs/>
          <w:iCs/>
          <w:szCs w:val="24"/>
        </w:rPr>
      </w:pPr>
      <w:r w:rsidRPr="00C80A52">
        <w:rPr>
          <w:rFonts w:cs="Arial"/>
          <w:szCs w:val="24"/>
        </w:rPr>
        <w:t>In Italy, it was pointed out that economic operators who submit offers should show all circumstances which could be deemed by the contracting authority to justify exclusion.</w:t>
      </w:r>
    </w:p>
    <w:p w14:paraId="57CE42C5" w14:textId="786B763F" w:rsidR="00833C61" w:rsidRPr="00B958A9" w:rsidRDefault="00AF17A1" w:rsidP="00833C61">
      <w:pPr>
        <w:spacing w:line="269" w:lineRule="auto"/>
        <w:rPr>
          <w:rFonts w:cs="Arial"/>
          <w:bCs/>
          <w:iCs/>
          <w:szCs w:val="24"/>
        </w:rPr>
      </w:pPr>
      <w:r w:rsidRPr="00C80A52">
        <w:rPr>
          <w:rFonts w:cs="Arial"/>
          <w:szCs w:val="24"/>
        </w:rPr>
        <w:t>In Ireland it is pointed out that minor sanctions imposed on the economic operator will not constitute exclusion grounds.</w:t>
      </w:r>
    </w:p>
    <w:p w14:paraId="6EF3FF84" w14:textId="4BAAD010" w:rsidR="00833C61" w:rsidRPr="00B958A9" w:rsidRDefault="00833C61" w:rsidP="00BF25FE">
      <w:pPr>
        <w:pStyle w:val="ListParagraph"/>
        <w:numPr>
          <w:ilvl w:val="0"/>
          <w:numId w:val="22"/>
        </w:numPr>
        <w:spacing w:line="269" w:lineRule="auto"/>
        <w:ind w:left="737" w:hanging="737"/>
        <w:contextualSpacing w:val="0"/>
        <w:rPr>
          <w:rFonts w:cs="Arial"/>
          <w:b/>
          <w:i/>
          <w:szCs w:val="24"/>
        </w:rPr>
      </w:pPr>
      <w:bookmarkStart w:id="27" w:name="_Hlk19031703"/>
      <w:r w:rsidRPr="00C80A52">
        <w:rPr>
          <w:rFonts w:cs="Arial"/>
          <w:b/>
          <w:bCs/>
          <w:i/>
          <w:iCs/>
          <w:szCs w:val="24"/>
        </w:rPr>
        <w:t>Exclusion period</w:t>
      </w:r>
    </w:p>
    <w:bookmarkEnd w:id="27"/>
    <w:p w14:paraId="58ABC82E" w14:textId="17ED4F5B" w:rsidR="00833C61" w:rsidRPr="00B958A9" w:rsidRDefault="00833C61" w:rsidP="00833C61">
      <w:pPr>
        <w:spacing w:line="269" w:lineRule="auto"/>
        <w:rPr>
          <w:rFonts w:cs="Arial"/>
          <w:bCs/>
          <w:iCs/>
          <w:szCs w:val="24"/>
        </w:rPr>
      </w:pPr>
      <w:r w:rsidRPr="00C80A52">
        <w:rPr>
          <w:rFonts w:cs="Arial"/>
          <w:b/>
          <w:bCs/>
          <w:szCs w:val="24"/>
        </w:rPr>
        <w:t>In the majority of the states the economic operator is excluded if 3 years have not lapsed from the date of the event being the basis for the exclusion.</w:t>
      </w:r>
      <w:r w:rsidRPr="00C80A52">
        <w:rPr>
          <w:rFonts w:cs="Arial"/>
          <w:szCs w:val="24"/>
        </w:rPr>
        <w:t xml:space="preserve"> However, there are states in which the exclusion period of economic operators based on that ground lasts 2 years – this is the case in Croatia, Denmark and Malta.</w:t>
      </w:r>
    </w:p>
    <w:p w14:paraId="12812693" w14:textId="77777777" w:rsidR="005B15E2" w:rsidRPr="00B958A9" w:rsidRDefault="00833C61" w:rsidP="005B15E2">
      <w:pPr>
        <w:spacing w:line="269" w:lineRule="auto"/>
        <w:rPr>
          <w:rFonts w:cs="Arial"/>
          <w:bCs/>
          <w:iCs/>
          <w:szCs w:val="24"/>
        </w:rPr>
      </w:pPr>
      <w:r w:rsidRPr="00C80A52">
        <w:rPr>
          <w:rFonts w:cs="Arial"/>
          <w:szCs w:val="24"/>
        </w:rPr>
        <w:t xml:space="preserve">An exceptionally short period within which an economic operator may be excluded from the procedure applies in Latvia – it is 1 year from the contract termination. </w:t>
      </w:r>
    </w:p>
    <w:p w14:paraId="029EB3EC" w14:textId="65553FE5" w:rsidR="005B15E2" w:rsidRPr="00B958A9" w:rsidRDefault="005B15E2" w:rsidP="005B15E2">
      <w:pPr>
        <w:spacing w:line="269" w:lineRule="auto"/>
        <w:rPr>
          <w:rFonts w:cs="Arial"/>
          <w:bCs/>
          <w:iCs/>
          <w:szCs w:val="24"/>
        </w:rPr>
      </w:pPr>
      <w:r w:rsidRPr="00C80A52">
        <w:rPr>
          <w:rFonts w:cs="Arial"/>
          <w:szCs w:val="24"/>
        </w:rPr>
        <w:t xml:space="preserve">In some states (Poland, Sweden, Romania and Greece) it was also indicated that the court may decide upon a different period within which the exclusion grounds would apply and such period starts to run from the date of issuing a court ruling. </w:t>
      </w:r>
    </w:p>
    <w:p w14:paraId="650F773C" w14:textId="43D194CA" w:rsidR="00833C61" w:rsidRPr="00B958A9" w:rsidRDefault="00833C61" w:rsidP="00833C61">
      <w:pPr>
        <w:spacing w:line="269" w:lineRule="auto"/>
        <w:rPr>
          <w:rFonts w:cs="Arial"/>
          <w:bCs/>
          <w:iCs/>
          <w:szCs w:val="24"/>
        </w:rPr>
      </w:pPr>
      <w:r w:rsidRPr="00C80A52">
        <w:rPr>
          <w:rFonts w:cs="Arial"/>
          <w:b/>
          <w:bCs/>
          <w:szCs w:val="24"/>
        </w:rPr>
        <w:t>The differences between states also relate to the moment from which the exclusion period is calculated</w:t>
      </w:r>
      <w:r w:rsidRPr="00C80A52">
        <w:rPr>
          <w:rFonts w:cs="Arial"/>
          <w:szCs w:val="24"/>
        </w:rPr>
        <w:t>. In the majority of states such period starts to run from the moment of an improper performance of the contract and not from the moment of occurrence of consequences that may be encountered due to a given status of the contract performance. In some states the period starts from the moment of imposing a sanction, that is, for example, from the termination of a contract or imposing liquidated damages (France, Slovakia, Austria).</w:t>
      </w:r>
    </w:p>
    <w:p w14:paraId="1D5E231F" w14:textId="43FB5A7B" w:rsidR="00833C61" w:rsidRPr="00B958A9" w:rsidRDefault="00833C61" w:rsidP="00833C61">
      <w:pPr>
        <w:spacing w:line="269" w:lineRule="auto"/>
        <w:rPr>
          <w:rFonts w:cs="Arial"/>
          <w:bCs/>
          <w:iCs/>
          <w:szCs w:val="24"/>
        </w:rPr>
      </w:pPr>
      <w:r w:rsidRPr="00C80A52">
        <w:rPr>
          <w:rFonts w:cs="Arial"/>
          <w:szCs w:val="24"/>
        </w:rPr>
        <w:lastRenderedPageBreak/>
        <w:t xml:space="preserve">In Great Britain the period of 3 years is calculated from the occurrence of an event (or becoming aware thereof), but in the event of rescinding the contract it is 3 years from the rescission. In certain states (for example Italy), if a court ruling has been issued in the matter of a given improper conduct by an economic operator, the exclusion period is 5 years </w:t>
      </w:r>
      <w:r w:rsidR="00B958A9" w:rsidRPr="00C80A52">
        <w:rPr>
          <w:rFonts w:cs="Arial"/>
          <w:szCs w:val="24"/>
        </w:rPr>
        <w:t xml:space="preserve">from the issue of the ruling </w:t>
      </w:r>
      <w:r w:rsidRPr="00C80A52">
        <w:rPr>
          <w:rFonts w:cs="Arial"/>
          <w:szCs w:val="24"/>
        </w:rPr>
        <w:t xml:space="preserve">(whereas if there is no ruling concerning a given breach, in Italy and in the majority of EU Member States this period is 3 years). </w:t>
      </w:r>
    </w:p>
    <w:p w14:paraId="06A6B506" w14:textId="090DFB39" w:rsidR="00833C61" w:rsidRPr="00B958A9" w:rsidRDefault="00BF25FE" w:rsidP="00BF25FE">
      <w:pPr>
        <w:pStyle w:val="ListParagraph"/>
        <w:numPr>
          <w:ilvl w:val="0"/>
          <w:numId w:val="22"/>
        </w:numPr>
        <w:spacing w:line="269" w:lineRule="auto"/>
        <w:ind w:left="737" w:hanging="737"/>
        <w:contextualSpacing w:val="0"/>
        <w:rPr>
          <w:rFonts w:cs="Arial"/>
          <w:b/>
          <w:i/>
          <w:szCs w:val="24"/>
        </w:rPr>
      </w:pPr>
      <w:bookmarkStart w:id="28" w:name="_Hlk19032378"/>
      <w:r w:rsidRPr="00C80A52">
        <w:rPr>
          <w:rFonts w:cs="Arial"/>
          <w:b/>
          <w:bCs/>
          <w:i/>
          <w:iCs/>
          <w:szCs w:val="24"/>
        </w:rPr>
        <w:t>The self-cleaning option</w:t>
      </w:r>
    </w:p>
    <w:p w14:paraId="3A82E6EC" w14:textId="7E89BA00" w:rsidR="00833C61" w:rsidRPr="00B958A9" w:rsidRDefault="00833C61" w:rsidP="00833C61">
      <w:pPr>
        <w:spacing w:line="269" w:lineRule="auto"/>
        <w:rPr>
          <w:rFonts w:cs="Arial"/>
          <w:bCs/>
          <w:iCs/>
          <w:szCs w:val="24"/>
        </w:rPr>
      </w:pPr>
      <w:bookmarkStart w:id="29" w:name="_Hlk529957367"/>
      <w:bookmarkEnd w:id="28"/>
      <w:r w:rsidRPr="00C80A52">
        <w:rPr>
          <w:rFonts w:cs="Arial"/>
          <w:b/>
          <w:bCs/>
          <w:szCs w:val="24"/>
        </w:rPr>
        <w:t>In the matter of self-cleaning, national legislation is the same as EU legislation.</w:t>
      </w:r>
      <w:r w:rsidRPr="00C80A52">
        <w:rPr>
          <w:rFonts w:cs="Arial"/>
          <w:szCs w:val="24"/>
        </w:rPr>
        <w:t xml:space="preserve"> As a result, the majority of states point to the methods of self-cleaning given in Directive 2014/24/EU.</w:t>
      </w:r>
    </w:p>
    <w:p w14:paraId="4AE1C234" w14:textId="7BE4C655" w:rsidR="00833C61" w:rsidRPr="00B958A9" w:rsidRDefault="00833C61" w:rsidP="00833C61">
      <w:pPr>
        <w:spacing w:line="269" w:lineRule="auto"/>
        <w:rPr>
          <w:rFonts w:cs="Arial"/>
          <w:bCs/>
          <w:iCs/>
          <w:szCs w:val="24"/>
        </w:rPr>
      </w:pPr>
      <w:r w:rsidRPr="00C80A52">
        <w:rPr>
          <w:rFonts w:cs="Arial"/>
          <w:szCs w:val="24"/>
        </w:rPr>
        <w:t>It is emphasised above all that there is no closed catalogue of measures that can be undertaken as part of the self-cleaning procedure. The adequateness of these measures is assessed individually on a case-by-case basis. In principle, therefore, economic operators may present such evidence that is relevant in a given case.</w:t>
      </w:r>
    </w:p>
    <w:p w14:paraId="51E40FE5" w14:textId="26D854EA" w:rsidR="00833C61" w:rsidRPr="00B958A9" w:rsidRDefault="00833C61" w:rsidP="00833C61">
      <w:pPr>
        <w:spacing w:line="269" w:lineRule="auto"/>
        <w:rPr>
          <w:rFonts w:cs="Arial"/>
          <w:bCs/>
          <w:iCs/>
          <w:szCs w:val="24"/>
        </w:rPr>
      </w:pPr>
      <w:r w:rsidRPr="00C80A52">
        <w:rPr>
          <w:rFonts w:cs="Arial"/>
          <w:b/>
          <w:bCs/>
          <w:szCs w:val="24"/>
        </w:rPr>
        <w:t>The following are given as examples of the measures used as part of the self-cleaning procedure</w:t>
      </w:r>
      <w:r w:rsidRPr="00C80A52">
        <w:rPr>
          <w:rFonts w:cs="Arial"/>
          <w:szCs w:val="24"/>
        </w:rPr>
        <w:t>:</w:t>
      </w:r>
    </w:p>
    <w:bookmarkEnd w:id="29"/>
    <w:p w14:paraId="35429737" w14:textId="77777777" w:rsidR="00833C61" w:rsidRPr="00B958A9" w:rsidRDefault="00833C61" w:rsidP="00833C61">
      <w:pPr>
        <w:spacing w:line="269" w:lineRule="auto"/>
        <w:rPr>
          <w:rFonts w:cs="Arial"/>
          <w:bCs/>
          <w:iCs/>
          <w:szCs w:val="24"/>
        </w:rPr>
      </w:pPr>
      <w:r w:rsidRPr="00C80A52">
        <w:rPr>
          <w:rFonts w:cs="Arial"/>
          <w:szCs w:val="24"/>
        </w:rPr>
        <w:t>Croatia:</w:t>
      </w:r>
    </w:p>
    <w:p w14:paraId="56AFD658" w14:textId="39027357" w:rsidR="00833C61" w:rsidRPr="00B958A9" w:rsidRDefault="00833C61" w:rsidP="00BF25FE">
      <w:pPr>
        <w:pStyle w:val="ListParagraph"/>
        <w:numPr>
          <w:ilvl w:val="0"/>
          <w:numId w:val="25"/>
        </w:numPr>
        <w:ind w:left="851" w:hanging="851"/>
        <w:contextualSpacing w:val="0"/>
        <w:rPr>
          <w:rFonts w:cs="Arial"/>
          <w:color w:val="002060"/>
          <w:szCs w:val="24"/>
        </w:rPr>
      </w:pPr>
      <w:r w:rsidRPr="00C80A52">
        <w:rPr>
          <w:rFonts w:cs="Arial"/>
          <w:color w:val="002060"/>
          <w:szCs w:val="24"/>
        </w:rPr>
        <w:t xml:space="preserve">confirmations of payment to the </w:t>
      </w:r>
      <w:r w:rsidR="00DA2D94">
        <w:rPr>
          <w:rFonts w:cs="Arial"/>
          <w:color w:val="002060"/>
          <w:szCs w:val="24"/>
        </w:rPr>
        <w:t xml:space="preserve">entities </w:t>
      </w:r>
      <w:r w:rsidRPr="00C80A52">
        <w:rPr>
          <w:rFonts w:cs="Arial"/>
          <w:color w:val="002060"/>
          <w:szCs w:val="24"/>
        </w:rPr>
        <w:t xml:space="preserve">that have incurred damage; </w:t>
      </w:r>
    </w:p>
    <w:p w14:paraId="32BEE51B" w14:textId="7C56EE36" w:rsidR="00833C61" w:rsidRPr="00B958A9" w:rsidRDefault="00833C61" w:rsidP="00BF25FE">
      <w:pPr>
        <w:pStyle w:val="ListParagraph"/>
        <w:numPr>
          <w:ilvl w:val="0"/>
          <w:numId w:val="25"/>
        </w:numPr>
        <w:ind w:left="851" w:hanging="851"/>
        <w:contextualSpacing w:val="0"/>
        <w:rPr>
          <w:rFonts w:cs="Arial"/>
          <w:color w:val="002060"/>
          <w:szCs w:val="24"/>
        </w:rPr>
      </w:pPr>
      <w:r w:rsidRPr="00C80A52">
        <w:rPr>
          <w:rFonts w:cs="Arial"/>
          <w:color w:val="002060"/>
          <w:szCs w:val="24"/>
        </w:rPr>
        <w:t xml:space="preserve">evidence of co-operation with the State Prosecutor’s Office of the Republic of Croatia/Croatian Competition Agency; </w:t>
      </w:r>
    </w:p>
    <w:p w14:paraId="60680F4E" w14:textId="72422E1A" w:rsidR="00833C61" w:rsidRPr="00B958A9" w:rsidRDefault="00833C61" w:rsidP="00BF25FE">
      <w:pPr>
        <w:pStyle w:val="ListParagraph"/>
        <w:numPr>
          <w:ilvl w:val="0"/>
          <w:numId w:val="25"/>
        </w:numPr>
        <w:ind w:left="851" w:hanging="851"/>
        <w:contextualSpacing w:val="0"/>
        <w:rPr>
          <w:rFonts w:cs="Arial"/>
          <w:color w:val="002060"/>
          <w:szCs w:val="24"/>
        </w:rPr>
      </w:pPr>
      <w:r w:rsidRPr="00C80A52">
        <w:rPr>
          <w:rFonts w:cs="Arial"/>
          <w:color w:val="002060"/>
          <w:szCs w:val="24"/>
        </w:rPr>
        <w:t>the most common cause of exclusion is liability of a small group of individuals who have committed criminal acts or are guilty of dubious business practices. In such cases evidence is submitted that such persons have been dismissed;</w:t>
      </w:r>
    </w:p>
    <w:p w14:paraId="131FFCA7" w14:textId="2E0F9577" w:rsidR="00833C61" w:rsidRPr="00B958A9" w:rsidRDefault="00833C61" w:rsidP="00BF25FE">
      <w:pPr>
        <w:pStyle w:val="ListParagraph"/>
        <w:numPr>
          <w:ilvl w:val="0"/>
          <w:numId w:val="25"/>
        </w:numPr>
        <w:ind w:left="851" w:hanging="851"/>
        <w:contextualSpacing w:val="0"/>
        <w:rPr>
          <w:rFonts w:cs="Arial"/>
          <w:color w:val="002060"/>
          <w:szCs w:val="24"/>
        </w:rPr>
      </w:pPr>
      <w:r w:rsidRPr="00C80A52">
        <w:rPr>
          <w:rFonts w:cs="Arial"/>
          <w:color w:val="002060"/>
          <w:szCs w:val="24"/>
        </w:rPr>
        <w:t>in this regard, a declaration alone of the business entity’s director - in which he describes the self-cleaning measures taken, which declaration does not contain exhaustive grounds, or if these measures are not described in detail - will not be sufficient.</w:t>
      </w:r>
    </w:p>
    <w:p w14:paraId="4D2C59ED" w14:textId="77777777" w:rsidR="00833C61" w:rsidRPr="00B958A9" w:rsidRDefault="00833C61" w:rsidP="00833C61">
      <w:pPr>
        <w:spacing w:line="269" w:lineRule="auto"/>
        <w:rPr>
          <w:rFonts w:cs="Arial"/>
          <w:bCs/>
          <w:iCs/>
          <w:szCs w:val="24"/>
        </w:rPr>
      </w:pPr>
      <w:r w:rsidRPr="00C80A52">
        <w:rPr>
          <w:rFonts w:cs="Arial"/>
          <w:szCs w:val="24"/>
        </w:rPr>
        <w:t>Germany:</w:t>
      </w:r>
    </w:p>
    <w:p w14:paraId="3982A8F9" w14:textId="1026A5E2" w:rsidR="00833C61" w:rsidRPr="00B958A9" w:rsidRDefault="00833C61" w:rsidP="00BF25FE">
      <w:pPr>
        <w:pStyle w:val="ListParagraph"/>
        <w:numPr>
          <w:ilvl w:val="0"/>
          <w:numId w:val="26"/>
        </w:numPr>
        <w:ind w:left="851" w:hanging="851"/>
        <w:contextualSpacing w:val="0"/>
        <w:rPr>
          <w:rFonts w:cs="Arial"/>
          <w:color w:val="002060"/>
          <w:szCs w:val="24"/>
        </w:rPr>
      </w:pPr>
      <w:r w:rsidRPr="00C80A52">
        <w:rPr>
          <w:rFonts w:cs="Arial"/>
          <w:color w:val="002060"/>
          <w:szCs w:val="24"/>
        </w:rPr>
        <w:lastRenderedPageBreak/>
        <w:t>an outside audit can point to the taking of appropriate steps, as well as to the conduct of permanent controls of the effectiveness of the measures introduced.</w:t>
      </w:r>
    </w:p>
    <w:p w14:paraId="6499240F" w14:textId="77777777" w:rsidR="00833C61" w:rsidRPr="00B958A9" w:rsidRDefault="00833C61" w:rsidP="00833C61">
      <w:pPr>
        <w:spacing w:line="269" w:lineRule="auto"/>
        <w:rPr>
          <w:rFonts w:cs="Arial"/>
          <w:bCs/>
          <w:iCs/>
          <w:szCs w:val="24"/>
        </w:rPr>
      </w:pPr>
      <w:r w:rsidRPr="00C80A52">
        <w:rPr>
          <w:rFonts w:cs="Arial"/>
          <w:szCs w:val="24"/>
        </w:rPr>
        <w:t xml:space="preserve">Norway: </w:t>
      </w:r>
    </w:p>
    <w:p w14:paraId="620937DA" w14:textId="6FEF87CA" w:rsidR="00833C61" w:rsidRPr="00B958A9" w:rsidRDefault="00833C61" w:rsidP="00BF25FE">
      <w:pPr>
        <w:pStyle w:val="ListParagraph"/>
        <w:numPr>
          <w:ilvl w:val="0"/>
          <w:numId w:val="27"/>
        </w:numPr>
        <w:ind w:left="851" w:hanging="851"/>
        <w:contextualSpacing w:val="0"/>
        <w:rPr>
          <w:rFonts w:cs="Arial"/>
          <w:color w:val="002060"/>
          <w:szCs w:val="24"/>
        </w:rPr>
      </w:pPr>
      <w:r w:rsidRPr="00C80A52">
        <w:rPr>
          <w:rFonts w:cs="Arial"/>
          <w:color w:val="002060"/>
          <w:szCs w:val="24"/>
        </w:rPr>
        <w:t>dismissal of the persons responsible for the breaches in previous procedures;</w:t>
      </w:r>
    </w:p>
    <w:p w14:paraId="16B08F53" w14:textId="53394366" w:rsidR="00833C61" w:rsidRPr="00B958A9" w:rsidRDefault="00833C61" w:rsidP="00BF25FE">
      <w:pPr>
        <w:pStyle w:val="ListParagraph"/>
        <w:numPr>
          <w:ilvl w:val="0"/>
          <w:numId w:val="27"/>
        </w:numPr>
        <w:ind w:left="851" w:hanging="851"/>
        <w:contextualSpacing w:val="0"/>
        <w:rPr>
          <w:rFonts w:cs="Arial"/>
          <w:color w:val="002060"/>
          <w:szCs w:val="24"/>
        </w:rPr>
      </w:pPr>
      <w:r w:rsidRPr="00C80A52">
        <w:rPr>
          <w:rFonts w:cs="Arial"/>
          <w:color w:val="002060"/>
          <w:szCs w:val="24"/>
        </w:rPr>
        <w:t>introduction of good practice codes;</w:t>
      </w:r>
    </w:p>
    <w:p w14:paraId="0E771090" w14:textId="56DB7300" w:rsidR="00833C61" w:rsidRPr="00B958A9" w:rsidRDefault="00833C61" w:rsidP="00BF25FE">
      <w:pPr>
        <w:pStyle w:val="ListParagraph"/>
        <w:numPr>
          <w:ilvl w:val="0"/>
          <w:numId w:val="27"/>
        </w:numPr>
        <w:ind w:left="851" w:hanging="851"/>
        <w:contextualSpacing w:val="0"/>
        <w:rPr>
          <w:rFonts w:cs="Arial"/>
          <w:color w:val="002060"/>
          <w:szCs w:val="24"/>
        </w:rPr>
      </w:pPr>
      <w:r w:rsidRPr="00C80A52">
        <w:rPr>
          <w:rFonts w:cs="Arial"/>
          <w:color w:val="002060"/>
          <w:szCs w:val="24"/>
        </w:rPr>
        <w:t>introduction of internal control systems;</w:t>
      </w:r>
    </w:p>
    <w:p w14:paraId="08C31AA4" w14:textId="3BD7A3C3" w:rsidR="00833C61" w:rsidRPr="00B958A9" w:rsidRDefault="00833C61" w:rsidP="00BF25FE">
      <w:pPr>
        <w:pStyle w:val="ListParagraph"/>
        <w:numPr>
          <w:ilvl w:val="0"/>
          <w:numId w:val="27"/>
        </w:numPr>
        <w:ind w:left="851" w:hanging="851"/>
        <w:contextualSpacing w:val="0"/>
        <w:rPr>
          <w:rFonts w:cs="Arial"/>
          <w:color w:val="002060"/>
          <w:szCs w:val="24"/>
        </w:rPr>
      </w:pPr>
      <w:r w:rsidRPr="00C80A52">
        <w:rPr>
          <w:rFonts w:cs="Arial"/>
          <w:color w:val="002060"/>
          <w:szCs w:val="24"/>
        </w:rPr>
        <w:t>introduction of a system for disclosing breaches;</w:t>
      </w:r>
    </w:p>
    <w:p w14:paraId="3FE1AD24" w14:textId="5AB244BB" w:rsidR="00833C61" w:rsidRPr="00B958A9" w:rsidRDefault="00833C61" w:rsidP="00BF25FE">
      <w:pPr>
        <w:pStyle w:val="ListParagraph"/>
        <w:numPr>
          <w:ilvl w:val="0"/>
          <w:numId w:val="27"/>
        </w:numPr>
        <w:ind w:left="851" w:hanging="851"/>
        <w:contextualSpacing w:val="0"/>
        <w:rPr>
          <w:rFonts w:cs="Arial"/>
          <w:color w:val="002060"/>
          <w:szCs w:val="24"/>
        </w:rPr>
      </w:pPr>
      <w:r w:rsidRPr="00C80A52">
        <w:rPr>
          <w:rFonts w:cs="Arial"/>
          <w:color w:val="002060"/>
          <w:szCs w:val="24"/>
        </w:rPr>
        <w:t>conduct of training programmes for employees.</w:t>
      </w:r>
    </w:p>
    <w:p w14:paraId="4FBC1452" w14:textId="77777777" w:rsidR="00833C61" w:rsidRPr="00B958A9" w:rsidRDefault="00833C61" w:rsidP="00833C61">
      <w:pPr>
        <w:spacing w:line="269" w:lineRule="auto"/>
        <w:rPr>
          <w:rFonts w:cs="Arial"/>
          <w:bCs/>
          <w:iCs/>
          <w:szCs w:val="24"/>
        </w:rPr>
      </w:pPr>
      <w:r w:rsidRPr="00C80A52">
        <w:rPr>
          <w:rFonts w:cs="Arial"/>
          <w:szCs w:val="24"/>
        </w:rPr>
        <w:t>Italy:</w:t>
      </w:r>
    </w:p>
    <w:p w14:paraId="7D646A3F" w14:textId="3E718998" w:rsidR="00833C61" w:rsidRPr="00B958A9" w:rsidRDefault="00833C61" w:rsidP="00BF25FE">
      <w:pPr>
        <w:pStyle w:val="ListParagraph"/>
        <w:numPr>
          <w:ilvl w:val="0"/>
          <w:numId w:val="28"/>
        </w:numPr>
        <w:ind w:left="851" w:hanging="851"/>
        <w:contextualSpacing w:val="0"/>
        <w:rPr>
          <w:rFonts w:cs="Arial"/>
          <w:color w:val="002060"/>
          <w:szCs w:val="24"/>
        </w:rPr>
      </w:pPr>
      <w:r w:rsidRPr="00C80A52">
        <w:rPr>
          <w:rFonts w:cs="Arial"/>
          <w:color w:val="002060"/>
          <w:szCs w:val="24"/>
        </w:rPr>
        <w:t>measures aimed at ensuring appropriate skills of the employees, including carrying out specific training tasks;</w:t>
      </w:r>
    </w:p>
    <w:p w14:paraId="104CF8A3" w14:textId="0ECFF167" w:rsidR="00833C61" w:rsidRPr="00B958A9" w:rsidRDefault="00833C61" w:rsidP="00BF25FE">
      <w:pPr>
        <w:pStyle w:val="ListParagraph"/>
        <w:numPr>
          <w:ilvl w:val="0"/>
          <w:numId w:val="28"/>
        </w:numPr>
        <w:ind w:left="851" w:hanging="851"/>
        <w:contextualSpacing w:val="0"/>
        <w:rPr>
          <w:rFonts w:cs="Arial"/>
          <w:color w:val="002060"/>
          <w:szCs w:val="24"/>
        </w:rPr>
      </w:pPr>
      <w:r w:rsidRPr="00C80A52">
        <w:rPr>
          <w:rFonts w:cs="Arial"/>
          <w:color w:val="002060"/>
          <w:szCs w:val="24"/>
        </w:rPr>
        <w:t>steps aimed at improving the quality of services by way of organisational, structural and/or auxiliary actions;</w:t>
      </w:r>
    </w:p>
    <w:p w14:paraId="73EB4187" w14:textId="77777777" w:rsidR="00833C61" w:rsidRPr="00B958A9" w:rsidRDefault="00833C61" w:rsidP="00BF25FE">
      <w:pPr>
        <w:pStyle w:val="ListParagraph"/>
        <w:numPr>
          <w:ilvl w:val="0"/>
          <w:numId w:val="28"/>
        </w:numPr>
        <w:ind w:left="851" w:hanging="851"/>
        <w:contextualSpacing w:val="0"/>
        <w:rPr>
          <w:rFonts w:cs="Arial"/>
          <w:color w:val="002060"/>
          <w:szCs w:val="24"/>
        </w:rPr>
      </w:pPr>
      <w:r w:rsidRPr="00C80A52">
        <w:rPr>
          <w:rFonts w:cs="Arial"/>
          <w:color w:val="002060"/>
          <w:szCs w:val="24"/>
        </w:rPr>
        <w:t>repeated appointment of corporate authorities.</w:t>
      </w:r>
    </w:p>
    <w:p w14:paraId="233DE0B7" w14:textId="77777777" w:rsidR="00833C61" w:rsidRPr="00B958A9" w:rsidRDefault="00833C61" w:rsidP="00833C61">
      <w:pPr>
        <w:spacing w:line="269" w:lineRule="auto"/>
        <w:rPr>
          <w:rFonts w:cs="Arial"/>
          <w:bCs/>
          <w:iCs/>
          <w:szCs w:val="24"/>
        </w:rPr>
      </w:pPr>
      <w:r w:rsidRPr="00C80A52">
        <w:rPr>
          <w:rFonts w:cs="Arial"/>
          <w:szCs w:val="24"/>
        </w:rPr>
        <w:t>Latvia:</w:t>
      </w:r>
    </w:p>
    <w:p w14:paraId="44E2AD77" w14:textId="38BFA8E6" w:rsidR="00F34A85" w:rsidRPr="0066079C" w:rsidRDefault="00BF25FE" w:rsidP="0066079C">
      <w:pPr>
        <w:pStyle w:val="ListParagraph"/>
        <w:numPr>
          <w:ilvl w:val="0"/>
          <w:numId w:val="45"/>
        </w:numPr>
        <w:contextualSpacing w:val="0"/>
        <w:rPr>
          <w:rFonts w:cs="Arial"/>
          <w:b/>
          <w:i/>
          <w:szCs w:val="24"/>
        </w:rPr>
      </w:pPr>
      <w:r w:rsidRPr="0066079C">
        <w:rPr>
          <w:rFonts w:cs="Arial"/>
          <w:color w:val="002060"/>
          <w:szCs w:val="24"/>
        </w:rPr>
        <w:t>according to Latvian law, the contracting authority may demand of an economic operator</w:t>
      </w:r>
      <w:r w:rsidRPr="00C80A52">
        <w:rPr>
          <w:rFonts w:cs="Arial"/>
          <w:color w:val="002060"/>
          <w:szCs w:val="24"/>
        </w:rPr>
        <w:t xml:space="preserve"> who meets the criterion for exclusion an additional performance bond related to the contract or set down such conditions for performance of a contract so that performance which is not compliant with material conditions of the contract would be economically unprofitable for the economic operator.</w:t>
      </w:r>
      <w:r w:rsidR="00F34A85" w:rsidRPr="0066079C">
        <w:rPr>
          <w:rFonts w:cs="Arial"/>
          <w:b/>
          <w:bCs/>
          <w:i/>
          <w:iCs/>
          <w:szCs w:val="24"/>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9639"/>
      </w:tblGrid>
      <w:tr w:rsidR="00BF25FE" w:rsidRPr="00DA2C04" w14:paraId="32CE1047" w14:textId="77777777" w:rsidTr="00D962D7">
        <w:tc>
          <w:tcPr>
            <w:tcW w:w="9639" w:type="dxa"/>
            <w:shd w:val="clear" w:color="auto" w:fill="95B3D7" w:themeFill="accent1" w:themeFillTint="99"/>
          </w:tcPr>
          <w:p w14:paraId="7D6C6EA7" w14:textId="45F2973A" w:rsidR="00BF25FE" w:rsidRPr="00C80A52" w:rsidRDefault="00BF25FE" w:rsidP="00017CBC">
            <w:pPr>
              <w:pStyle w:val="StandardL1"/>
              <w:spacing w:before="240"/>
              <w:rPr>
                <w:color w:val="FFFFFF" w:themeColor="background1"/>
                <w:sz w:val="28"/>
                <w:szCs w:val="28"/>
                <w:lang w:val="en-GB"/>
              </w:rPr>
            </w:pPr>
            <w:bookmarkStart w:id="30" w:name="_Hlk20256761"/>
            <w:r w:rsidRPr="00C80A52">
              <w:rPr>
                <w:bCs/>
                <w:color w:val="FFFFFF" w:themeColor="background1"/>
                <w:sz w:val="28"/>
                <w:szCs w:val="28"/>
                <w:lang w:val="en-GB"/>
              </w:rPr>
              <w:lastRenderedPageBreak/>
              <w:t>CHAPTER I</w:t>
            </w:r>
            <w:r w:rsidR="00746DA4">
              <w:rPr>
                <w:bCs/>
                <w:color w:val="FFFFFF" w:themeColor="background1"/>
                <w:sz w:val="28"/>
                <w:szCs w:val="28"/>
                <w:lang w:val="en-GB"/>
              </w:rPr>
              <w:t>V</w:t>
            </w:r>
          </w:p>
          <w:p w14:paraId="0F0A330B" w14:textId="42AC9C72" w:rsidR="00BF25FE" w:rsidRPr="00B958A9" w:rsidRDefault="00BF25FE" w:rsidP="00017CBC">
            <w:pPr>
              <w:pageBreakBefore/>
              <w:jc w:val="center"/>
              <w:rPr>
                <w:b/>
                <w:bCs/>
                <w:color w:val="FFFFFF" w:themeColor="background1"/>
                <w:sz w:val="28"/>
                <w:szCs w:val="28"/>
              </w:rPr>
            </w:pPr>
            <w:r w:rsidRPr="00C80A52">
              <w:rPr>
                <w:b/>
                <w:bCs/>
                <w:color w:val="FFFFFF" w:themeColor="background1"/>
                <w:sz w:val="28"/>
                <w:szCs w:val="28"/>
              </w:rPr>
              <w:t>GROUND SPECIFIED IN ARTICLE 57 SEC. 4 ITEM H AND I OF DIRECTIVE 2014/24/EU</w:t>
            </w:r>
          </w:p>
          <w:p w14:paraId="43DDE604" w14:textId="4DB72364" w:rsidR="00D73B11" w:rsidRPr="00C80A52" w:rsidRDefault="00DA2D94" w:rsidP="00017CBC">
            <w:pPr>
              <w:pageBreakBefore/>
              <w:jc w:val="center"/>
              <w:rPr>
                <w:b/>
                <w:bCs/>
                <w:i/>
                <w:iCs/>
                <w:color w:val="FFFFFF" w:themeColor="background1"/>
                <w:sz w:val="28"/>
                <w:szCs w:val="28"/>
                <w:lang w:val="pl-PL"/>
              </w:rPr>
            </w:pPr>
            <w:r w:rsidRPr="00BC1A49">
              <w:rPr>
                <w:b/>
                <w:bCs/>
                <w:i/>
                <w:iCs/>
                <w:color w:val="FFFFFF" w:themeColor="background1"/>
                <w:sz w:val="20"/>
                <w:lang w:val="pl-PL"/>
              </w:rPr>
              <w:t xml:space="preserve">Wojciech Hartung, Katarzyna Kuźma, Tomasz Michalczyk, </w:t>
            </w:r>
            <w:r>
              <w:rPr>
                <w:b/>
                <w:bCs/>
                <w:i/>
                <w:iCs/>
                <w:color w:val="FFFFFF" w:themeColor="background1"/>
                <w:sz w:val="20"/>
                <w:lang w:val="pl-PL"/>
              </w:rPr>
              <w:t xml:space="preserve">Paweł Nowicki, </w:t>
            </w:r>
            <w:r w:rsidR="00D73B11" w:rsidRPr="00C80A52">
              <w:rPr>
                <w:b/>
                <w:bCs/>
                <w:i/>
                <w:iCs/>
                <w:color w:val="FFFFFF" w:themeColor="background1"/>
                <w:sz w:val="20"/>
                <w:lang w:val="pl-PL"/>
              </w:rPr>
              <w:t>Michał Wojciechowski</w:t>
            </w:r>
          </w:p>
        </w:tc>
      </w:tr>
      <w:bookmarkEnd w:id="30"/>
    </w:tbl>
    <w:p w14:paraId="72D55DFD" w14:textId="77777777" w:rsidR="00794200" w:rsidRPr="00C80A52" w:rsidRDefault="00794200" w:rsidP="00794200">
      <w:pPr>
        <w:spacing w:line="269" w:lineRule="auto"/>
        <w:rPr>
          <w:rFonts w:cs="Arial"/>
          <w:bCs/>
          <w:iCs/>
          <w:szCs w:val="24"/>
          <w:lang w:val="pl-PL"/>
        </w:rPr>
      </w:pPr>
    </w:p>
    <w:p w14:paraId="7D18F853" w14:textId="2F0F8A72" w:rsidR="00BF25FE" w:rsidRPr="00B958A9" w:rsidRDefault="00794200" w:rsidP="00794200">
      <w:pPr>
        <w:spacing w:line="269" w:lineRule="auto"/>
        <w:rPr>
          <w:rFonts w:cs="Arial"/>
          <w:szCs w:val="24"/>
        </w:rPr>
      </w:pPr>
      <w:r w:rsidRPr="00C80A52">
        <w:rPr>
          <w:rFonts w:cs="Arial"/>
          <w:szCs w:val="24"/>
        </w:rPr>
        <w:t xml:space="preserve">Under Article 57 sec 4 items h) and i) of Directive 2014/24/EU, contracting authorities may exclude or may be required by Member States to exclude from participation in a procurement procedure any </w:t>
      </w:r>
      <w:bookmarkStart w:id="31" w:name="_Hlk19100664"/>
      <w:r w:rsidRPr="00C80A52">
        <w:rPr>
          <w:rFonts w:cs="Arial"/>
          <w:szCs w:val="24"/>
        </w:rPr>
        <w:t>economic operator in any of the following situations:</w:t>
      </w:r>
    </w:p>
    <w:p w14:paraId="62972C05" w14:textId="38A94936" w:rsidR="00794200" w:rsidRPr="00B958A9" w:rsidRDefault="00794200" w:rsidP="00C918B5">
      <w:pPr>
        <w:pStyle w:val="ListParagraph"/>
        <w:numPr>
          <w:ilvl w:val="0"/>
          <w:numId w:val="30"/>
        </w:numPr>
        <w:ind w:left="737" w:hanging="737"/>
        <w:contextualSpacing w:val="0"/>
        <w:rPr>
          <w:rFonts w:cs="Arial"/>
          <w:color w:val="002060"/>
          <w:szCs w:val="24"/>
        </w:rPr>
      </w:pPr>
      <w:r w:rsidRPr="00C80A52">
        <w:rPr>
          <w:rFonts w:cs="Arial"/>
          <w:color w:val="002060"/>
          <w:szCs w:val="24"/>
        </w:rPr>
        <w:t>where the economic operator has been guilty of serious misrepresentation in supplying the information required for the verification of the absence of exclusion grounds or the fulfilment of the selection criteria, has withheld such information or is not able to submit the supporting documents required pursuant to Article 59</w:t>
      </w:r>
      <w:r w:rsidRPr="00C80A52">
        <w:rPr>
          <w:rFonts w:cs="Arial"/>
          <w:szCs w:val="24"/>
        </w:rPr>
        <w:t xml:space="preserve"> </w:t>
      </w:r>
      <w:r w:rsidRPr="00C80A52">
        <w:rPr>
          <w:rFonts w:cs="Arial"/>
          <w:color w:val="002060"/>
          <w:szCs w:val="24"/>
        </w:rPr>
        <w:t xml:space="preserve">of Directive 2014/24/EU; </w:t>
      </w:r>
    </w:p>
    <w:p w14:paraId="5C809940" w14:textId="51969C52" w:rsidR="00794200" w:rsidRPr="00B958A9" w:rsidRDefault="00794200" w:rsidP="00C918B5">
      <w:pPr>
        <w:pStyle w:val="ListParagraph"/>
        <w:numPr>
          <w:ilvl w:val="0"/>
          <w:numId w:val="30"/>
        </w:numPr>
        <w:ind w:left="737" w:hanging="737"/>
        <w:contextualSpacing w:val="0"/>
        <w:rPr>
          <w:rFonts w:cs="Arial"/>
          <w:color w:val="002060"/>
          <w:szCs w:val="24"/>
        </w:rPr>
      </w:pPr>
      <w:r w:rsidRPr="00C80A52">
        <w:rPr>
          <w:rFonts w:cs="Arial"/>
          <w:color w:val="002060"/>
          <w:szCs w:val="24"/>
        </w:rPr>
        <w:t>where the economic operator has undertaken steps to unduly influence the decision-making process of the contracting authority, to obtain confidential information that may confer upon it undue advantage in the procurement procedure or to negligently provide misleading information that may have a material influence on decisions concerning exclusion, selection, or contract award.</w:t>
      </w:r>
    </w:p>
    <w:p w14:paraId="1958340B" w14:textId="4E14E1B0" w:rsidR="00794200" w:rsidRPr="00B958A9" w:rsidRDefault="00C0501C" w:rsidP="00C918B5">
      <w:pPr>
        <w:pStyle w:val="ListParagraph"/>
        <w:numPr>
          <w:ilvl w:val="0"/>
          <w:numId w:val="31"/>
        </w:numPr>
        <w:spacing w:line="269" w:lineRule="auto"/>
        <w:ind w:left="737" w:hanging="737"/>
        <w:contextualSpacing w:val="0"/>
        <w:rPr>
          <w:rFonts w:cs="Arial"/>
          <w:b/>
          <w:i/>
          <w:szCs w:val="24"/>
        </w:rPr>
      </w:pPr>
      <w:bookmarkStart w:id="32" w:name="_Hlk19032728"/>
      <w:bookmarkEnd w:id="31"/>
      <w:r w:rsidRPr="00C80A52">
        <w:rPr>
          <w:rFonts w:cs="Arial"/>
          <w:b/>
          <w:bCs/>
          <w:i/>
          <w:iCs/>
          <w:szCs w:val="24"/>
        </w:rPr>
        <w:t xml:space="preserve">The manner in which the exclusion ground is transposed into national legal regimes </w:t>
      </w:r>
    </w:p>
    <w:bookmarkEnd w:id="32"/>
    <w:p w14:paraId="48190F19" w14:textId="17A2FD84" w:rsidR="00794200" w:rsidRPr="00B958A9" w:rsidRDefault="00794200" w:rsidP="00794200">
      <w:pPr>
        <w:spacing w:line="269" w:lineRule="auto"/>
        <w:rPr>
          <w:rFonts w:cs="Arial"/>
          <w:szCs w:val="24"/>
        </w:rPr>
      </w:pPr>
      <w:r w:rsidRPr="00C80A52">
        <w:rPr>
          <w:rFonts w:cs="Arial"/>
          <w:b/>
          <w:bCs/>
          <w:szCs w:val="24"/>
        </w:rPr>
        <w:t>The grounds in question, as two separate, autonomous and independent in respect of each other grounds for exclusion of an economic operator, were not implemented in only two states</w:t>
      </w:r>
      <w:r w:rsidRPr="00C80A52">
        <w:rPr>
          <w:rFonts w:cs="Arial"/>
          <w:szCs w:val="24"/>
        </w:rPr>
        <w:t>. The above applies to Spain</w:t>
      </w:r>
      <w:r w:rsidRPr="00C80A52">
        <w:rPr>
          <w:rFonts w:cs="Arial"/>
          <w:vertAlign w:val="superscript"/>
        </w:rPr>
        <w:footnoteReference w:id="23"/>
      </w:r>
      <w:r w:rsidRPr="00C80A52">
        <w:rPr>
          <w:rFonts w:cs="Arial"/>
          <w:szCs w:val="24"/>
        </w:rPr>
        <w:t xml:space="preserve"> and Norway</w:t>
      </w:r>
      <w:r w:rsidRPr="00C80A52">
        <w:rPr>
          <w:rFonts w:cs="Arial"/>
          <w:vertAlign w:val="superscript"/>
        </w:rPr>
        <w:footnoteReference w:id="24"/>
      </w:r>
      <w:r w:rsidRPr="00C80A52">
        <w:rPr>
          <w:rFonts w:cs="Arial"/>
          <w:szCs w:val="24"/>
        </w:rPr>
        <w:t xml:space="preserve">, which decided to introduce </w:t>
      </w:r>
      <w:r w:rsidRPr="00C80A52">
        <w:rPr>
          <w:rFonts w:cs="Arial"/>
          <w:szCs w:val="24"/>
        </w:rPr>
        <w:lastRenderedPageBreak/>
        <w:t xml:space="preserve">one exclusion ground concerning the provision of a contracting authority with untrue information. In Spain it is a compulsory ground, while in Norway a non-compulsory ground. In the remaining 29 states the two exclusion grounds have been kept separate. </w:t>
      </w:r>
    </w:p>
    <w:p w14:paraId="046500B0" w14:textId="77777777" w:rsidR="00794200" w:rsidRPr="00B958A9" w:rsidRDefault="00794200" w:rsidP="00794200">
      <w:pPr>
        <w:spacing w:line="269" w:lineRule="auto"/>
        <w:rPr>
          <w:rFonts w:cs="Arial"/>
          <w:szCs w:val="24"/>
        </w:rPr>
      </w:pPr>
      <w:r w:rsidRPr="00C80A52">
        <w:rPr>
          <w:rFonts w:cs="Arial"/>
          <w:szCs w:val="24"/>
        </w:rPr>
        <w:t xml:space="preserve">Thus, while as regards the introduction itself of the two exclusion grounds there are no material differences between the examined states, nonetheless certain differences can be seen in the character attributed to these grounds (i.e. compulsory or non-compulsory).  </w:t>
      </w:r>
    </w:p>
    <w:p w14:paraId="31D801CE" w14:textId="77777777" w:rsidR="00794200" w:rsidRPr="00B958A9" w:rsidRDefault="00794200" w:rsidP="00794200">
      <w:pPr>
        <w:spacing w:line="269" w:lineRule="auto"/>
        <w:rPr>
          <w:rFonts w:cs="Arial"/>
          <w:szCs w:val="24"/>
        </w:rPr>
      </w:pPr>
      <w:r w:rsidRPr="00C80A52">
        <w:rPr>
          <w:rFonts w:cs="Arial"/>
          <w:b/>
          <w:bCs/>
          <w:szCs w:val="24"/>
        </w:rPr>
        <w:t xml:space="preserve">The dominant solution is the one where both grounds are non-compulsory </w:t>
      </w:r>
      <w:r w:rsidRPr="00C80A52">
        <w:rPr>
          <w:rFonts w:cs="Arial"/>
          <w:szCs w:val="24"/>
        </w:rPr>
        <w:t xml:space="preserve">(out of 20 from amongst all the examined states, as well as Norway, where there is only one non-compulsory exclusion ground). </w:t>
      </w:r>
    </w:p>
    <w:p w14:paraId="46CA1992" w14:textId="77777777" w:rsidR="00794200" w:rsidRPr="00B958A9" w:rsidRDefault="00794200" w:rsidP="00794200">
      <w:pPr>
        <w:spacing w:line="269" w:lineRule="auto"/>
        <w:rPr>
          <w:rFonts w:cs="Arial"/>
          <w:szCs w:val="24"/>
        </w:rPr>
      </w:pPr>
      <w:r w:rsidRPr="00C80A52">
        <w:rPr>
          <w:rFonts w:cs="Arial"/>
          <w:szCs w:val="24"/>
        </w:rPr>
        <w:t xml:space="preserve">In seven cases a totally different solution was introduced, which gives both grounds a compulsory nature (Hungary, Italy, Lithuania, Portugal, Slovakia, Poland, as well as Spain, where there is one compulsory exclusion ground). </w:t>
      </w:r>
    </w:p>
    <w:p w14:paraId="19F7E031" w14:textId="7F95356C" w:rsidR="00794200" w:rsidRPr="00B958A9" w:rsidRDefault="00794200" w:rsidP="00794200">
      <w:pPr>
        <w:spacing w:line="269" w:lineRule="auto"/>
        <w:rPr>
          <w:rFonts w:cs="Arial"/>
          <w:szCs w:val="24"/>
        </w:rPr>
      </w:pPr>
      <w:r w:rsidRPr="00C80A52">
        <w:rPr>
          <w:rFonts w:cs="Arial"/>
          <w:szCs w:val="24"/>
        </w:rPr>
        <w:t xml:space="preserve">There were also </w:t>
      </w:r>
      <w:r w:rsidR="00DA2D94">
        <w:rPr>
          <w:rFonts w:cs="Arial"/>
          <w:b/>
          <w:bCs/>
          <w:szCs w:val="24"/>
        </w:rPr>
        <w:t>“</w:t>
      </w:r>
      <w:r w:rsidRPr="00C80A52">
        <w:rPr>
          <w:rFonts w:cs="Arial"/>
          <w:b/>
          <w:bCs/>
          <w:szCs w:val="24"/>
        </w:rPr>
        <w:t>mixed</w:t>
      </w:r>
      <w:r w:rsidR="00DA2D94">
        <w:rPr>
          <w:rFonts w:cs="Arial"/>
          <w:b/>
          <w:bCs/>
          <w:szCs w:val="24"/>
        </w:rPr>
        <w:t>”</w:t>
      </w:r>
      <w:r w:rsidRPr="00C80A52">
        <w:rPr>
          <w:rFonts w:cs="Arial"/>
          <w:b/>
          <w:bCs/>
          <w:szCs w:val="24"/>
        </w:rPr>
        <w:t xml:space="preserve"> solutions,</w:t>
      </w:r>
      <w:r w:rsidRPr="00C80A52">
        <w:rPr>
          <w:rFonts w:cs="Arial"/>
          <w:szCs w:val="24"/>
        </w:rPr>
        <w:t xml:space="preserve"> e.g. where the exclusion ground for serious misrepresentation (art. 57 section 4 item h) of Directive 2014/24/EU) is compulsory, while under Article 57 section 4 item i) of Directive 2014/24/EU it is non-compulsory (Bulgaria, Czech Republic, Austria).</w:t>
      </w:r>
    </w:p>
    <w:p w14:paraId="10CE3F84" w14:textId="2799AA71" w:rsidR="00794200" w:rsidRPr="00B958A9" w:rsidRDefault="00794200" w:rsidP="00794200">
      <w:pPr>
        <w:spacing w:line="269" w:lineRule="auto"/>
        <w:rPr>
          <w:rFonts w:ascii="Calibri" w:hAnsi="Calibri" w:cs="Calibri"/>
          <w:noProof/>
          <w:szCs w:val="24"/>
        </w:rPr>
      </w:pPr>
      <w:r w:rsidRPr="006F1C3A">
        <w:rPr>
          <w:rFonts w:ascii="Calibri" w:hAnsi="Calibri" w:cs="Calibri"/>
          <w:noProof/>
          <w:szCs w:val="24"/>
          <w:lang w:eastAsia="en-GB"/>
        </w:rPr>
        <w:lastRenderedPageBreak/>
        <w:drawing>
          <wp:inline distT="0" distB="0" distL="0" distR="0" wp14:anchorId="36690FBA" wp14:editId="510E4BAF">
            <wp:extent cx="6215380" cy="3907972"/>
            <wp:effectExtent l="0" t="0" r="13970" b="16510"/>
            <wp:docPr id="1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B259EA" w14:textId="77777777" w:rsidR="00092DF5" w:rsidRPr="00B958A9" w:rsidRDefault="00092DF5" w:rsidP="00C918B5">
      <w:pPr>
        <w:pStyle w:val="ListParagraph"/>
        <w:numPr>
          <w:ilvl w:val="0"/>
          <w:numId w:val="31"/>
        </w:numPr>
        <w:spacing w:line="269" w:lineRule="auto"/>
        <w:ind w:left="737" w:hanging="737"/>
        <w:contextualSpacing w:val="0"/>
        <w:rPr>
          <w:rFonts w:cs="Arial"/>
          <w:b/>
          <w:i/>
          <w:szCs w:val="24"/>
        </w:rPr>
      </w:pPr>
      <w:bookmarkStart w:id="33" w:name="_Hlk19032950"/>
      <w:r w:rsidRPr="00C80A52">
        <w:rPr>
          <w:rFonts w:cs="Arial"/>
          <w:b/>
          <w:bCs/>
          <w:i/>
          <w:iCs/>
          <w:szCs w:val="24"/>
        </w:rPr>
        <w:t>Selected examples of application of both grounds in Member States</w:t>
      </w:r>
    </w:p>
    <w:bookmarkEnd w:id="33"/>
    <w:p w14:paraId="205D7F14" w14:textId="6C5A2BF0" w:rsidR="00092DF5" w:rsidRPr="00B958A9" w:rsidRDefault="00092DF5" w:rsidP="00092DF5">
      <w:pPr>
        <w:spacing w:line="269" w:lineRule="auto"/>
        <w:rPr>
          <w:rFonts w:cs="Arial"/>
          <w:szCs w:val="24"/>
        </w:rPr>
      </w:pPr>
      <w:r w:rsidRPr="00C80A52">
        <w:rPr>
          <w:rFonts w:cs="Arial"/>
          <w:szCs w:val="24"/>
        </w:rPr>
        <w:t>While the exclusion ground due to serious misrepresentation (Article 57 section 4 item h) of Directive 2014/24/EU) originated from the repealed Directive 2004/18/EC (i.e. Article 45 section 2 item g) of Directive 2014/24/EU), the ground stipulated in item i) did not have its equivalent and has not been analysed yet in detail in the case law.</w:t>
      </w:r>
    </w:p>
    <w:p w14:paraId="1C9BAED3" w14:textId="3DE0E0AE" w:rsidR="00092DF5" w:rsidRPr="00B958A9" w:rsidRDefault="00092DF5" w:rsidP="00092DF5">
      <w:pPr>
        <w:spacing w:line="269" w:lineRule="auto"/>
        <w:rPr>
          <w:rFonts w:cs="Arial"/>
          <w:szCs w:val="24"/>
        </w:rPr>
      </w:pPr>
      <w:r w:rsidRPr="00C80A52">
        <w:rPr>
          <w:rFonts w:cs="Arial"/>
          <w:szCs w:val="24"/>
        </w:rPr>
        <w:t>Unfortunately, due to the very short period of time from (i) the entry into force of the provisions of Directive 2014/24/EU, (ii) implementation of its provisions into the individual legal regimes of the examined states, over half of such states continue to lack any national case law that would clarify the meaning, scope of application or the mutual relation of the discussed exclusion grounds.</w:t>
      </w:r>
    </w:p>
    <w:p w14:paraId="4D2C6FC4" w14:textId="5AB00B3D" w:rsidR="00092DF5" w:rsidRPr="00B958A9" w:rsidRDefault="00092DF5" w:rsidP="00092DF5">
      <w:pPr>
        <w:rPr>
          <w:rFonts w:cs="Arial"/>
          <w:szCs w:val="24"/>
        </w:rPr>
      </w:pPr>
      <w:r w:rsidRPr="00C80A52">
        <w:rPr>
          <w:rFonts w:cs="Arial"/>
          <w:b/>
          <w:bCs/>
          <w:szCs w:val="24"/>
        </w:rPr>
        <w:t>It is indicated in the existing case law of the Member States that:</w:t>
      </w:r>
    </w:p>
    <w:p w14:paraId="71BF0122" w14:textId="3D2B12CE" w:rsidR="00092DF5" w:rsidRPr="00B958A9" w:rsidRDefault="00092DF5" w:rsidP="00C918B5">
      <w:pPr>
        <w:pStyle w:val="ListParagraph"/>
        <w:numPr>
          <w:ilvl w:val="0"/>
          <w:numId w:val="32"/>
        </w:numPr>
        <w:ind w:left="737" w:hanging="737"/>
        <w:contextualSpacing w:val="0"/>
        <w:rPr>
          <w:rFonts w:cs="Arial"/>
          <w:color w:val="002060"/>
          <w:szCs w:val="24"/>
        </w:rPr>
      </w:pPr>
      <w:r w:rsidRPr="00C80A52">
        <w:rPr>
          <w:rFonts w:cs="Arial"/>
          <w:color w:val="002060"/>
          <w:szCs w:val="24"/>
        </w:rPr>
        <w:t xml:space="preserve">in each case before taking a decision on excluding an economic operator one must examine in detail all factual circumstances (the degree of the economic operator’s fault, the consequences of providing false information, recidivism, if any). </w:t>
      </w:r>
      <w:r w:rsidRPr="00C80A52">
        <w:rPr>
          <w:rFonts w:cs="Arial"/>
          <w:b/>
          <w:bCs/>
          <w:color w:val="002060"/>
          <w:szCs w:val="24"/>
        </w:rPr>
        <w:t xml:space="preserve">It is also </w:t>
      </w:r>
      <w:r w:rsidRPr="00C80A52">
        <w:rPr>
          <w:rFonts w:cs="Arial"/>
          <w:b/>
          <w:bCs/>
          <w:color w:val="002060"/>
          <w:szCs w:val="24"/>
        </w:rPr>
        <w:lastRenderedPageBreak/>
        <w:t>necessary to consider the principle of proportionality in this examination</w:t>
      </w:r>
      <w:r w:rsidRPr="00C80A52">
        <w:rPr>
          <w:rFonts w:cs="Arial"/>
          <w:color w:val="002060"/>
          <w:szCs w:val="24"/>
        </w:rPr>
        <w:t xml:space="preserve"> and the decision on the exclusion should be a last resort (Greece, Lithuania, Slovakia, Sweden, Germany, and Norway). </w:t>
      </w:r>
    </w:p>
    <w:p w14:paraId="479B73C1" w14:textId="6F973A00" w:rsidR="00092DF5" w:rsidRPr="00B958A9" w:rsidRDefault="00092DF5" w:rsidP="00C918B5">
      <w:pPr>
        <w:pStyle w:val="ListParagraph"/>
        <w:numPr>
          <w:ilvl w:val="0"/>
          <w:numId w:val="32"/>
        </w:numPr>
        <w:ind w:left="737" w:hanging="737"/>
        <w:contextualSpacing w:val="0"/>
        <w:rPr>
          <w:rFonts w:cs="Arial"/>
          <w:color w:val="002060"/>
          <w:szCs w:val="24"/>
        </w:rPr>
      </w:pPr>
      <w:r w:rsidRPr="00C80A52">
        <w:rPr>
          <w:rFonts w:cs="Arial"/>
          <w:color w:val="002060"/>
          <w:szCs w:val="24"/>
        </w:rPr>
        <w:t xml:space="preserve">cases of exclusion should be determined in a manner that does not raise any doubts. In this context one </w:t>
      </w:r>
      <w:proofErr w:type="spellStart"/>
      <w:r w:rsidRPr="00C80A52">
        <w:rPr>
          <w:rFonts w:cs="Arial"/>
          <w:color w:val="002060"/>
          <w:szCs w:val="24"/>
        </w:rPr>
        <w:t>can not</w:t>
      </w:r>
      <w:proofErr w:type="spellEnd"/>
      <w:r w:rsidRPr="00C80A52">
        <w:rPr>
          <w:rFonts w:cs="Arial"/>
          <w:color w:val="002060"/>
          <w:szCs w:val="24"/>
        </w:rPr>
        <w:t xml:space="preserve"> refer to false representation which, by its nature, is related to a future and uncertain state of affairs (Croatia, and Poland). In France the contracting authorities have been obliged to notify the relevant enforcement authorities in such case.</w:t>
      </w:r>
    </w:p>
    <w:p w14:paraId="31B49D70" w14:textId="39B1FA70" w:rsidR="00092DF5" w:rsidRPr="00B958A9" w:rsidRDefault="00092DF5" w:rsidP="00C918B5">
      <w:pPr>
        <w:pStyle w:val="ListParagraph"/>
        <w:numPr>
          <w:ilvl w:val="0"/>
          <w:numId w:val="32"/>
        </w:numPr>
        <w:ind w:left="737" w:hanging="737"/>
        <w:contextualSpacing w:val="0"/>
        <w:rPr>
          <w:rFonts w:cs="Arial"/>
          <w:color w:val="002060"/>
          <w:szCs w:val="24"/>
        </w:rPr>
      </w:pPr>
      <w:r w:rsidRPr="00C80A52">
        <w:rPr>
          <w:rFonts w:cs="Arial"/>
          <w:color w:val="002060"/>
          <w:szCs w:val="24"/>
        </w:rPr>
        <w:t xml:space="preserve">certain acts may at times meet the prerequisites of more than one exclusion ground, e.g. an act consisting in a serious misrepresentation with respect to the contracting authority when providing information may at the same time constitute grave professional misconduct referred to in Article 57 section 4 item c) of Directive 2014/24/EU (Belgium, and the Netherlands). </w:t>
      </w:r>
    </w:p>
    <w:p w14:paraId="7FF4D4C1" w14:textId="339C5453" w:rsidR="00092DF5" w:rsidRPr="00B958A9" w:rsidRDefault="00092DF5" w:rsidP="00C918B5">
      <w:pPr>
        <w:pStyle w:val="ListParagraph"/>
        <w:numPr>
          <w:ilvl w:val="0"/>
          <w:numId w:val="31"/>
        </w:numPr>
        <w:spacing w:line="269" w:lineRule="auto"/>
        <w:ind w:left="737" w:hanging="737"/>
        <w:contextualSpacing w:val="0"/>
        <w:rPr>
          <w:rFonts w:cs="Arial"/>
          <w:b/>
          <w:i/>
          <w:szCs w:val="24"/>
        </w:rPr>
      </w:pPr>
      <w:r w:rsidRPr="00C80A52">
        <w:rPr>
          <w:rFonts w:cs="Arial"/>
          <w:b/>
          <w:bCs/>
          <w:i/>
          <w:iCs/>
          <w:szCs w:val="24"/>
        </w:rPr>
        <w:t>Scope of application of both grounds and their mutual relationship</w:t>
      </w:r>
    </w:p>
    <w:p w14:paraId="6AECA153" w14:textId="76080309" w:rsidR="00092DF5" w:rsidRPr="00B958A9" w:rsidRDefault="00092DF5" w:rsidP="00092DF5">
      <w:pPr>
        <w:spacing w:line="269" w:lineRule="auto"/>
        <w:rPr>
          <w:rFonts w:cs="Arial"/>
          <w:szCs w:val="24"/>
        </w:rPr>
      </w:pPr>
      <w:r w:rsidRPr="00C80A52">
        <w:rPr>
          <w:rFonts w:cs="Arial"/>
          <w:szCs w:val="24"/>
        </w:rPr>
        <w:t xml:space="preserve">The two grounds are very similar. However, in view of the lack of established case law, </w:t>
      </w:r>
      <w:r w:rsidRPr="00C80A52">
        <w:rPr>
          <w:rFonts w:cs="Arial"/>
          <w:b/>
          <w:bCs/>
          <w:szCs w:val="24"/>
        </w:rPr>
        <w:t>in the majority of states it is difficult to clearly indicate the scope of application of the two grounds in the national legal regimes or their mutual relationship.</w:t>
      </w:r>
      <w:r w:rsidRPr="00C80A52">
        <w:rPr>
          <w:rFonts w:cs="Arial"/>
          <w:szCs w:val="24"/>
        </w:rPr>
        <w:t xml:space="preserve"> </w:t>
      </w:r>
    </w:p>
    <w:p w14:paraId="12242B7F" w14:textId="3E227FC3" w:rsidR="00092DF5" w:rsidRPr="00B958A9" w:rsidRDefault="00092DF5" w:rsidP="00092DF5">
      <w:pPr>
        <w:spacing w:line="269" w:lineRule="auto"/>
        <w:rPr>
          <w:rFonts w:cs="Arial"/>
          <w:szCs w:val="24"/>
        </w:rPr>
      </w:pPr>
      <w:r w:rsidRPr="00C80A52">
        <w:rPr>
          <w:rFonts w:cs="Arial"/>
          <w:szCs w:val="24"/>
        </w:rPr>
        <w:t xml:space="preserve">In certain states (Belgium, Denmark, France, Portugal) </w:t>
      </w:r>
      <w:r w:rsidRPr="00C80A52">
        <w:rPr>
          <w:rFonts w:cs="Arial"/>
          <w:b/>
          <w:bCs/>
          <w:szCs w:val="24"/>
        </w:rPr>
        <w:t xml:space="preserve">the scope of application of the two exclusion grounds is different </w:t>
      </w:r>
      <w:r w:rsidRPr="00C80A52">
        <w:rPr>
          <w:rFonts w:cs="Arial"/>
          <w:szCs w:val="24"/>
        </w:rPr>
        <w:t xml:space="preserve">(e.g. intentional and unintentional misrepresentation). </w:t>
      </w:r>
    </w:p>
    <w:p w14:paraId="74E23177" w14:textId="1DC5EFB6" w:rsidR="00092DF5" w:rsidRPr="00B958A9" w:rsidRDefault="00092DF5" w:rsidP="00092DF5">
      <w:pPr>
        <w:rPr>
          <w:rFonts w:cs="Arial"/>
          <w:szCs w:val="24"/>
        </w:rPr>
      </w:pPr>
      <w:r w:rsidRPr="006F1C3A">
        <w:rPr>
          <w:rFonts w:ascii="Calibri" w:hAnsi="Calibri" w:cs="Calibri"/>
          <w:noProof/>
          <w:szCs w:val="24"/>
          <w:lang w:eastAsia="en-GB"/>
        </w:rPr>
        <w:lastRenderedPageBreak/>
        <w:drawing>
          <wp:inline distT="0" distB="0" distL="0" distR="0" wp14:anchorId="4D89EDDC" wp14:editId="20E6B28A">
            <wp:extent cx="6313170" cy="3632200"/>
            <wp:effectExtent l="0" t="0" r="11430" b="6350"/>
            <wp:docPr id="12"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4EE999" w14:textId="77777777" w:rsidR="004B7A1F" w:rsidRPr="00B958A9" w:rsidRDefault="004B7A1F" w:rsidP="00C918B5">
      <w:pPr>
        <w:pStyle w:val="ListParagraph"/>
        <w:numPr>
          <w:ilvl w:val="0"/>
          <w:numId w:val="31"/>
        </w:numPr>
        <w:spacing w:line="269" w:lineRule="auto"/>
        <w:ind w:left="737" w:hanging="737"/>
        <w:contextualSpacing w:val="0"/>
        <w:rPr>
          <w:rFonts w:cs="Arial"/>
          <w:b/>
          <w:i/>
          <w:szCs w:val="24"/>
        </w:rPr>
      </w:pPr>
      <w:r w:rsidRPr="00C80A52">
        <w:rPr>
          <w:rFonts w:cs="Arial"/>
          <w:b/>
          <w:bCs/>
          <w:i/>
          <w:iCs/>
          <w:szCs w:val="24"/>
        </w:rPr>
        <w:t>Possibility of replacing untrue information with true information in the course of the procedure</w:t>
      </w:r>
    </w:p>
    <w:p w14:paraId="44FA56FE" w14:textId="77777777" w:rsidR="004B7A1F" w:rsidRPr="00B958A9" w:rsidRDefault="004B7A1F" w:rsidP="004B7A1F">
      <w:pPr>
        <w:spacing w:line="269" w:lineRule="auto"/>
        <w:rPr>
          <w:rFonts w:cs="Arial"/>
          <w:szCs w:val="24"/>
        </w:rPr>
      </w:pPr>
      <w:r w:rsidRPr="00C80A52">
        <w:rPr>
          <w:rFonts w:cs="Arial"/>
          <w:szCs w:val="24"/>
        </w:rPr>
        <w:t>In view of the lack of established national case law in cases involving exclusion grounds concerning provision of untrue information,</w:t>
      </w:r>
      <w:r w:rsidRPr="00C80A52">
        <w:rPr>
          <w:rFonts w:cs="Arial"/>
          <w:b/>
          <w:bCs/>
          <w:szCs w:val="24"/>
        </w:rPr>
        <w:t xml:space="preserve"> it is often difficult to determine the possibility (or impossibility) of replacing information which proved, objectively, to be contrary to the actual facts</w:t>
      </w:r>
      <w:r w:rsidRPr="00C80A52">
        <w:rPr>
          <w:rFonts w:cs="Arial"/>
          <w:szCs w:val="24"/>
        </w:rPr>
        <w:t xml:space="preserve">. </w:t>
      </w:r>
    </w:p>
    <w:p w14:paraId="300FA9EE" w14:textId="0032E9BA" w:rsidR="004B7A1F" w:rsidRPr="00B958A9" w:rsidRDefault="004B7A1F" w:rsidP="004B7A1F">
      <w:pPr>
        <w:spacing w:line="269" w:lineRule="auto"/>
        <w:rPr>
          <w:rFonts w:cs="Arial"/>
          <w:szCs w:val="24"/>
        </w:rPr>
      </w:pPr>
      <w:r w:rsidRPr="00C80A52">
        <w:rPr>
          <w:rFonts w:cs="Arial"/>
          <w:szCs w:val="24"/>
        </w:rPr>
        <w:t xml:space="preserve">In practice, replacing untrue information with true information will most often occur with regard to the technical or professional capabilities of the economic operator (e.g. experience). </w:t>
      </w:r>
    </w:p>
    <w:p w14:paraId="63F6EDA5" w14:textId="77777777" w:rsidR="004B7A1F" w:rsidRPr="00B958A9" w:rsidRDefault="004B7A1F" w:rsidP="004B7A1F">
      <w:pPr>
        <w:spacing w:line="269" w:lineRule="auto"/>
        <w:rPr>
          <w:rFonts w:cs="Arial"/>
          <w:szCs w:val="24"/>
        </w:rPr>
      </w:pPr>
      <w:r w:rsidRPr="00C80A52">
        <w:rPr>
          <w:rFonts w:cs="Arial"/>
          <w:szCs w:val="24"/>
        </w:rPr>
        <w:t xml:space="preserve">In principle, there are two extreme options. The dominant option seems to be the one which favours excluding an economic operator without the possibility of replacing untrue information with true information, of course when the necessary exclusion grounds have been unequivocally established on the basis of the facts of the case (e.g. Czech Republic, Estonia, Spain, Germany, Norway, Romania, Italy, Poland). Less frequently are there cases which confirm the possibility of replacing untrue information with true information (e.g. Bulgaria, Lithuania, Malta, Sweden). </w:t>
      </w:r>
    </w:p>
    <w:p w14:paraId="5CA2E369" w14:textId="38283A93" w:rsidR="00092DF5" w:rsidRPr="00B958A9" w:rsidRDefault="004B7A1F" w:rsidP="004B7A1F">
      <w:pPr>
        <w:spacing w:line="269" w:lineRule="auto"/>
        <w:rPr>
          <w:rFonts w:cs="Arial"/>
          <w:szCs w:val="24"/>
        </w:rPr>
      </w:pPr>
      <w:r w:rsidRPr="00C80A52">
        <w:rPr>
          <w:rFonts w:cs="Arial"/>
          <w:szCs w:val="24"/>
        </w:rPr>
        <w:lastRenderedPageBreak/>
        <w:t>In some states (a small group of states which favour a middle option, e.g. Croatia and Finland) the ultimate decision on imposing a sanction (or not) in the form of exclusion lies with the contracting authority, with account taken of the principle of proportionality.</w:t>
      </w:r>
    </w:p>
    <w:p w14:paraId="121FE1CF" w14:textId="77777777" w:rsidR="004B7A1F" w:rsidRPr="00B958A9" w:rsidRDefault="004B7A1F" w:rsidP="00C918B5">
      <w:pPr>
        <w:pStyle w:val="ListParagraph"/>
        <w:numPr>
          <w:ilvl w:val="0"/>
          <w:numId w:val="31"/>
        </w:numPr>
        <w:spacing w:line="269" w:lineRule="auto"/>
        <w:ind w:left="737" w:hanging="737"/>
        <w:contextualSpacing w:val="0"/>
        <w:rPr>
          <w:rFonts w:cs="Arial"/>
          <w:b/>
          <w:i/>
          <w:szCs w:val="24"/>
        </w:rPr>
      </w:pPr>
      <w:r w:rsidRPr="00C80A52">
        <w:rPr>
          <w:rFonts w:cs="Arial"/>
          <w:b/>
          <w:bCs/>
          <w:i/>
          <w:iCs/>
          <w:szCs w:val="24"/>
        </w:rPr>
        <w:t xml:space="preserve">Exclusion period </w:t>
      </w:r>
    </w:p>
    <w:p w14:paraId="1219AA16" w14:textId="77502970" w:rsidR="004B7A1F" w:rsidRPr="00B958A9" w:rsidRDefault="004B7A1F" w:rsidP="004B7A1F">
      <w:pPr>
        <w:spacing w:line="269" w:lineRule="auto"/>
        <w:rPr>
          <w:rFonts w:cs="Arial"/>
          <w:szCs w:val="24"/>
        </w:rPr>
      </w:pPr>
      <w:r w:rsidRPr="00C80A52">
        <w:rPr>
          <w:rFonts w:cs="Arial"/>
          <w:szCs w:val="24"/>
        </w:rPr>
        <w:t>The differences between the states appear with regard to: (i) the length of the exclusion period, and (ii) the moment from when this period should be counted.</w:t>
      </w:r>
    </w:p>
    <w:p w14:paraId="7D9EB6AD" w14:textId="77777777" w:rsidR="004B7A1F" w:rsidRPr="00B958A9" w:rsidRDefault="004B7A1F" w:rsidP="004B7A1F">
      <w:pPr>
        <w:spacing w:line="269" w:lineRule="auto"/>
        <w:rPr>
          <w:rFonts w:cs="Arial"/>
          <w:szCs w:val="24"/>
        </w:rPr>
      </w:pPr>
      <w:r w:rsidRPr="00C80A52">
        <w:rPr>
          <w:rFonts w:cs="Arial"/>
          <w:b/>
          <w:bCs/>
          <w:szCs w:val="24"/>
        </w:rPr>
        <w:t>Exclusion period is usually three years</w:t>
      </w:r>
      <w:r w:rsidRPr="00C80A52">
        <w:rPr>
          <w:rFonts w:cs="Arial"/>
          <w:szCs w:val="24"/>
        </w:rPr>
        <w:t xml:space="preserve">. Sometimes this period is shorter (Croatia – 2 years, Denmark, Portugal – up to 2 years, Lithuania – 1 year). </w:t>
      </w:r>
    </w:p>
    <w:p w14:paraId="4CD2FCE3" w14:textId="77777777" w:rsidR="004B7A1F" w:rsidRPr="00B958A9" w:rsidRDefault="004B7A1F" w:rsidP="004B7A1F">
      <w:pPr>
        <w:spacing w:line="269" w:lineRule="auto"/>
        <w:rPr>
          <w:rFonts w:cs="Arial"/>
          <w:szCs w:val="24"/>
        </w:rPr>
      </w:pPr>
      <w:r w:rsidRPr="00C80A52">
        <w:rPr>
          <w:rFonts w:cs="Arial"/>
          <w:b/>
          <w:bCs/>
          <w:szCs w:val="24"/>
        </w:rPr>
        <w:t>In only two states (Czech Republic, Poland) has the exclusion period not been specified at all with regard to the discussed grounds</w:t>
      </w:r>
      <w:r w:rsidRPr="00C80A52">
        <w:rPr>
          <w:rFonts w:cs="Arial"/>
          <w:szCs w:val="24"/>
        </w:rPr>
        <w:t xml:space="preserve">, while the act itself of excluding an economic operator is therefore of a one-off nature, i.e. it has legal effect only in a given, specific procedure in which untrue information was furnished. </w:t>
      </w:r>
    </w:p>
    <w:p w14:paraId="0FAEF462" w14:textId="7AFE28A5" w:rsidR="00092DF5" w:rsidRPr="00B958A9" w:rsidRDefault="004B7A1F" w:rsidP="00092DF5">
      <w:pPr>
        <w:rPr>
          <w:rFonts w:cs="Arial"/>
          <w:szCs w:val="24"/>
        </w:rPr>
      </w:pPr>
      <w:r w:rsidRPr="006F1C3A">
        <w:rPr>
          <w:rFonts w:ascii="Calibri" w:hAnsi="Calibri" w:cs="Calibri"/>
          <w:noProof/>
          <w:szCs w:val="24"/>
          <w:lang w:eastAsia="en-GB"/>
        </w:rPr>
        <w:drawing>
          <wp:inline distT="0" distB="0" distL="0" distR="0" wp14:anchorId="036A4E23" wp14:editId="51C8E637">
            <wp:extent cx="6269990" cy="3831772"/>
            <wp:effectExtent l="0" t="0" r="16510" b="16510"/>
            <wp:docPr id="13"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B1EE92" w14:textId="6152F9E0" w:rsidR="00032ABD" w:rsidRPr="00B958A9" w:rsidRDefault="00032ABD" w:rsidP="00032ABD">
      <w:pPr>
        <w:spacing w:line="269" w:lineRule="auto"/>
        <w:rPr>
          <w:rFonts w:cs="Arial"/>
          <w:szCs w:val="24"/>
        </w:rPr>
      </w:pPr>
      <w:r w:rsidRPr="00C80A52">
        <w:rPr>
          <w:rFonts w:cs="Arial"/>
          <w:szCs w:val="24"/>
        </w:rPr>
        <w:t xml:space="preserve">In Denmark the contracting authority decides each time about the exclusion period in the decision on excluding the economic operator. In this case (once again in connection with </w:t>
      </w:r>
      <w:r w:rsidRPr="00C80A52">
        <w:rPr>
          <w:rFonts w:cs="Arial"/>
          <w:szCs w:val="24"/>
        </w:rPr>
        <w:lastRenderedPageBreak/>
        <w:t xml:space="preserve">the principle of proportionality) the contracting authority decides on the length of the period which can be a maximum of 2 years. </w:t>
      </w:r>
    </w:p>
    <w:p w14:paraId="411A345C" w14:textId="3841B266" w:rsidR="00032ABD" w:rsidRPr="00B958A9" w:rsidRDefault="00032ABD" w:rsidP="00032ABD">
      <w:pPr>
        <w:spacing w:line="269" w:lineRule="auto"/>
        <w:rPr>
          <w:rFonts w:cs="Arial"/>
          <w:szCs w:val="24"/>
        </w:rPr>
      </w:pPr>
      <w:r w:rsidRPr="00C80A52">
        <w:rPr>
          <w:rFonts w:cs="Arial"/>
          <w:szCs w:val="24"/>
        </w:rPr>
        <w:t xml:space="preserve">In Malta, in turn, the existence itself of the ground causes the economic operator to be entered into a black list, and the self-cleaning procedure (if any) may be conducted only upon the entry (for the purpose of defence against the entry). Thus, it is only a legally final entry into the list (not appealed by the economic operator by invoking the self-cleaning procedure) which gives rise to legal effects in the form of exclusion from subsequent public procurement procedures. </w:t>
      </w:r>
    </w:p>
    <w:p w14:paraId="25577564" w14:textId="482D623F" w:rsidR="00032ABD" w:rsidRPr="00B958A9" w:rsidRDefault="00032ABD" w:rsidP="00032ABD">
      <w:pPr>
        <w:spacing w:line="269" w:lineRule="auto"/>
        <w:rPr>
          <w:rFonts w:cs="Arial"/>
          <w:szCs w:val="24"/>
        </w:rPr>
      </w:pPr>
      <w:r w:rsidRPr="00C80A52">
        <w:rPr>
          <w:rFonts w:cs="Arial"/>
          <w:b/>
          <w:bCs/>
          <w:szCs w:val="24"/>
        </w:rPr>
        <w:t>The approach differs as to the moment from which the exclusion period should be calculated.</w:t>
      </w:r>
      <w:r w:rsidRPr="00C80A52">
        <w:rPr>
          <w:rFonts w:cs="Arial"/>
          <w:szCs w:val="24"/>
        </w:rPr>
        <w:t xml:space="preserve"> This is because Directive 2014/24/EU uses here the imprecise term  “relevant event”. </w:t>
      </w:r>
    </w:p>
    <w:p w14:paraId="273F55E5" w14:textId="77777777" w:rsidR="00032ABD" w:rsidRPr="00B958A9" w:rsidRDefault="00032ABD" w:rsidP="00032ABD">
      <w:pPr>
        <w:spacing w:line="269" w:lineRule="auto"/>
        <w:rPr>
          <w:rFonts w:cs="Arial"/>
          <w:szCs w:val="24"/>
        </w:rPr>
      </w:pPr>
      <w:r w:rsidRPr="00C80A52">
        <w:rPr>
          <w:rFonts w:cs="Arial"/>
          <w:szCs w:val="24"/>
        </w:rPr>
        <w:t>Most often the initial moment is the date on which the event occurred, that is the moment when untrue information was conveyed to the contracting authority or the date on which the economic operator was excluded. Less frequently are other moments indicated (e.g. the date on which the deadline for submitting offers lapsed – Germany, the date of completion of the public procurement procedure – Hungary).</w:t>
      </w:r>
    </w:p>
    <w:p w14:paraId="34DCD46F" w14:textId="00754EC4" w:rsidR="00032ABD" w:rsidRPr="00B958A9" w:rsidRDefault="00032ABD" w:rsidP="00C918B5">
      <w:pPr>
        <w:pStyle w:val="ListParagraph"/>
        <w:numPr>
          <w:ilvl w:val="0"/>
          <w:numId w:val="31"/>
        </w:numPr>
        <w:spacing w:line="269" w:lineRule="auto"/>
        <w:ind w:left="737" w:hanging="737"/>
        <w:contextualSpacing w:val="0"/>
        <w:rPr>
          <w:rFonts w:cs="Arial"/>
          <w:b/>
          <w:i/>
          <w:szCs w:val="24"/>
        </w:rPr>
      </w:pPr>
      <w:r w:rsidRPr="00C80A52">
        <w:rPr>
          <w:rFonts w:cs="Arial"/>
          <w:b/>
          <w:bCs/>
          <w:i/>
          <w:iCs/>
          <w:szCs w:val="24"/>
        </w:rPr>
        <w:t>The self-cleaning option</w:t>
      </w:r>
    </w:p>
    <w:p w14:paraId="15C12FD5" w14:textId="6ABD741E" w:rsidR="00032ABD" w:rsidRPr="00B958A9" w:rsidRDefault="00032ABD" w:rsidP="00032ABD">
      <w:pPr>
        <w:spacing w:line="269" w:lineRule="auto"/>
        <w:rPr>
          <w:rFonts w:cs="Arial"/>
          <w:szCs w:val="24"/>
        </w:rPr>
      </w:pPr>
      <w:r w:rsidRPr="00C80A52">
        <w:rPr>
          <w:rFonts w:cs="Arial"/>
          <w:b/>
          <w:bCs/>
          <w:szCs w:val="24"/>
        </w:rPr>
        <w:t>In the vast majority of the examined states there is a possibility of applying the self-cleaning procedure with respect to both exclusion grounds</w:t>
      </w:r>
      <w:r w:rsidRPr="00C80A52">
        <w:rPr>
          <w:rFonts w:cs="Arial"/>
          <w:szCs w:val="24"/>
        </w:rPr>
        <w:t xml:space="preserve">. </w:t>
      </w:r>
    </w:p>
    <w:p w14:paraId="2F54B59A" w14:textId="1A5E6724" w:rsidR="00032ABD" w:rsidRPr="00B958A9" w:rsidRDefault="00032ABD" w:rsidP="00032ABD">
      <w:pPr>
        <w:spacing w:line="269" w:lineRule="auto"/>
        <w:rPr>
          <w:rFonts w:cs="Arial"/>
          <w:szCs w:val="24"/>
        </w:rPr>
      </w:pPr>
      <w:r w:rsidRPr="00C80A52">
        <w:rPr>
          <w:rFonts w:cs="Arial"/>
          <w:szCs w:val="24"/>
        </w:rPr>
        <w:t xml:space="preserve">However, there are states (Latvia, Norway, Portugal), in which the above is possible only in relation to the ground contained in item i). In other states the application of the self-cleaning procedure may be in practice hindered (e.g. Malta, Hungary). </w:t>
      </w:r>
    </w:p>
    <w:p w14:paraId="5FC7A9C3" w14:textId="23BD084E" w:rsidR="00032ABD" w:rsidRPr="00B958A9" w:rsidRDefault="00032ABD" w:rsidP="00032ABD">
      <w:pPr>
        <w:spacing w:line="269" w:lineRule="auto"/>
        <w:rPr>
          <w:rFonts w:cs="Arial"/>
          <w:szCs w:val="24"/>
        </w:rPr>
      </w:pPr>
      <w:r w:rsidRPr="00C80A52">
        <w:rPr>
          <w:rFonts w:cs="Arial"/>
          <w:szCs w:val="24"/>
        </w:rPr>
        <w:t xml:space="preserve">The above hindrance predominantly concerns the need to obtain a court/quasi-court body ruling in order to prove the effectiveness of the self-cleaning procedure (Malta and Hungary). </w:t>
      </w:r>
    </w:p>
    <w:p w14:paraId="24EF47F0" w14:textId="25F45867" w:rsidR="009E5F78" w:rsidRPr="00B958A9" w:rsidRDefault="009E5F78" w:rsidP="00032ABD">
      <w:pPr>
        <w:spacing w:line="269" w:lineRule="auto"/>
        <w:rPr>
          <w:rFonts w:cs="Arial"/>
          <w:szCs w:val="24"/>
        </w:rPr>
      </w:pPr>
      <w:r w:rsidRPr="00C80A52">
        <w:rPr>
          <w:rFonts w:cs="Arial"/>
          <w:szCs w:val="24"/>
        </w:rPr>
        <w:t xml:space="preserve">The hindrance may also pertain to the moment until which it is possible to prove that indispensable measures have been undertaken. In Poland, Greece, and Estonia completion of the self-cleaning procedure may be proven only at the stage of submitting a tender offer / application to be admitted to participate in the tender procedure or within ESPD. If it is </w:t>
      </w:r>
      <w:r w:rsidRPr="00C80A52">
        <w:rPr>
          <w:rFonts w:cs="Arial"/>
          <w:szCs w:val="24"/>
        </w:rPr>
        <w:lastRenderedPageBreak/>
        <w:t>determined at a later stage that a given economic operator is subject to exclusion on the basis of the discussed grounds, it will not be able to resort to the self-cleaning procedure</w:t>
      </w:r>
      <w:r w:rsidRPr="00C80A52">
        <w:rPr>
          <w:rStyle w:val="FootnoteReference"/>
          <w:rFonts w:cs="Arial"/>
          <w:szCs w:val="24"/>
        </w:rPr>
        <w:footnoteReference w:id="25"/>
      </w:r>
      <w:r w:rsidRPr="00C80A52">
        <w:rPr>
          <w:rFonts w:cs="Arial"/>
          <w:szCs w:val="24"/>
        </w:rPr>
        <w:t>.</w:t>
      </w:r>
    </w:p>
    <w:p w14:paraId="6E307703" w14:textId="7D0220D0" w:rsidR="00032ABD" w:rsidRPr="00B958A9" w:rsidRDefault="00032ABD" w:rsidP="00032ABD">
      <w:pPr>
        <w:spacing w:line="269" w:lineRule="auto"/>
        <w:rPr>
          <w:rFonts w:cs="Arial"/>
          <w:szCs w:val="24"/>
        </w:rPr>
      </w:pPr>
    </w:p>
    <w:p w14:paraId="45B3ED5A" w14:textId="77777777" w:rsidR="00017CBC" w:rsidRPr="00B958A9" w:rsidRDefault="00032ABD" w:rsidP="00017CBC">
      <w:pPr>
        <w:spacing w:line="269" w:lineRule="auto"/>
        <w:rPr>
          <w:color w:val="FFFFFF" w:themeColor="background1"/>
        </w:rPr>
      </w:pPr>
      <w:r w:rsidRPr="006F1C3A">
        <w:rPr>
          <w:rFonts w:ascii="Calibri" w:hAnsi="Calibri" w:cs="Calibri"/>
          <w:noProof/>
          <w:szCs w:val="24"/>
          <w:lang w:eastAsia="en-GB"/>
        </w:rPr>
        <w:drawing>
          <wp:inline distT="0" distB="0" distL="0" distR="0" wp14:anchorId="450D7345" wp14:editId="175C4EB7">
            <wp:extent cx="6226175" cy="3951514"/>
            <wp:effectExtent l="0" t="0" r="3175" b="11430"/>
            <wp:docPr id="1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E19AA66" w14:textId="77777777" w:rsidR="00017CBC" w:rsidRPr="00B958A9" w:rsidRDefault="00017CBC" w:rsidP="00017CBC">
      <w:pPr>
        <w:spacing w:line="269" w:lineRule="auto"/>
        <w:rPr>
          <w:color w:val="FFFFFF" w:themeColor="background1"/>
        </w:rPr>
      </w:pPr>
    </w:p>
    <w:p w14:paraId="1ED0BF15" w14:textId="078DE3E6" w:rsidR="00BB6D43" w:rsidRDefault="00BB6D43">
      <w:pPr>
        <w:spacing w:after="0" w:line="276" w:lineRule="auto"/>
        <w:jc w:val="left"/>
        <w:rPr>
          <w:rFonts w:cs="Arial"/>
          <w:b/>
          <w:i/>
          <w:szCs w:val="24"/>
        </w:rPr>
      </w:pPr>
    </w:p>
    <w:p w14:paraId="696CA673" w14:textId="083A76F4" w:rsidR="00746DA4" w:rsidRDefault="00746DA4">
      <w:pPr>
        <w:spacing w:after="0" w:line="276" w:lineRule="auto"/>
        <w:jc w:val="left"/>
        <w:rPr>
          <w:rFonts w:cs="Arial"/>
          <w:b/>
          <w:i/>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9639"/>
      </w:tblGrid>
      <w:tr w:rsidR="00746DA4" w:rsidRPr="00746DA4" w14:paraId="3F723977" w14:textId="77777777" w:rsidTr="00663ACF">
        <w:tc>
          <w:tcPr>
            <w:tcW w:w="9639" w:type="dxa"/>
            <w:shd w:val="clear" w:color="auto" w:fill="95B3D7" w:themeFill="accent1" w:themeFillTint="99"/>
          </w:tcPr>
          <w:p w14:paraId="6A28EF53" w14:textId="3ACDA243" w:rsidR="00746DA4" w:rsidRPr="00746DA4" w:rsidRDefault="00746DA4" w:rsidP="00746DA4">
            <w:pPr>
              <w:pageBreakBefore/>
              <w:spacing w:before="120"/>
              <w:jc w:val="center"/>
              <w:rPr>
                <w:b/>
                <w:bCs/>
                <w:i/>
                <w:iCs/>
                <w:color w:val="FFFFFF" w:themeColor="background1"/>
                <w:sz w:val="28"/>
                <w:szCs w:val="28"/>
                <w:lang w:val="en-US"/>
              </w:rPr>
            </w:pPr>
            <w:r w:rsidRPr="00746DA4">
              <w:rPr>
                <w:b/>
                <w:bCs/>
                <w:color w:val="FFFFFF" w:themeColor="background1"/>
                <w:sz w:val="28"/>
                <w:szCs w:val="28"/>
                <w:lang w:val="en"/>
              </w:rPr>
              <w:lastRenderedPageBreak/>
              <w:t>DRAFT QUESTIONNAIRE CONCERNING THE METHOD OF IMPLEMENTATION AND INTERPRETATION OF SELECTED GROUNDS FOR EXCLUSION FROM PUBLIC PROCUREMENT PROCEDURES IN EU AND EFTA STATES</w:t>
            </w:r>
          </w:p>
        </w:tc>
      </w:tr>
    </w:tbl>
    <w:p w14:paraId="45F214B4" w14:textId="68E6547A" w:rsidR="00746DA4" w:rsidRDefault="00746DA4">
      <w:pPr>
        <w:spacing w:after="0" w:line="276" w:lineRule="auto"/>
        <w:jc w:val="left"/>
        <w:rPr>
          <w:rFonts w:cs="Arial"/>
          <w:b/>
          <w:iCs/>
          <w:szCs w:val="24"/>
          <w:lang w:val="en-US"/>
        </w:rPr>
      </w:pPr>
    </w:p>
    <w:p w14:paraId="023D560F" w14:textId="77777777" w:rsidR="00663ACF" w:rsidRDefault="00663ACF" w:rsidP="00663ACF">
      <w:pPr>
        <w:pStyle w:val="ListParagraph"/>
        <w:numPr>
          <w:ilvl w:val="0"/>
          <w:numId w:val="46"/>
        </w:numPr>
        <w:spacing w:after="200" w:line="276" w:lineRule="auto"/>
        <w:ind w:left="426" w:hanging="426"/>
        <w:jc w:val="left"/>
        <w:rPr>
          <w:b/>
          <w:color w:val="auto"/>
          <w:sz w:val="22"/>
          <w:lang w:val="en-US"/>
        </w:rPr>
      </w:pPr>
      <w:r>
        <w:rPr>
          <w:b/>
          <w:lang w:val="en-US"/>
        </w:rPr>
        <w:t xml:space="preserve">Art. 57 sec. 4(c) of Directive 2014/24/EU </w:t>
      </w:r>
    </w:p>
    <w:p w14:paraId="061B2850" w14:textId="77777777" w:rsidR="00663ACF" w:rsidRDefault="00663ACF" w:rsidP="00663ACF">
      <w:pPr>
        <w:rPr>
          <w:b/>
          <w:i/>
          <w:lang w:val="en-US"/>
        </w:rPr>
      </w:pPr>
      <w:r>
        <w:rPr>
          <w:b/>
          <w:i/>
          <w:lang w:val="en-US"/>
        </w:rPr>
        <w:t>Contracting authorities may exclude or may be required by Member States to exclude from participation in a procurement procedure any economic operator in any of the following situations:</w:t>
      </w: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663ACF" w14:paraId="2A6F6D33" w14:textId="77777777" w:rsidTr="00663ACF">
        <w:trPr>
          <w:tblCellSpacing w:w="0" w:type="dxa"/>
        </w:trPr>
        <w:tc>
          <w:tcPr>
            <w:tcW w:w="0" w:type="auto"/>
            <w:hideMark/>
          </w:tcPr>
          <w:p w14:paraId="5AE634A5" w14:textId="77777777" w:rsidR="00663ACF" w:rsidRDefault="00663ACF">
            <w:pPr>
              <w:rPr>
                <w:b/>
                <w:i/>
                <w:lang w:val="en-US"/>
              </w:rPr>
            </w:pPr>
          </w:p>
        </w:tc>
        <w:tc>
          <w:tcPr>
            <w:tcW w:w="0" w:type="auto"/>
            <w:hideMark/>
          </w:tcPr>
          <w:p w14:paraId="4C7E7586" w14:textId="77777777" w:rsidR="00663ACF" w:rsidRDefault="00663ACF">
            <w:pPr>
              <w:spacing w:before="100" w:beforeAutospacing="1" w:after="100" w:afterAutospacing="1" w:line="240" w:lineRule="auto"/>
              <w:rPr>
                <w:rFonts w:eastAsia="Times New Roman"/>
                <w:b/>
                <w:i/>
                <w:sz w:val="22"/>
                <w:szCs w:val="22"/>
                <w:lang w:val="en-US" w:eastAsia="pl-PL"/>
              </w:rPr>
            </w:pPr>
            <w:r>
              <w:rPr>
                <w:rFonts w:eastAsia="Times New Roman"/>
                <w:b/>
                <w:i/>
                <w:lang w:val="en-US" w:eastAsia="pl-PL"/>
              </w:rPr>
              <w:t>c) where the contracting authority can demonstrate by appropriate means that the economic operator is guilty of grave professional misconduct, which renders its integrity questionable;</w:t>
            </w:r>
          </w:p>
        </w:tc>
      </w:tr>
    </w:tbl>
    <w:p w14:paraId="0FBCF700" w14:textId="77777777" w:rsidR="00663ACF" w:rsidRDefault="00663ACF" w:rsidP="00663ACF">
      <w:pPr>
        <w:pStyle w:val="ListParagraph"/>
        <w:numPr>
          <w:ilvl w:val="0"/>
          <w:numId w:val="47"/>
        </w:numPr>
        <w:spacing w:before="120" w:after="120" w:line="276" w:lineRule="auto"/>
        <w:ind w:left="357" w:hanging="357"/>
        <w:rPr>
          <w:rFonts w:asciiTheme="minorHAnsi" w:eastAsiaTheme="minorHAnsi" w:hAnsiTheme="minorHAnsi" w:cstheme="minorBidi"/>
          <w:sz w:val="22"/>
          <w:szCs w:val="22"/>
          <w:lang w:val="en-US"/>
        </w:rPr>
      </w:pPr>
      <w:r>
        <w:rPr>
          <w:lang w:val="en-US"/>
        </w:rPr>
        <w:t xml:space="preserve">Is this exclusion ground implemented in your jurisdiction? </w:t>
      </w:r>
    </w:p>
    <w:p w14:paraId="5F5C7AB0" w14:textId="77777777" w:rsidR="00663ACF" w:rsidRDefault="00663ACF" w:rsidP="00663ACF">
      <w:pPr>
        <w:pStyle w:val="ListParagraph"/>
        <w:numPr>
          <w:ilvl w:val="0"/>
          <w:numId w:val="47"/>
        </w:numPr>
        <w:spacing w:before="120" w:after="120" w:line="276" w:lineRule="auto"/>
        <w:ind w:left="357" w:hanging="357"/>
        <w:rPr>
          <w:lang w:val="en-US"/>
        </w:rPr>
      </w:pPr>
      <w:r>
        <w:rPr>
          <w:lang w:val="en"/>
        </w:rPr>
        <w:t>Method of implementation:</w:t>
      </w:r>
      <w:r>
        <w:rPr>
          <w:rFonts w:cs="Arial"/>
          <w:lang w:val="en-US"/>
        </w:rPr>
        <w:t xml:space="preserve"> Is there any difference in relation to the utility vs. classic procurement?</w:t>
      </w:r>
      <w:r>
        <w:rPr>
          <w:lang w:val="en"/>
        </w:rPr>
        <w:t xml:space="preserve"> Non-compulsory/compulsory?</w:t>
      </w:r>
    </w:p>
    <w:p w14:paraId="79DB9AE9" w14:textId="77777777" w:rsidR="00663ACF" w:rsidRDefault="00663ACF" w:rsidP="00663ACF">
      <w:pPr>
        <w:pStyle w:val="ListParagraph"/>
        <w:numPr>
          <w:ilvl w:val="0"/>
          <w:numId w:val="47"/>
        </w:numPr>
        <w:spacing w:before="120" w:after="120" w:line="276" w:lineRule="auto"/>
        <w:ind w:left="357" w:hanging="357"/>
        <w:rPr>
          <w:lang w:val="en-US"/>
        </w:rPr>
      </w:pPr>
      <w:r>
        <w:rPr>
          <w:lang w:val="en"/>
        </w:rPr>
        <w:t>Please cite the relevant regulations in their original language version and English translation</w:t>
      </w:r>
      <w:r>
        <w:rPr>
          <w:lang w:val="en-US"/>
        </w:rPr>
        <w:t xml:space="preserve">. </w:t>
      </w:r>
    </w:p>
    <w:p w14:paraId="78D2C8D6" w14:textId="77777777" w:rsidR="00663ACF" w:rsidRDefault="00663ACF" w:rsidP="00663ACF">
      <w:pPr>
        <w:pStyle w:val="ListParagraph"/>
        <w:ind w:left="360"/>
        <w:rPr>
          <w:color w:val="FF0000"/>
          <w:lang w:val="pl-PL"/>
        </w:rPr>
      </w:pPr>
      <w:r>
        <w:rPr>
          <w:color w:val="FF0000"/>
          <w:lang w:val="en"/>
        </w:rPr>
        <w:t xml:space="preserve">Proposed table for questions 1-3 </w:t>
      </w:r>
    </w:p>
    <w:tbl>
      <w:tblPr>
        <w:tblStyle w:val="TableGrid"/>
        <w:tblW w:w="0" w:type="auto"/>
        <w:tblInd w:w="360" w:type="dxa"/>
        <w:tblLook w:val="04A0" w:firstRow="1" w:lastRow="0" w:firstColumn="1" w:lastColumn="0" w:noHBand="0" w:noVBand="1"/>
      </w:tblPr>
      <w:tblGrid>
        <w:gridCol w:w="2037"/>
        <w:gridCol w:w="2737"/>
        <w:gridCol w:w="1736"/>
        <w:gridCol w:w="2225"/>
        <w:gridCol w:w="533"/>
      </w:tblGrid>
      <w:tr w:rsidR="00663ACF" w14:paraId="311B4D92" w14:textId="77777777" w:rsidTr="00663ACF">
        <w:trPr>
          <w:trHeight w:val="193"/>
        </w:trPr>
        <w:tc>
          <w:tcPr>
            <w:tcW w:w="20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FC509" w14:textId="77777777" w:rsidR="00663ACF" w:rsidRDefault="00663ACF">
            <w:pPr>
              <w:pStyle w:val="ListParagraph"/>
              <w:spacing w:after="0" w:line="240" w:lineRule="auto"/>
              <w:ind w:left="0"/>
              <w:jc w:val="center"/>
              <w:rPr>
                <w:b/>
                <w:color w:val="auto"/>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6B785" w14:textId="77777777" w:rsidR="00663ACF" w:rsidRDefault="00663ACF">
            <w:pPr>
              <w:pStyle w:val="ListParagraph"/>
              <w:spacing w:after="0" w:line="240" w:lineRule="auto"/>
              <w:ind w:left="0"/>
              <w:jc w:val="center"/>
            </w:pPr>
            <w:r>
              <w:t>Type of procurement</w:t>
            </w:r>
          </w:p>
        </w:tc>
      </w:tr>
      <w:tr w:rsidR="00663ACF" w14:paraId="01F02AA6" w14:textId="77777777" w:rsidTr="00663ACF">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BB539" w14:textId="77777777" w:rsidR="00663ACF" w:rsidRDefault="00663ACF">
            <w:pPr>
              <w:spacing w:after="0" w:line="240" w:lineRule="auto"/>
              <w:rPr>
                <w:b/>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44E15" w14:textId="77777777" w:rsidR="00663ACF" w:rsidRDefault="00663ACF">
            <w:pPr>
              <w:pStyle w:val="ListParagraph"/>
              <w:spacing w:after="0" w:line="240" w:lineRule="auto"/>
              <w:ind w:left="0"/>
              <w:jc w:val="center"/>
            </w:pPr>
            <w:r>
              <w:t>Classic (2014/24/EU)</w:t>
            </w:r>
          </w:p>
        </w:tc>
        <w:tc>
          <w:tcPr>
            <w:tcW w:w="46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945792" w14:textId="77777777" w:rsidR="00663ACF" w:rsidRDefault="00663ACF">
            <w:pPr>
              <w:pStyle w:val="ListParagraph"/>
              <w:spacing w:after="0" w:line="240" w:lineRule="auto"/>
              <w:ind w:left="0"/>
              <w:jc w:val="center"/>
            </w:pPr>
            <w:r>
              <w:t>Utilities (2014/25/EU)</w:t>
            </w:r>
          </w:p>
        </w:tc>
      </w:tr>
      <w:tr w:rsidR="00663ACF" w14:paraId="26154B9E" w14:textId="77777777" w:rsidTr="00663ACF">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A0D507" w14:textId="77777777" w:rsidR="00663ACF" w:rsidRDefault="00663ACF">
            <w:pPr>
              <w:pStyle w:val="ListParagraph"/>
              <w:spacing w:after="0" w:line="240" w:lineRule="auto"/>
              <w:ind w:left="0"/>
              <w:jc w:val="center"/>
              <w:rPr>
                <w:b/>
                <w:lang w:val="en-US"/>
              </w:rPr>
            </w:pPr>
            <w:r>
              <w:rPr>
                <w:b/>
                <w:lang w:val="en"/>
              </w:rPr>
              <w:t>Is this exclusion ground implemented in your jurisdiction?</w:t>
            </w:r>
          </w:p>
        </w:tc>
        <w:tc>
          <w:tcPr>
            <w:tcW w:w="2159" w:type="dxa"/>
            <w:tcBorders>
              <w:top w:val="single" w:sz="4" w:space="0" w:color="auto"/>
              <w:left w:val="single" w:sz="4" w:space="0" w:color="auto"/>
              <w:bottom w:val="single" w:sz="4" w:space="0" w:color="auto"/>
              <w:right w:val="single" w:sz="4" w:space="0" w:color="auto"/>
            </w:tcBorders>
            <w:vAlign w:val="center"/>
            <w:hideMark/>
          </w:tcPr>
          <w:p w14:paraId="36196CA0" w14:textId="77777777" w:rsidR="00663ACF" w:rsidRDefault="00663ACF">
            <w:pPr>
              <w:pStyle w:val="ListParagraph"/>
              <w:spacing w:after="0" w:line="240" w:lineRule="auto"/>
              <w:ind w:left="0"/>
              <w:jc w:val="center"/>
              <w:rPr>
                <w:lang w:val="pl-PL"/>
              </w:rPr>
            </w:pPr>
            <w:r>
              <w:t>yes / no</w:t>
            </w:r>
          </w:p>
        </w:tc>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08690314" w14:textId="77777777" w:rsidR="00663ACF" w:rsidRDefault="00663ACF">
            <w:pPr>
              <w:pStyle w:val="ListParagraph"/>
              <w:spacing w:after="0" w:line="240" w:lineRule="auto"/>
              <w:ind w:left="0"/>
              <w:jc w:val="center"/>
            </w:pPr>
            <w: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FA7DEA6" w14:textId="77777777" w:rsidR="00663ACF" w:rsidRDefault="00663ACF">
            <w:pPr>
              <w:pStyle w:val="ListParagraph"/>
              <w:spacing w:after="0" w:line="240" w:lineRule="auto"/>
              <w:ind w:left="0"/>
              <w:jc w:val="center"/>
            </w:pPr>
            <w:r>
              <w:t>no</w:t>
            </w:r>
          </w:p>
        </w:tc>
      </w:tr>
      <w:tr w:rsidR="00663ACF" w14:paraId="5197A551" w14:textId="77777777" w:rsidTr="00663ACF">
        <w:trPr>
          <w:trHeight w:val="558"/>
        </w:trPr>
        <w:tc>
          <w:tcPr>
            <w:tcW w:w="42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2A08D" w14:textId="77777777" w:rsidR="00663ACF" w:rsidRDefault="00663ACF">
            <w:pPr>
              <w:pStyle w:val="ListParagraph"/>
              <w:spacing w:after="0" w:line="240" w:lineRule="auto"/>
              <w:ind w:left="0"/>
              <w:jc w:val="center"/>
              <w:rPr>
                <w:b/>
                <w:lang w:val="en-US"/>
              </w:rPr>
            </w:pPr>
            <w:r>
              <w:rPr>
                <w:b/>
                <w:lang w:val="en-US"/>
              </w:rPr>
              <w:t>Is the exclusion ground for utilities contracts formulated differently?</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1D604E1" w14:textId="77777777" w:rsidR="00663ACF" w:rsidRDefault="00663ACF">
            <w:pPr>
              <w:pStyle w:val="ListParagraph"/>
              <w:spacing w:after="0" w:line="240" w:lineRule="auto"/>
              <w:ind w:left="0"/>
              <w:jc w:val="center"/>
              <w:rPr>
                <w:lang w:val="pl-PL"/>
              </w:rPr>
            </w:pPr>
            <w:r>
              <w:t>as in 2014/24/EU</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A862CC4" w14:textId="77777777" w:rsidR="00663ACF" w:rsidRDefault="00663ACF">
            <w:pPr>
              <w:pStyle w:val="ListParagraph"/>
              <w:spacing w:after="0" w:line="240" w:lineRule="auto"/>
              <w:ind w:left="0"/>
              <w:jc w:val="center"/>
            </w:pPr>
            <w:r>
              <w:t>differently</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02CF3" w14:textId="77777777" w:rsidR="00663ACF" w:rsidRDefault="00663ACF">
            <w:pPr>
              <w:spacing w:after="0" w:line="240" w:lineRule="auto"/>
            </w:pPr>
          </w:p>
          <w:p w14:paraId="127946A3" w14:textId="77777777" w:rsidR="00663ACF" w:rsidRDefault="00663ACF">
            <w:pPr>
              <w:pStyle w:val="ListParagraph"/>
              <w:spacing w:after="0" w:line="240" w:lineRule="auto"/>
              <w:ind w:left="0"/>
              <w:jc w:val="center"/>
            </w:pPr>
          </w:p>
        </w:tc>
      </w:tr>
      <w:tr w:rsidR="00663ACF" w14:paraId="27FF762E" w14:textId="77777777" w:rsidTr="00663ACF">
        <w:trPr>
          <w:trHeight w:val="870"/>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E06EB" w14:textId="77777777" w:rsidR="00663ACF" w:rsidRDefault="00663ACF">
            <w:pPr>
              <w:pStyle w:val="ListParagraph"/>
              <w:spacing w:after="0" w:line="240" w:lineRule="auto"/>
              <w:ind w:left="0"/>
              <w:jc w:val="center"/>
              <w:rPr>
                <w:b/>
                <w:lang w:val="en-US"/>
              </w:rPr>
            </w:pPr>
            <w:r>
              <w:rPr>
                <w:b/>
                <w:lang w:val="en-US"/>
              </w:rPr>
              <w:t>Non-compulsory ground / compulsory ground</w:t>
            </w:r>
          </w:p>
        </w:tc>
        <w:tc>
          <w:tcPr>
            <w:tcW w:w="2159" w:type="dxa"/>
            <w:tcBorders>
              <w:top w:val="single" w:sz="4" w:space="0" w:color="auto"/>
              <w:left w:val="single" w:sz="4" w:space="0" w:color="auto"/>
              <w:bottom w:val="single" w:sz="4" w:space="0" w:color="auto"/>
              <w:right w:val="single" w:sz="4" w:space="0" w:color="auto"/>
            </w:tcBorders>
            <w:vAlign w:val="center"/>
            <w:hideMark/>
          </w:tcPr>
          <w:p w14:paraId="4C4C2DD4" w14:textId="77777777" w:rsidR="00663ACF" w:rsidRDefault="00663ACF">
            <w:pPr>
              <w:pStyle w:val="ListParagraph"/>
              <w:spacing w:after="0" w:line="240" w:lineRule="auto"/>
              <w:ind w:left="0"/>
              <w:jc w:val="center"/>
              <w:rPr>
                <w:lang w:val="pl-PL"/>
              </w:rPr>
            </w:pPr>
            <w:r>
              <w:rPr>
                <w:lang w:val="en"/>
              </w:rPr>
              <w:t>non-compulsory/compulsory</w:t>
            </w:r>
          </w:p>
        </w:tc>
        <w:tc>
          <w:tcPr>
            <w:tcW w:w="4141" w:type="dxa"/>
            <w:gridSpan w:val="2"/>
            <w:tcBorders>
              <w:top w:val="single" w:sz="4" w:space="0" w:color="auto"/>
              <w:left w:val="single" w:sz="4" w:space="0" w:color="auto"/>
              <w:bottom w:val="single" w:sz="4" w:space="0" w:color="auto"/>
              <w:right w:val="single" w:sz="4" w:space="0" w:color="auto"/>
            </w:tcBorders>
            <w:vAlign w:val="center"/>
          </w:tcPr>
          <w:p w14:paraId="2186EA4B" w14:textId="77777777" w:rsidR="00663ACF" w:rsidRDefault="00663ACF">
            <w:pPr>
              <w:pStyle w:val="ListParagraph"/>
              <w:spacing w:after="0" w:line="240" w:lineRule="auto"/>
              <w:ind w:left="0"/>
              <w:jc w:val="center"/>
            </w:pPr>
            <w:r>
              <w:t>non-compulsory / compulsory</w:t>
            </w:r>
          </w:p>
          <w:p w14:paraId="4FD715A3" w14:textId="77777777" w:rsidR="00663ACF" w:rsidRDefault="00663ACF">
            <w:pPr>
              <w:pStyle w:val="ListParagraph"/>
              <w:spacing w:after="0" w:line="240" w:lineRule="auto"/>
              <w:ind w:left="0"/>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F89E" w14:textId="77777777" w:rsidR="00663ACF" w:rsidRDefault="00663ACF">
            <w:pPr>
              <w:spacing w:after="0" w:line="240" w:lineRule="auto"/>
              <w:rPr>
                <w:sz w:val="22"/>
                <w:szCs w:val="22"/>
              </w:rPr>
            </w:pPr>
          </w:p>
        </w:tc>
      </w:tr>
      <w:tr w:rsidR="00663ACF" w14:paraId="5B81F3BF" w14:textId="77777777" w:rsidTr="00663ACF">
        <w:trPr>
          <w:trHeight w:val="870"/>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657FB5" w14:textId="77777777" w:rsidR="00663ACF" w:rsidRDefault="00663ACF">
            <w:pPr>
              <w:pStyle w:val="ListParagraph"/>
              <w:spacing w:after="0" w:line="240" w:lineRule="auto"/>
              <w:ind w:left="0"/>
              <w:jc w:val="center"/>
              <w:rPr>
                <w:b/>
                <w:lang w:val="en-US"/>
              </w:rPr>
            </w:pPr>
            <w:r>
              <w:rPr>
                <w:b/>
                <w:lang w:val="en-US"/>
              </w:rPr>
              <w:t>Citation of provisions from national law</w:t>
            </w:r>
          </w:p>
        </w:tc>
        <w:tc>
          <w:tcPr>
            <w:tcW w:w="2159" w:type="dxa"/>
            <w:tcBorders>
              <w:top w:val="single" w:sz="4" w:space="0" w:color="auto"/>
              <w:left w:val="single" w:sz="4" w:space="0" w:color="auto"/>
              <w:bottom w:val="single" w:sz="4" w:space="0" w:color="auto"/>
              <w:right w:val="single" w:sz="4" w:space="0" w:color="auto"/>
            </w:tcBorders>
            <w:vAlign w:val="center"/>
            <w:hideMark/>
          </w:tcPr>
          <w:p w14:paraId="66E0F0AF" w14:textId="77777777" w:rsidR="00663ACF" w:rsidRDefault="00663ACF">
            <w:pPr>
              <w:pStyle w:val="ListParagraph"/>
              <w:spacing w:after="0" w:line="240" w:lineRule="auto"/>
              <w:ind w:left="0"/>
              <w:jc w:val="center"/>
              <w:rPr>
                <w:lang w:val="pl-PL"/>
              </w:rPr>
            </w:pPr>
            <w:r>
              <w:t>[…]</w:t>
            </w:r>
          </w:p>
        </w:tc>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5E7E50AD" w14:textId="77777777" w:rsidR="00663ACF" w:rsidRDefault="00663ACF">
            <w:pPr>
              <w:pStyle w:val="ListParagraph"/>
              <w:spacing w:after="0" w:line="240" w:lineRule="auto"/>
              <w:ind w:left="0"/>
              <w:jc w:val="center"/>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9D44A" w14:textId="77777777" w:rsidR="00663ACF" w:rsidRDefault="00663ACF">
            <w:pPr>
              <w:spacing w:after="0" w:line="240" w:lineRule="auto"/>
              <w:rPr>
                <w:sz w:val="22"/>
                <w:szCs w:val="22"/>
              </w:rPr>
            </w:pPr>
          </w:p>
        </w:tc>
      </w:tr>
    </w:tbl>
    <w:p w14:paraId="2370D090" w14:textId="77777777" w:rsidR="00663ACF" w:rsidRDefault="00663ACF" w:rsidP="00663ACF">
      <w:pPr>
        <w:pStyle w:val="ListParagraph"/>
        <w:numPr>
          <w:ilvl w:val="0"/>
          <w:numId w:val="47"/>
        </w:numPr>
        <w:spacing w:before="120" w:after="120" w:line="276" w:lineRule="auto"/>
        <w:ind w:left="357" w:hanging="357"/>
        <w:rPr>
          <w:rFonts w:asciiTheme="minorHAnsi" w:hAnsiTheme="minorHAnsi" w:cstheme="minorBidi"/>
          <w:sz w:val="22"/>
          <w:szCs w:val="22"/>
          <w:lang w:val="en-US"/>
        </w:rPr>
      </w:pPr>
      <w:r>
        <w:rPr>
          <w:lang w:val="en"/>
        </w:rPr>
        <w:lastRenderedPageBreak/>
        <w:t>Please provide examples (case law/doctrine) of how "grave professional misconduct" is understood in the application of national law? (If there are rules defining this term, please cite them).</w:t>
      </w:r>
    </w:p>
    <w:p w14:paraId="39FDE68D" w14:textId="77777777" w:rsidR="00663ACF" w:rsidRDefault="00663ACF" w:rsidP="00663ACF">
      <w:pPr>
        <w:pStyle w:val="ListParagraph"/>
        <w:numPr>
          <w:ilvl w:val="0"/>
          <w:numId w:val="47"/>
        </w:numPr>
        <w:spacing w:before="120" w:after="120" w:line="276" w:lineRule="auto"/>
        <w:ind w:left="357" w:hanging="357"/>
        <w:rPr>
          <w:lang w:val="en-US"/>
        </w:rPr>
      </w:pPr>
      <w:r>
        <w:rPr>
          <w:lang w:val="en"/>
        </w:rPr>
        <w:t>Can "grave professional misconduct" also be non-performance or improper performance of another public procurement contract (or other contract concluded with an entity not obliged to use public procurements)</w:t>
      </w:r>
      <w:r>
        <w:rPr>
          <w:lang w:val="en-US"/>
        </w:rPr>
        <w:t xml:space="preserve">? </w:t>
      </w:r>
    </w:p>
    <w:p w14:paraId="5C827893" w14:textId="77777777" w:rsidR="00663ACF" w:rsidRDefault="00663ACF" w:rsidP="00663ACF">
      <w:pPr>
        <w:pStyle w:val="ListParagraph"/>
        <w:numPr>
          <w:ilvl w:val="0"/>
          <w:numId w:val="47"/>
        </w:numPr>
        <w:spacing w:before="120" w:after="120" w:line="276" w:lineRule="auto"/>
        <w:ind w:left="357" w:hanging="357"/>
        <w:rPr>
          <w:lang w:val="en-US"/>
        </w:rPr>
      </w:pPr>
      <w:r>
        <w:rPr>
          <w:lang w:val="en"/>
        </w:rPr>
        <w:t>Can "grave professional misconduct" provide the contracting authority with false information in the context of another public procurement procedure</w:t>
      </w:r>
      <w:r>
        <w:rPr>
          <w:lang w:val="en-US"/>
        </w:rPr>
        <w:t>?</w:t>
      </w:r>
    </w:p>
    <w:p w14:paraId="145898F0" w14:textId="77777777" w:rsidR="00663ACF" w:rsidRDefault="00663ACF" w:rsidP="00663ACF">
      <w:pPr>
        <w:pStyle w:val="ListParagraph"/>
        <w:numPr>
          <w:ilvl w:val="0"/>
          <w:numId w:val="47"/>
        </w:numPr>
        <w:spacing w:before="120" w:after="120" w:line="276" w:lineRule="auto"/>
        <w:ind w:left="357" w:hanging="357"/>
        <w:rPr>
          <w:lang w:val="pl-PL"/>
        </w:rPr>
      </w:pPr>
      <w:r>
        <w:rPr>
          <w:lang w:val="en"/>
        </w:rPr>
        <w:t>What degree/type of guilt is required in case-law of national appeal bodies when applying this condition? (e.g. intentional, unintentional, negligence</w:t>
      </w:r>
      <w:r>
        <w:t>)</w:t>
      </w:r>
    </w:p>
    <w:p w14:paraId="25EFFA7E" w14:textId="77777777" w:rsidR="00663ACF" w:rsidRDefault="00663ACF" w:rsidP="00663ACF">
      <w:pPr>
        <w:pStyle w:val="ListParagraph"/>
        <w:numPr>
          <w:ilvl w:val="0"/>
          <w:numId w:val="47"/>
        </w:numPr>
        <w:spacing w:before="120" w:after="120" w:line="276" w:lineRule="auto"/>
        <w:ind w:left="357" w:hanging="357"/>
        <w:rPr>
          <w:lang w:val="en-US"/>
        </w:rPr>
      </w:pPr>
      <w:r>
        <w:rPr>
          <w:lang w:val="en"/>
        </w:rPr>
        <w:t>Please provide examples (case law/doctrine) of how "appropriate means" that must be available to the contracting authority to demonstrate the circumstances referred to in art. 57 par. 4 c) Directive 2014/24/EU are understood in practice?</w:t>
      </w:r>
    </w:p>
    <w:p w14:paraId="02697C4F" w14:textId="77777777" w:rsidR="00663ACF" w:rsidRDefault="00663ACF" w:rsidP="00663ACF">
      <w:pPr>
        <w:pStyle w:val="ListParagraph"/>
        <w:numPr>
          <w:ilvl w:val="0"/>
          <w:numId w:val="47"/>
        </w:numPr>
        <w:spacing w:before="120" w:after="120" w:line="276" w:lineRule="auto"/>
        <w:ind w:left="357" w:hanging="357"/>
        <w:rPr>
          <w:lang w:val="pl-PL"/>
        </w:rPr>
      </w:pPr>
      <w:r>
        <w:rPr>
          <w:lang w:val="en"/>
        </w:rPr>
        <w:t>What is the exclusion period entailed by the aforesaid ground in national law? From when and for how long</w:t>
      </w:r>
      <w:r>
        <w:t>?</w:t>
      </w:r>
    </w:p>
    <w:p w14:paraId="23D28F95" w14:textId="77777777" w:rsidR="00663ACF" w:rsidRDefault="00663ACF" w:rsidP="00663ACF">
      <w:pPr>
        <w:pStyle w:val="ListParagraph"/>
        <w:numPr>
          <w:ilvl w:val="0"/>
          <w:numId w:val="47"/>
        </w:numPr>
        <w:spacing w:before="120" w:after="120" w:line="276" w:lineRule="auto"/>
        <w:ind w:left="357" w:hanging="357"/>
        <w:rPr>
          <w:lang w:val="en-US"/>
        </w:rPr>
      </w:pPr>
      <w:r>
        <w:rPr>
          <w:lang w:val="en"/>
        </w:rPr>
        <w:t>Is self-cleaning possible if the exclusion grounds based on the aforesaid are confirmed? And if so, what does it involve (means of proof/types of activities, etc.)</w:t>
      </w:r>
      <w:r>
        <w:rPr>
          <w:lang w:val="en-US"/>
        </w:rPr>
        <w:t>?</w:t>
      </w:r>
    </w:p>
    <w:p w14:paraId="5FDB1967" w14:textId="77777777" w:rsidR="00663ACF" w:rsidRDefault="00663ACF" w:rsidP="00663ACF">
      <w:pPr>
        <w:pStyle w:val="ListParagraph"/>
        <w:ind w:left="360"/>
        <w:rPr>
          <w:lang w:val="en-US"/>
        </w:rPr>
      </w:pPr>
    </w:p>
    <w:p w14:paraId="3E901705" w14:textId="77777777" w:rsidR="00663ACF" w:rsidRDefault="00663ACF" w:rsidP="00663ACF">
      <w:pPr>
        <w:pStyle w:val="ListParagraph"/>
        <w:ind w:left="360"/>
        <w:rPr>
          <w:lang w:val="en-US"/>
        </w:rPr>
      </w:pPr>
    </w:p>
    <w:p w14:paraId="38CFE539" w14:textId="77777777" w:rsidR="00663ACF" w:rsidRDefault="00663ACF" w:rsidP="00663ACF">
      <w:pPr>
        <w:pStyle w:val="ListParagraph"/>
        <w:numPr>
          <w:ilvl w:val="0"/>
          <w:numId w:val="46"/>
        </w:numPr>
        <w:spacing w:after="200" w:line="276" w:lineRule="auto"/>
        <w:ind w:left="426" w:hanging="426"/>
        <w:jc w:val="left"/>
        <w:rPr>
          <w:b/>
          <w:lang w:val="en-US"/>
        </w:rPr>
      </w:pPr>
      <w:r>
        <w:rPr>
          <w:b/>
          <w:lang w:val="en-US"/>
        </w:rPr>
        <w:t xml:space="preserve">Art. 57 sec. 4(g) of Directive 2014/24/EU </w:t>
      </w:r>
    </w:p>
    <w:p w14:paraId="1A997D59" w14:textId="77777777" w:rsidR="00663ACF" w:rsidRDefault="00663ACF" w:rsidP="00663ACF">
      <w:pPr>
        <w:rPr>
          <w:b/>
          <w:i/>
          <w:lang w:val="en-US"/>
        </w:rPr>
      </w:pPr>
      <w:r>
        <w:rPr>
          <w:b/>
          <w:i/>
          <w:lang w:val="en-US"/>
        </w:rPr>
        <w:t>Contracting authorities may exclude or may be required by Member States to exclude from participation in a procurement procedure any economic operator in any of the following situations:</w:t>
      </w:r>
    </w:p>
    <w:tbl>
      <w:tblPr>
        <w:tblW w:w="5008" w:type="pct"/>
        <w:tblCellSpacing w:w="0" w:type="dxa"/>
        <w:tblCellMar>
          <w:left w:w="0" w:type="dxa"/>
          <w:right w:w="0" w:type="dxa"/>
        </w:tblCellMar>
        <w:tblLook w:val="04A0" w:firstRow="1" w:lastRow="0" w:firstColumn="1" w:lastColumn="0" w:noHBand="0" w:noVBand="1"/>
      </w:tblPr>
      <w:tblGrid>
        <w:gridCol w:w="21"/>
        <w:gridCol w:w="9632"/>
      </w:tblGrid>
      <w:tr w:rsidR="00663ACF" w14:paraId="097B21B7" w14:textId="77777777" w:rsidTr="00663ACF">
        <w:trPr>
          <w:trHeight w:val="88"/>
          <w:tblCellSpacing w:w="0" w:type="dxa"/>
        </w:trPr>
        <w:tc>
          <w:tcPr>
            <w:tcW w:w="11" w:type="pct"/>
            <w:hideMark/>
          </w:tcPr>
          <w:p w14:paraId="0D6A774F" w14:textId="77777777" w:rsidR="00663ACF" w:rsidRDefault="00663ACF">
            <w:pPr>
              <w:rPr>
                <w:b/>
                <w:i/>
                <w:lang w:val="en-US"/>
              </w:rPr>
            </w:pPr>
          </w:p>
        </w:tc>
        <w:tc>
          <w:tcPr>
            <w:tcW w:w="4989" w:type="pct"/>
          </w:tcPr>
          <w:p w14:paraId="486FB91C" w14:textId="77777777" w:rsidR="00663ACF" w:rsidRDefault="00663ACF">
            <w:pPr>
              <w:spacing w:before="100" w:beforeAutospacing="1" w:after="100" w:afterAutospacing="1" w:line="240" w:lineRule="auto"/>
              <w:rPr>
                <w:rFonts w:eastAsia="Times New Roman"/>
                <w:b/>
                <w:i/>
                <w:sz w:val="22"/>
                <w:szCs w:val="22"/>
                <w:lang w:val="en-US" w:eastAsia="pl-PL"/>
              </w:rPr>
            </w:pPr>
            <w:r>
              <w:rPr>
                <w:rFonts w:eastAsia="Times New Roman"/>
                <w:b/>
                <w:i/>
                <w:lang w:val="en-US" w:eastAsia="pl-PL"/>
              </w:rPr>
              <w:t>g) where the economic operator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11D55D8" w14:textId="77777777" w:rsidR="00663ACF" w:rsidRDefault="00663ACF" w:rsidP="00663ACF">
            <w:pPr>
              <w:pStyle w:val="ListParagraph"/>
              <w:numPr>
                <w:ilvl w:val="0"/>
                <w:numId w:val="48"/>
              </w:numPr>
              <w:spacing w:after="120" w:line="276" w:lineRule="auto"/>
              <w:ind w:left="357" w:hanging="357"/>
              <w:jc w:val="left"/>
              <w:rPr>
                <w:rFonts w:eastAsiaTheme="minorHAnsi" w:cstheme="minorBidi"/>
                <w:lang w:val="en-US"/>
              </w:rPr>
            </w:pPr>
            <w:r>
              <w:rPr>
                <w:lang w:val="en-US"/>
              </w:rPr>
              <w:t xml:space="preserve">Is this exclusion ground implemented in your jurisdiction? </w:t>
            </w:r>
          </w:p>
          <w:p w14:paraId="5D72FDCF" w14:textId="77777777" w:rsidR="00663ACF" w:rsidRDefault="00663ACF" w:rsidP="00663ACF">
            <w:pPr>
              <w:pStyle w:val="ListParagraph"/>
              <w:numPr>
                <w:ilvl w:val="0"/>
                <w:numId w:val="48"/>
              </w:numPr>
              <w:spacing w:after="120" w:line="276" w:lineRule="auto"/>
              <w:ind w:left="357" w:hanging="357"/>
              <w:jc w:val="left"/>
              <w:rPr>
                <w:lang w:val="en-US"/>
              </w:rPr>
            </w:pPr>
            <w:r>
              <w:rPr>
                <w:lang w:val="en"/>
              </w:rPr>
              <w:t>Method of implementation:</w:t>
            </w:r>
            <w:r>
              <w:rPr>
                <w:rFonts w:cs="Arial"/>
                <w:lang w:val="en-US"/>
              </w:rPr>
              <w:t xml:space="preserve"> any difference in relation to the utility vs. classic procurement? N</w:t>
            </w:r>
            <w:r>
              <w:rPr>
                <w:lang w:val="en"/>
              </w:rPr>
              <w:t>on-compulsory/compulsory.</w:t>
            </w:r>
          </w:p>
          <w:p w14:paraId="1F7FCCD6" w14:textId="3AB73A42" w:rsidR="00663ACF" w:rsidRDefault="00663ACF" w:rsidP="00663ACF">
            <w:pPr>
              <w:pStyle w:val="ListParagraph"/>
              <w:numPr>
                <w:ilvl w:val="0"/>
                <w:numId w:val="48"/>
              </w:numPr>
              <w:spacing w:after="120" w:line="276" w:lineRule="auto"/>
              <w:ind w:left="357" w:hanging="357"/>
              <w:jc w:val="left"/>
              <w:rPr>
                <w:lang w:val="en-US"/>
              </w:rPr>
            </w:pPr>
            <w:r>
              <w:rPr>
                <w:lang w:val="en"/>
              </w:rPr>
              <w:t>Please cite the relevant regulations in their original language version and English translation</w:t>
            </w:r>
            <w:r>
              <w:rPr>
                <w:lang w:val="en-US"/>
              </w:rPr>
              <w:t xml:space="preserve">. </w:t>
            </w:r>
          </w:p>
          <w:p w14:paraId="2242DB95" w14:textId="531A9C4F" w:rsidR="00663ACF" w:rsidRDefault="00663ACF" w:rsidP="00663ACF">
            <w:pPr>
              <w:spacing w:after="120" w:line="276" w:lineRule="auto"/>
              <w:jc w:val="left"/>
              <w:rPr>
                <w:lang w:val="en-US"/>
              </w:rPr>
            </w:pPr>
          </w:p>
          <w:p w14:paraId="3EEB7437" w14:textId="77777777" w:rsidR="00663ACF" w:rsidRPr="00663ACF" w:rsidRDefault="00663ACF" w:rsidP="00663ACF">
            <w:pPr>
              <w:spacing w:after="120" w:line="276" w:lineRule="auto"/>
              <w:jc w:val="left"/>
              <w:rPr>
                <w:lang w:val="en-US"/>
              </w:rPr>
            </w:pPr>
          </w:p>
          <w:p w14:paraId="04E1FC7F" w14:textId="77777777" w:rsidR="00663ACF" w:rsidRDefault="00663ACF">
            <w:pPr>
              <w:pStyle w:val="ListParagraph"/>
              <w:ind w:left="360"/>
              <w:rPr>
                <w:color w:val="FF0000"/>
                <w:lang w:val="pl-PL"/>
              </w:rPr>
            </w:pPr>
            <w:r>
              <w:rPr>
                <w:color w:val="FF0000"/>
                <w:lang w:val="en"/>
              </w:rPr>
              <w:lastRenderedPageBreak/>
              <w:t xml:space="preserve">Proposed table for questions 1-3 </w:t>
            </w:r>
          </w:p>
          <w:tbl>
            <w:tblPr>
              <w:tblStyle w:val="TableGrid"/>
              <w:tblW w:w="0" w:type="auto"/>
              <w:tblInd w:w="360" w:type="dxa"/>
              <w:tblLook w:val="04A0" w:firstRow="1" w:lastRow="0" w:firstColumn="1" w:lastColumn="0" w:noHBand="0" w:noVBand="1"/>
            </w:tblPr>
            <w:tblGrid>
              <w:gridCol w:w="2037"/>
              <w:gridCol w:w="2737"/>
              <w:gridCol w:w="1735"/>
              <w:gridCol w:w="2221"/>
              <w:gridCol w:w="532"/>
            </w:tblGrid>
            <w:tr w:rsidR="00663ACF" w14:paraId="58346B93" w14:textId="77777777">
              <w:trPr>
                <w:trHeight w:val="193"/>
              </w:trPr>
              <w:tc>
                <w:tcPr>
                  <w:tcW w:w="20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A043F0" w14:textId="77777777" w:rsidR="00663ACF" w:rsidRDefault="00663ACF">
                  <w:pPr>
                    <w:pStyle w:val="ListParagraph"/>
                    <w:spacing w:after="0" w:line="240" w:lineRule="auto"/>
                    <w:ind w:left="0"/>
                    <w:jc w:val="center"/>
                    <w:rPr>
                      <w:b/>
                      <w:color w:val="auto"/>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B4A0B" w14:textId="77777777" w:rsidR="00663ACF" w:rsidRDefault="00663ACF">
                  <w:pPr>
                    <w:pStyle w:val="ListParagraph"/>
                    <w:spacing w:after="0" w:line="240" w:lineRule="auto"/>
                    <w:ind w:left="0"/>
                    <w:jc w:val="center"/>
                    <w:rPr>
                      <w:lang w:val="en-US"/>
                    </w:rPr>
                  </w:pPr>
                  <w:r>
                    <w:rPr>
                      <w:lang w:val="en-US"/>
                    </w:rPr>
                    <w:t>Type of procurement</w:t>
                  </w:r>
                </w:p>
              </w:tc>
            </w:tr>
            <w:tr w:rsidR="00663ACF" w14:paraId="49E58653" w14:textId="77777777">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FCF99" w14:textId="77777777" w:rsidR="00663ACF" w:rsidRDefault="00663ACF">
                  <w:pPr>
                    <w:spacing w:after="0" w:line="240" w:lineRule="auto"/>
                    <w:rPr>
                      <w:b/>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C21AE" w14:textId="77777777" w:rsidR="00663ACF" w:rsidRDefault="00663ACF">
                  <w:pPr>
                    <w:pStyle w:val="ListParagraph"/>
                    <w:spacing w:after="0" w:line="240" w:lineRule="auto"/>
                    <w:ind w:left="0"/>
                    <w:jc w:val="center"/>
                    <w:rPr>
                      <w:lang w:val="pl-PL"/>
                    </w:rPr>
                  </w:pPr>
                  <w:r>
                    <w:t>Classic (2014/24/EU)</w:t>
                  </w:r>
                </w:p>
              </w:tc>
              <w:tc>
                <w:tcPr>
                  <w:tcW w:w="46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50F37" w14:textId="77777777" w:rsidR="00663ACF" w:rsidRDefault="00663ACF">
                  <w:pPr>
                    <w:pStyle w:val="ListParagraph"/>
                    <w:spacing w:after="0" w:line="240" w:lineRule="auto"/>
                    <w:ind w:left="0"/>
                    <w:jc w:val="center"/>
                  </w:pPr>
                  <w:r>
                    <w:t>Utilities (2014/25/EU)</w:t>
                  </w:r>
                </w:p>
              </w:tc>
            </w:tr>
            <w:tr w:rsidR="00663ACF" w14:paraId="0D940309" w14:textId="77777777">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EF3B9" w14:textId="77777777" w:rsidR="00663ACF" w:rsidRDefault="00663ACF">
                  <w:pPr>
                    <w:pStyle w:val="ListParagraph"/>
                    <w:spacing w:after="0" w:line="240" w:lineRule="auto"/>
                    <w:ind w:left="0"/>
                    <w:jc w:val="center"/>
                    <w:rPr>
                      <w:b/>
                      <w:lang w:val="en-US"/>
                    </w:rPr>
                  </w:pPr>
                  <w:r>
                    <w:rPr>
                      <w:b/>
                      <w:lang w:val="en-US"/>
                    </w:rPr>
                    <w:t>Is this exclusion ground Implemented in your jurisdiction</w:t>
                  </w:r>
                </w:p>
              </w:tc>
              <w:tc>
                <w:tcPr>
                  <w:tcW w:w="2159" w:type="dxa"/>
                  <w:tcBorders>
                    <w:top w:val="single" w:sz="4" w:space="0" w:color="auto"/>
                    <w:left w:val="single" w:sz="4" w:space="0" w:color="auto"/>
                    <w:bottom w:val="single" w:sz="4" w:space="0" w:color="auto"/>
                    <w:right w:val="single" w:sz="4" w:space="0" w:color="auto"/>
                  </w:tcBorders>
                  <w:vAlign w:val="center"/>
                  <w:hideMark/>
                </w:tcPr>
                <w:p w14:paraId="26B8C452" w14:textId="77777777" w:rsidR="00663ACF" w:rsidRDefault="00663ACF">
                  <w:pPr>
                    <w:pStyle w:val="ListParagraph"/>
                    <w:spacing w:after="0" w:line="240" w:lineRule="auto"/>
                    <w:ind w:left="0"/>
                    <w:jc w:val="center"/>
                    <w:rPr>
                      <w:lang w:val="pl-PL"/>
                    </w:rPr>
                  </w:pPr>
                  <w:r>
                    <w:t>yes / no</w:t>
                  </w:r>
                </w:p>
              </w:tc>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1950358A" w14:textId="77777777" w:rsidR="00663ACF" w:rsidRDefault="00663ACF">
                  <w:pPr>
                    <w:pStyle w:val="ListParagraph"/>
                    <w:spacing w:after="0" w:line="240" w:lineRule="auto"/>
                    <w:ind w:left="0"/>
                    <w:jc w:val="center"/>
                  </w:pPr>
                  <w: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3522A801" w14:textId="77777777" w:rsidR="00663ACF" w:rsidRDefault="00663ACF">
                  <w:pPr>
                    <w:pStyle w:val="ListParagraph"/>
                    <w:spacing w:after="0" w:line="240" w:lineRule="auto"/>
                    <w:ind w:left="0"/>
                    <w:jc w:val="center"/>
                  </w:pPr>
                  <w:r>
                    <w:t>no</w:t>
                  </w:r>
                </w:p>
              </w:tc>
            </w:tr>
            <w:tr w:rsidR="00663ACF" w14:paraId="0ACF471A" w14:textId="77777777">
              <w:trPr>
                <w:trHeight w:val="558"/>
              </w:trPr>
              <w:tc>
                <w:tcPr>
                  <w:tcW w:w="42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52D7D" w14:textId="77777777" w:rsidR="00663ACF" w:rsidRDefault="00663ACF">
                  <w:pPr>
                    <w:pStyle w:val="ListParagraph"/>
                    <w:spacing w:after="0" w:line="240" w:lineRule="auto"/>
                    <w:ind w:left="0"/>
                    <w:jc w:val="center"/>
                    <w:rPr>
                      <w:b/>
                      <w:lang w:val="en-US"/>
                    </w:rPr>
                  </w:pPr>
                  <w:r>
                    <w:rPr>
                      <w:b/>
                      <w:lang w:val="en-US"/>
                    </w:rPr>
                    <w:t>Is the exclusion ground for utilities contracts formulated differently?</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2EED73F" w14:textId="77777777" w:rsidR="00663ACF" w:rsidRDefault="00663ACF">
                  <w:pPr>
                    <w:pStyle w:val="ListParagraph"/>
                    <w:spacing w:after="0" w:line="240" w:lineRule="auto"/>
                    <w:ind w:left="0"/>
                    <w:jc w:val="center"/>
                    <w:rPr>
                      <w:lang w:val="pl-PL"/>
                    </w:rPr>
                  </w:pPr>
                  <w:r>
                    <w:t>as in 2014/24/EU</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FC466A1" w14:textId="77777777" w:rsidR="00663ACF" w:rsidRDefault="00663ACF">
                  <w:pPr>
                    <w:pStyle w:val="ListParagraph"/>
                    <w:spacing w:after="0" w:line="240" w:lineRule="auto"/>
                    <w:ind w:left="0"/>
                    <w:jc w:val="center"/>
                  </w:pPr>
                  <w:r>
                    <w:t>differently</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1F7B1" w14:textId="77777777" w:rsidR="00663ACF" w:rsidRDefault="00663ACF">
                  <w:pPr>
                    <w:spacing w:after="0" w:line="240" w:lineRule="auto"/>
                  </w:pPr>
                </w:p>
                <w:p w14:paraId="6CA82CE5" w14:textId="77777777" w:rsidR="00663ACF" w:rsidRDefault="00663ACF">
                  <w:pPr>
                    <w:pStyle w:val="ListParagraph"/>
                    <w:spacing w:after="0" w:line="240" w:lineRule="auto"/>
                    <w:ind w:left="0"/>
                    <w:jc w:val="center"/>
                  </w:pPr>
                </w:p>
              </w:tc>
            </w:tr>
            <w:tr w:rsidR="00663ACF" w14:paraId="20D5AABD" w14:textId="77777777">
              <w:trPr>
                <w:trHeight w:val="870"/>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E7784D" w14:textId="77777777" w:rsidR="00663ACF" w:rsidRDefault="00663ACF">
                  <w:pPr>
                    <w:pStyle w:val="ListParagraph"/>
                    <w:spacing w:after="0" w:line="240" w:lineRule="auto"/>
                    <w:ind w:left="0"/>
                    <w:jc w:val="center"/>
                    <w:rPr>
                      <w:b/>
                      <w:lang w:val="en-US"/>
                    </w:rPr>
                  </w:pPr>
                  <w:r>
                    <w:rPr>
                      <w:b/>
                      <w:lang w:val="en-US"/>
                    </w:rPr>
                    <w:t>Non-compulsory ground / compulsory ground</w:t>
                  </w:r>
                </w:p>
              </w:tc>
              <w:tc>
                <w:tcPr>
                  <w:tcW w:w="2159" w:type="dxa"/>
                  <w:tcBorders>
                    <w:top w:val="single" w:sz="4" w:space="0" w:color="auto"/>
                    <w:left w:val="single" w:sz="4" w:space="0" w:color="auto"/>
                    <w:bottom w:val="single" w:sz="4" w:space="0" w:color="auto"/>
                    <w:right w:val="single" w:sz="4" w:space="0" w:color="auto"/>
                  </w:tcBorders>
                  <w:vAlign w:val="center"/>
                  <w:hideMark/>
                </w:tcPr>
                <w:p w14:paraId="66FF033A" w14:textId="77777777" w:rsidR="00663ACF" w:rsidRDefault="00663ACF">
                  <w:pPr>
                    <w:pStyle w:val="ListParagraph"/>
                    <w:spacing w:after="0" w:line="240" w:lineRule="auto"/>
                    <w:ind w:left="0"/>
                    <w:jc w:val="center"/>
                    <w:rPr>
                      <w:lang w:val="pl-PL"/>
                    </w:rPr>
                  </w:pPr>
                  <w:r>
                    <w:rPr>
                      <w:lang w:val="en"/>
                    </w:rPr>
                    <w:t>non-compulsory/compulsory</w:t>
                  </w:r>
                </w:p>
              </w:tc>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602BBF6E" w14:textId="77777777" w:rsidR="00663ACF" w:rsidRDefault="00663ACF">
                  <w:pPr>
                    <w:pStyle w:val="ListParagraph"/>
                    <w:spacing w:after="0" w:line="240" w:lineRule="auto"/>
                    <w:ind w:left="0"/>
                    <w:jc w:val="center"/>
                  </w:pPr>
                  <w:r>
                    <w:rPr>
                      <w:lang w:val="en"/>
                    </w:rPr>
                    <w:t xml:space="preserve">non-compulsory/compulsory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BC65E" w14:textId="77777777" w:rsidR="00663ACF" w:rsidRDefault="00663ACF">
                  <w:pPr>
                    <w:spacing w:after="0" w:line="240" w:lineRule="auto"/>
                    <w:rPr>
                      <w:sz w:val="22"/>
                      <w:szCs w:val="22"/>
                    </w:rPr>
                  </w:pPr>
                </w:p>
              </w:tc>
            </w:tr>
            <w:tr w:rsidR="00663ACF" w14:paraId="001B803A" w14:textId="77777777">
              <w:trPr>
                <w:trHeight w:val="870"/>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3DD0B" w14:textId="77777777" w:rsidR="00663ACF" w:rsidRDefault="00663ACF">
                  <w:pPr>
                    <w:pStyle w:val="ListParagraph"/>
                    <w:spacing w:after="0" w:line="240" w:lineRule="auto"/>
                    <w:ind w:left="0"/>
                    <w:jc w:val="center"/>
                    <w:rPr>
                      <w:b/>
                      <w:lang w:val="en-US"/>
                    </w:rPr>
                  </w:pPr>
                  <w:r>
                    <w:rPr>
                      <w:b/>
                      <w:lang w:val="en-US"/>
                    </w:rPr>
                    <w:t>Citation of provisions from national law</w:t>
                  </w:r>
                </w:p>
              </w:tc>
              <w:tc>
                <w:tcPr>
                  <w:tcW w:w="2159" w:type="dxa"/>
                  <w:tcBorders>
                    <w:top w:val="single" w:sz="4" w:space="0" w:color="auto"/>
                    <w:left w:val="single" w:sz="4" w:space="0" w:color="auto"/>
                    <w:bottom w:val="single" w:sz="4" w:space="0" w:color="auto"/>
                    <w:right w:val="single" w:sz="4" w:space="0" w:color="auto"/>
                  </w:tcBorders>
                  <w:vAlign w:val="center"/>
                  <w:hideMark/>
                </w:tcPr>
                <w:p w14:paraId="6F43B44D" w14:textId="77777777" w:rsidR="00663ACF" w:rsidRDefault="00663ACF">
                  <w:pPr>
                    <w:pStyle w:val="ListParagraph"/>
                    <w:spacing w:after="0" w:line="240" w:lineRule="auto"/>
                    <w:ind w:left="0"/>
                    <w:jc w:val="center"/>
                    <w:rPr>
                      <w:lang w:val="pl-PL"/>
                    </w:rPr>
                  </w:pPr>
                  <w:r>
                    <w:t>[…]</w:t>
                  </w:r>
                </w:p>
              </w:tc>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1368EEDA" w14:textId="77777777" w:rsidR="00663ACF" w:rsidRDefault="00663ACF">
                  <w:pPr>
                    <w:pStyle w:val="ListParagraph"/>
                    <w:spacing w:after="0" w:line="240" w:lineRule="auto"/>
                    <w:ind w:left="0"/>
                    <w:jc w:val="center"/>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FE4DB" w14:textId="77777777" w:rsidR="00663ACF" w:rsidRDefault="00663ACF">
                  <w:pPr>
                    <w:spacing w:after="0" w:line="240" w:lineRule="auto"/>
                    <w:rPr>
                      <w:sz w:val="22"/>
                      <w:szCs w:val="22"/>
                    </w:rPr>
                  </w:pPr>
                </w:p>
              </w:tc>
            </w:tr>
          </w:tbl>
          <w:p w14:paraId="3A12DC4E" w14:textId="77777777" w:rsidR="00663ACF" w:rsidRDefault="00663ACF">
            <w:pPr>
              <w:pStyle w:val="ListParagraph"/>
              <w:ind w:left="360"/>
            </w:pPr>
          </w:p>
          <w:p w14:paraId="009A6EC3" w14:textId="77777777" w:rsidR="00663ACF" w:rsidRDefault="00663ACF" w:rsidP="00663ACF">
            <w:pPr>
              <w:pStyle w:val="ListParagraph"/>
              <w:numPr>
                <w:ilvl w:val="0"/>
                <w:numId w:val="48"/>
              </w:numPr>
              <w:spacing w:after="120" w:line="276" w:lineRule="auto"/>
              <w:ind w:left="357" w:hanging="357"/>
              <w:jc w:val="left"/>
              <w:rPr>
                <w:lang w:val="en-US"/>
              </w:rPr>
            </w:pPr>
            <w:r>
              <w:rPr>
                <w:lang w:val="en"/>
              </w:rPr>
              <w:t>Please provide examples (case law/doctrine) of how "</w:t>
            </w:r>
            <w:r>
              <w:rPr>
                <w:lang w:val="en-US"/>
              </w:rPr>
              <w:t>significant or persistent deficiencies</w:t>
            </w:r>
            <w:r>
              <w:rPr>
                <w:lang w:val="en"/>
              </w:rPr>
              <w:t>" is understood in the application of national law in the context of the subject provision? (If there are rules defining this term, please cite them). Should “persistent” simply be interpreted as repeatedly (or will two instances suffice?).</w:t>
            </w:r>
          </w:p>
          <w:p w14:paraId="3F97E936" w14:textId="77777777" w:rsidR="00663ACF" w:rsidRDefault="00663ACF" w:rsidP="00663ACF">
            <w:pPr>
              <w:pStyle w:val="ListParagraph"/>
              <w:numPr>
                <w:ilvl w:val="0"/>
                <w:numId w:val="48"/>
              </w:numPr>
              <w:spacing w:after="120" w:line="276" w:lineRule="auto"/>
              <w:ind w:left="357" w:hanging="357"/>
              <w:jc w:val="left"/>
              <w:rPr>
                <w:lang w:val="en-US"/>
              </w:rPr>
            </w:pPr>
            <w:r>
              <w:rPr>
                <w:lang w:val="en"/>
              </w:rPr>
              <w:t>Please provide examples (case law/doctrine) of how “a substantive requirement" is understood in the application of national law? Does this involve objective requirements relevant for an independent observer, or might it involve essentially subjective requirements from the contracting authority’s point of view? Must the "</w:t>
            </w:r>
            <w:proofErr w:type="spellStart"/>
            <w:r>
              <w:rPr>
                <w:lang w:val="en"/>
              </w:rPr>
              <w:t>substantiveness</w:t>
            </w:r>
            <w:proofErr w:type="spellEnd"/>
            <w:r>
              <w:rPr>
                <w:lang w:val="en"/>
              </w:rPr>
              <w:t>" of the requirements be known in advance and notified to the economic operator, e.g. by these being encumbered with contractual penalties in the public procurement contract</w:t>
            </w:r>
            <w:r>
              <w:rPr>
                <w:lang w:val="en-US"/>
              </w:rPr>
              <w:t>.</w:t>
            </w:r>
          </w:p>
          <w:p w14:paraId="41DA8333" w14:textId="77777777" w:rsidR="00663ACF" w:rsidRDefault="00663ACF" w:rsidP="00663ACF">
            <w:pPr>
              <w:pStyle w:val="ListParagraph"/>
              <w:numPr>
                <w:ilvl w:val="0"/>
                <w:numId w:val="48"/>
              </w:numPr>
              <w:spacing w:after="120" w:line="276" w:lineRule="auto"/>
              <w:ind w:left="357" w:hanging="357"/>
              <w:jc w:val="left"/>
              <w:rPr>
                <w:lang w:val="en-US"/>
              </w:rPr>
            </w:pPr>
            <w:r>
              <w:rPr>
                <w:lang w:val="en"/>
              </w:rPr>
              <w:t>Will this ground also apply when the parties to the contract are in litigation regarding the legitimacy of early termination of a public procurement contract and/or in a situation where the contract has been terminated by the economic operator</w:t>
            </w:r>
            <w:r>
              <w:rPr>
                <w:lang w:val="en-US"/>
              </w:rPr>
              <w:t>?</w:t>
            </w:r>
          </w:p>
          <w:p w14:paraId="76E824E0" w14:textId="77777777" w:rsidR="00663ACF" w:rsidRDefault="00663ACF" w:rsidP="00663ACF">
            <w:pPr>
              <w:pStyle w:val="ListParagraph"/>
              <w:numPr>
                <w:ilvl w:val="0"/>
                <w:numId w:val="48"/>
              </w:numPr>
              <w:spacing w:after="120" w:line="276" w:lineRule="auto"/>
              <w:ind w:left="357" w:hanging="357"/>
              <w:jc w:val="left"/>
              <w:rPr>
                <w:lang w:val="en-US"/>
              </w:rPr>
            </w:pPr>
            <w:r>
              <w:rPr>
                <w:lang w:val="en"/>
              </w:rPr>
              <w:t>Please provide examples (case law/doctrine) of how the concept of "other comparable sanctions" is understood in national law?</w:t>
            </w:r>
          </w:p>
          <w:p w14:paraId="42DB8E0D" w14:textId="77777777" w:rsidR="00663ACF" w:rsidRDefault="00663ACF" w:rsidP="00663ACF">
            <w:pPr>
              <w:pStyle w:val="ListParagraph"/>
              <w:numPr>
                <w:ilvl w:val="0"/>
                <w:numId w:val="48"/>
              </w:numPr>
              <w:spacing w:after="120" w:line="276" w:lineRule="auto"/>
              <w:ind w:left="357" w:hanging="357"/>
              <w:jc w:val="left"/>
              <w:rPr>
                <w:lang w:val="en-US"/>
              </w:rPr>
            </w:pPr>
            <w:r>
              <w:rPr>
                <w:lang w:val="en"/>
              </w:rPr>
              <w:t>In order to apply this ground, is it necessary for the violation to have been confirmed by a legally valid judgment of the relevant authority/court in your jurisdiction</w:t>
            </w:r>
            <w:r>
              <w:rPr>
                <w:lang w:val="en-US"/>
              </w:rPr>
              <w:t>?</w:t>
            </w:r>
          </w:p>
          <w:p w14:paraId="7BE5591E" w14:textId="77777777" w:rsidR="00663ACF" w:rsidRDefault="00663ACF" w:rsidP="00663ACF">
            <w:pPr>
              <w:pStyle w:val="ListParagraph"/>
              <w:numPr>
                <w:ilvl w:val="0"/>
                <w:numId w:val="48"/>
              </w:numPr>
              <w:spacing w:after="120" w:line="276" w:lineRule="auto"/>
              <w:ind w:left="357" w:hanging="357"/>
              <w:jc w:val="left"/>
              <w:rPr>
                <w:lang w:val="pl-PL"/>
              </w:rPr>
            </w:pPr>
            <w:r>
              <w:rPr>
                <w:lang w:val="en"/>
              </w:rPr>
              <w:t>What is the exclusion period entailed by the aforesaid ground in national law?  From when and for how long</w:t>
            </w:r>
            <w:r>
              <w:t>?</w:t>
            </w:r>
          </w:p>
          <w:p w14:paraId="2898D048" w14:textId="77777777" w:rsidR="00663ACF" w:rsidRDefault="00663ACF" w:rsidP="00663ACF">
            <w:pPr>
              <w:pStyle w:val="ListParagraph"/>
              <w:numPr>
                <w:ilvl w:val="0"/>
                <w:numId w:val="48"/>
              </w:numPr>
              <w:spacing w:after="120" w:line="276" w:lineRule="auto"/>
              <w:ind w:left="357" w:hanging="357"/>
              <w:jc w:val="left"/>
              <w:rPr>
                <w:lang w:val="en-US"/>
              </w:rPr>
            </w:pPr>
            <w:r>
              <w:rPr>
                <w:lang w:val="en"/>
              </w:rPr>
              <w:lastRenderedPageBreak/>
              <w:t>Is self-cleaning possible if the exclusion grounds based on the aforesaid are confirmed? And if so, what does it involve (means of proof/types of activities, etc.)</w:t>
            </w:r>
            <w:r>
              <w:rPr>
                <w:lang w:val="en-US"/>
              </w:rPr>
              <w:t>?</w:t>
            </w:r>
          </w:p>
        </w:tc>
      </w:tr>
    </w:tbl>
    <w:p w14:paraId="70A5061A" w14:textId="77777777" w:rsidR="00663ACF" w:rsidRDefault="00663ACF" w:rsidP="00663ACF">
      <w:pPr>
        <w:pStyle w:val="ListParagraph"/>
        <w:numPr>
          <w:ilvl w:val="0"/>
          <w:numId w:val="46"/>
        </w:numPr>
        <w:spacing w:after="200" w:line="276" w:lineRule="auto"/>
        <w:ind w:left="426" w:hanging="426"/>
        <w:jc w:val="left"/>
        <w:rPr>
          <w:b/>
          <w:lang w:val="en-US"/>
        </w:rPr>
      </w:pPr>
      <w:r>
        <w:rPr>
          <w:b/>
          <w:lang w:val="en-US"/>
        </w:rPr>
        <w:lastRenderedPageBreak/>
        <w:t xml:space="preserve">Art. 57 sec. 4(h) and (i) of Directive 2014/24/EU </w:t>
      </w:r>
    </w:p>
    <w:p w14:paraId="05E814DA" w14:textId="77777777" w:rsidR="00663ACF" w:rsidRDefault="00663ACF" w:rsidP="00663ACF">
      <w:pPr>
        <w:rPr>
          <w:b/>
          <w:i/>
          <w:lang w:val="en-US"/>
        </w:rPr>
      </w:pPr>
      <w:r>
        <w:rPr>
          <w:b/>
          <w:i/>
          <w:lang w:val="en-US"/>
        </w:rPr>
        <w:t>Contracting authorities may exclude or may be required by Member States to exclude from participation in a procurement procedure any economic operator in any of the following situations:</w:t>
      </w:r>
    </w:p>
    <w:tbl>
      <w:tblPr>
        <w:tblW w:w="5008" w:type="pct"/>
        <w:tblCellSpacing w:w="0" w:type="dxa"/>
        <w:tblCellMar>
          <w:left w:w="0" w:type="dxa"/>
          <w:right w:w="0" w:type="dxa"/>
        </w:tblCellMar>
        <w:tblLook w:val="04A0" w:firstRow="1" w:lastRow="0" w:firstColumn="1" w:lastColumn="0" w:noHBand="0" w:noVBand="1"/>
      </w:tblPr>
      <w:tblGrid>
        <w:gridCol w:w="21"/>
        <w:gridCol w:w="9632"/>
      </w:tblGrid>
      <w:tr w:rsidR="00663ACF" w14:paraId="5FECBAFA" w14:textId="77777777" w:rsidTr="00663ACF">
        <w:trPr>
          <w:tblCellSpacing w:w="0" w:type="dxa"/>
        </w:trPr>
        <w:tc>
          <w:tcPr>
            <w:tcW w:w="11" w:type="pct"/>
            <w:hideMark/>
          </w:tcPr>
          <w:p w14:paraId="337496FC" w14:textId="77777777" w:rsidR="00663ACF" w:rsidRDefault="00663ACF">
            <w:pPr>
              <w:rPr>
                <w:b/>
                <w:i/>
                <w:lang w:val="en-US"/>
              </w:rPr>
            </w:pPr>
          </w:p>
        </w:tc>
        <w:tc>
          <w:tcPr>
            <w:tcW w:w="0" w:type="auto"/>
            <w:hideMark/>
          </w:tcPr>
          <w:p w14:paraId="1AD10655" w14:textId="77777777" w:rsidR="00663ACF" w:rsidRDefault="00663ACF">
            <w:pPr>
              <w:spacing w:before="100" w:beforeAutospacing="1" w:after="100" w:afterAutospacing="1" w:line="240" w:lineRule="auto"/>
              <w:rPr>
                <w:rFonts w:eastAsia="Times New Roman"/>
                <w:b/>
                <w:i/>
                <w:sz w:val="22"/>
                <w:szCs w:val="22"/>
                <w:lang w:val="en-US" w:eastAsia="pl-PL"/>
              </w:rPr>
            </w:pPr>
            <w:r>
              <w:rPr>
                <w:rFonts w:eastAsia="Times New Roman"/>
                <w:b/>
                <w:i/>
                <w:lang w:val="en-US" w:eastAsia="pl-PL"/>
              </w:rPr>
              <w:t>h) where the economic operator has been guilty of serious misrepresentation in supplying the information required for the verification of the absence of grounds for exclusion or the fulfilment of the selection criteria, has withheld such information or is not able to submit the supporting documents required pursuant to Article 59; or</w:t>
            </w:r>
          </w:p>
        </w:tc>
      </w:tr>
    </w:tbl>
    <w:p w14:paraId="17CDE955" w14:textId="77777777" w:rsidR="00663ACF" w:rsidRDefault="00663ACF" w:rsidP="00663ACF">
      <w:pPr>
        <w:spacing w:after="0" w:line="240" w:lineRule="auto"/>
        <w:rPr>
          <w:rFonts w:asciiTheme="minorHAnsi" w:eastAsia="Times New Roman" w:hAnsiTheme="minorHAnsi"/>
          <w:b/>
          <w:i/>
          <w:vanish/>
          <w:sz w:val="22"/>
          <w:szCs w:val="22"/>
          <w:lang w:val="en-US" w:eastAsia="pl-PL"/>
        </w:rPr>
      </w:pPr>
    </w:p>
    <w:tbl>
      <w:tblPr>
        <w:tblW w:w="5000" w:type="pct"/>
        <w:tblCellSpacing w:w="0" w:type="dxa"/>
        <w:tblCellMar>
          <w:left w:w="0" w:type="dxa"/>
          <w:right w:w="0" w:type="dxa"/>
        </w:tblCellMar>
        <w:tblLook w:val="04A0" w:firstRow="1" w:lastRow="0" w:firstColumn="1" w:lastColumn="0" w:noHBand="0" w:noVBand="1"/>
      </w:tblPr>
      <w:tblGrid>
        <w:gridCol w:w="147"/>
        <w:gridCol w:w="9491"/>
      </w:tblGrid>
      <w:tr w:rsidR="00663ACF" w14:paraId="091992F3" w14:textId="77777777" w:rsidTr="00663ACF">
        <w:trPr>
          <w:tblCellSpacing w:w="0" w:type="dxa"/>
        </w:trPr>
        <w:tc>
          <w:tcPr>
            <w:tcW w:w="0" w:type="auto"/>
            <w:hideMark/>
          </w:tcPr>
          <w:p w14:paraId="517D138E" w14:textId="77777777" w:rsidR="00663ACF" w:rsidRDefault="00663ACF">
            <w:pPr>
              <w:spacing w:before="100" w:beforeAutospacing="1" w:after="100" w:afterAutospacing="1" w:line="240" w:lineRule="auto"/>
              <w:rPr>
                <w:rFonts w:eastAsia="Times New Roman"/>
                <w:b/>
                <w:i/>
                <w:lang w:val="pl-PL" w:eastAsia="pl-PL"/>
              </w:rPr>
            </w:pPr>
            <w:r>
              <w:rPr>
                <w:rFonts w:eastAsia="Times New Roman"/>
                <w:b/>
                <w:i/>
                <w:lang w:eastAsia="pl-PL"/>
              </w:rPr>
              <w:t>i)</w:t>
            </w:r>
          </w:p>
        </w:tc>
        <w:tc>
          <w:tcPr>
            <w:tcW w:w="0" w:type="auto"/>
            <w:hideMark/>
          </w:tcPr>
          <w:p w14:paraId="466418D6" w14:textId="77777777" w:rsidR="00663ACF" w:rsidRDefault="00663ACF">
            <w:pPr>
              <w:spacing w:before="100" w:beforeAutospacing="1" w:after="100" w:afterAutospacing="1" w:line="240" w:lineRule="auto"/>
              <w:rPr>
                <w:rFonts w:eastAsia="Times New Roman"/>
                <w:b/>
                <w:i/>
                <w:lang w:val="en-US" w:eastAsia="pl-PL"/>
              </w:rPr>
            </w:pPr>
            <w:r>
              <w:rPr>
                <w:rFonts w:eastAsia="Times New Roman"/>
                <w:b/>
                <w:i/>
                <w:lang w:val="en-US" w:eastAsia="pl-PL"/>
              </w:rPr>
              <w:t xml:space="preserve"> where the economic operator has undertaken to unduly influence the decision-making process of the contracting authority, to obtain confidential information that may confer upon it undue advantages in the procurement procedure or to negligently provide misleading information that may have a material influence on decisions concerning exclusion, selection or award.</w:t>
            </w:r>
          </w:p>
        </w:tc>
      </w:tr>
    </w:tbl>
    <w:p w14:paraId="35273983" w14:textId="77777777" w:rsidR="00663ACF" w:rsidRDefault="00663ACF" w:rsidP="00663ACF">
      <w:pPr>
        <w:rPr>
          <w:rFonts w:asciiTheme="minorHAnsi" w:eastAsiaTheme="minorHAnsi" w:hAnsiTheme="minorHAnsi" w:cstheme="minorBidi"/>
          <w:sz w:val="22"/>
          <w:szCs w:val="22"/>
          <w:lang w:val="en-US"/>
        </w:rPr>
      </w:pPr>
    </w:p>
    <w:p w14:paraId="3CD62A23" w14:textId="77777777" w:rsidR="00663ACF" w:rsidRDefault="00663ACF" w:rsidP="00663ACF">
      <w:pPr>
        <w:pStyle w:val="ListParagraph"/>
        <w:numPr>
          <w:ilvl w:val="0"/>
          <w:numId w:val="49"/>
        </w:numPr>
        <w:spacing w:after="120" w:line="276" w:lineRule="auto"/>
        <w:ind w:left="357" w:hanging="357"/>
        <w:rPr>
          <w:lang w:val="en-US"/>
        </w:rPr>
      </w:pPr>
      <w:r>
        <w:rPr>
          <w:lang w:val="en-US"/>
        </w:rPr>
        <w:t xml:space="preserve">Is this exclusion ground implemented in your jurisdiction? </w:t>
      </w:r>
    </w:p>
    <w:p w14:paraId="7F1B487E" w14:textId="77777777" w:rsidR="00663ACF" w:rsidRDefault="00663ACF" w:rsidP="00663ACF">
      <w:pPr>
        <w:pStyle w:val="ListParagraph"/>
        <w:numPr>
          <w:ilvl w:val="0"/>
          <w:numId w:val="49"/>
        </w:numPr>
        <w:spacing w:after="120" w:line="276" w:lineRule="auto"/>
        <w:ind w:left="357" w:hanging="357"/>
        <w:rPr>
          <w:lang w:val="en-US"/>
        </w:rPr>
      </w:pPr>
      <w:r>
        <w:rPr>
          <w:lang w:val="en"/>
        </w:rPr>
        <w:t>Method of implementation:</w:t>
      </w:r>
      <w:r>
        <w:rPr>
          <w:rFonts w:cs="Arial"/>
          <w:lang w:val="en-US"/>
        </w:rPr>
        <w:t xml:space="preserve"> any difference in relation to the utility vs. classic procurement?;</w:t>
      </w:r>
      <w:r>
        <w:rPr>
          <w:lang w:val="en"/>
        </w:rPr>
        <w:t xml:space="preserve"> non-compulsory/compulsory.</w:t>
      </w:r>
    </w:p>
    <w:p w14:paraId="54B90A6D" w14:textId="77777777" w:rsidR="00663ACF" w:rsidRDefault="00663ACF" w:rsidP="00663ACF">
      <w:pPr>
        <w:pStyle w:val="ListParagraph"/>
        <w:numPr>
          <w:ilvl w:val="0"/>
          <w:numId w:val="49"/>
        </w:numPr>
        <w:spacing w:after="120" w:line="276" w:lineRule="auto"/>
        <w:ind w:left="357" w:hanging="357"/>
        <w:rPr>
          <w:lang w:val="en-US"/>
        </w:rPr>
      </w:pPr>
      <w:r>
        <w:rPr>
          <w:lang w:val="en"/>
        </w:rPr>
        <w:t>Please cite the relevant regulations in their original language version and English translation</w:t>
      </w:r>
      <w:r>
        <w:rPr>
          <w:lang w:val="en-US"/>
        </w:rPr>
        <w:t xml:space="preserve">. </w:t>
      </w:r>
    </w:p>
    <w:p w14:paraId="59D1CCCA" w14:textId="77777777" w:rsidR="00663ACF" w:rsidRDefault="00663ACF" w:rsidP="00663ACF">
      <w:pPr>
        <w:pStyle w:val="ListParagraph"/>
        <w:ind w:left="360"/>
        <w:rPr>
          <w:color w:val="FF0000"/>
          <w:lang w:val="pl-PL"/>
        </w:rPr>
      </w:pPr>
      <w:r>
        <w:rPr>
          <w:color w:val="FF0000"/>
          <w:lang w:val="en"/>
        </w:rPr>
        <w:t xml:space="preserve">Proposed table for questions 1-3 </w:t>
      </w:r>
    </w:p>
    <w:tbl>
      <w:tblPr>
        <w:tblStyle w:val="TableGrid"/>
        <w:tblW w:w="0" w:type="auto"/>
        <w:tblInd w:w="360" w:type="dxa"/>
        <w:tblLook w:val="04A0" w:firstRow="1" w:lastRow="0" w:firstColumn="1" w:lastColumn="0" w:noHBand="0" w:noVBand="1"/>
      </w:tblPr>
      <w:tblGrid>
        <w:gridCol w:w="2088"/>
        <w:gridCol w:w="2159"/>
        <w:gridCol w:w="1773"/>
        <w:gridCol w:w="2368"/>
        <w:gridCol w:w="540"/>
      </w:tblGrid>
      <w:tr w:rsidR="00663ACF" w14:paraId="15BA6638" w14:textId="77777777" w:rsidTr="00663ACF">
        <w:trPr>
          <w:trHeight w:val="193"/>
        </w:trPr>
        <w:tc>
          <w:tcPr>
            <w:tcW w:w="20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A4F60" w14:textId="77777777" w:rsidR="00663ACF" w:rsidRDefault="00663ACF">
            <w:pPr>
              <w:pStyle w:val="ListParagraph"/>
              <w:spacing w:after="0" w:line="240" w:lineRule="auto"/>
              <w:ind w:left="0"/>
              <w:jc w:val="center"/>
              <w:rPr>
                <w:b/>
                <w:color w:val="auto"/>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40898" w14:textId="77777777" w:rsidR="00663ACF" w:rsidRDefault="00663ACF">
            <w:pPr>
              <w:pStyle w:val="ListParagraph"/>
              <w:spacing w:after="0" w:line="240" w:lineRule="auto"/>
              <w:ind w:left="0"/>
              <w:jc w:val="center"/>
            </w:pPr>
            <w:r>
              <w:t>Type of procurement</w:t>
            </w:r>
          </w:p>
        </w:tc>
      </w:tr>
      <w:tr w:rsidR="00663ACF" w14:paraId="1134889E" w14:textId="77777777" w:rsidTr="00663ACF">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03243" w14:textId="77777777" w:rsidR="00663ACF" w:rsidRDefault="00663ACF">
            <w:pPr>
              <w:spacing w:after="0" w:line="240" w:lineRule="auto"/>
              <w:rPr>
                <w:b/>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C4F0FE" w14:textId="77777777" w:rsidR="00663ACF" w:rsidRDefault="00663ACF">
            <w:pPr>
              <w:pStyle w:val="ListParagraph"/>
              <w:spacing w:after="0" w:line="240" w:lineRule="auto"/>
              <w:ind w:left="0"/>
              <w:jc w:val="center"/>
            </w:pPr>
            <w:r>
              <w:t>Classic (2014/24/EU)</w:t>
            </w:r>
          </w:p>
        </w:tc>
        <w:tc>
          <w:tcPr>
            <w:tcW w:w="46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5E2EC2" w14:textId="77777777" w:rsidR="00663ACF" w:rsidRDefault="00663ACF">
            <w:pPr>
              <w:pStyle w:val="ListParagraph"/>
              <w:spacing w:after="0" w:line="240" w:lineRule="auto"/>
              <w:ind w:left="0"/>
              <w:jc w:val="center"/>
            </w:pPr>
            <w:r>
              <w:t>Utilities (2014/25/EU)</w:t>
            </w:r>
          </w:p>
        </w:tc>
      </w:tr>
      <w:tr w:rsidR="00663ACF" w14:paraId="55541115" w14:textId="77777777" w:rsidTr="00663ACF">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69DB75" w14:textId="77777777" w:rsidR="00663ACF" w:rsidRDefault="00663ACF">
            <w:pPr>
              <w:pStyle w:val="ListParagraph"/>
              <w:spacing w:after="0" w:line="240" w:lineRule="auto"/>
              <w:ind w:left="0"/>
              <w:jc w:val="center"/>
              <w:rPr>
                <w:b/>
                <w:lang w:val="en-US"/>
              </w:rPr>
            </w:pPr>
            <w:r>
              <w:rPr>
                <w:b/>
                <w:lang w:val="en-US"/>
              </w:rPr>
              <w:t>Is this exclusion ground implemented in your jurisdiction</w:t>
            </w:r>
          </w:p>
        </w:tc>
        <w:tc>
          <w:tcPr>
            <w:tcW w:w="2159" w:type="dxa"/>
            <w:tcBorders>
              <w:top w:val="single" w:sz="4" w:space="0" w:color="auto"/>
              <w:left w:val="single" w:sz="4" w:space="0" w:color="auto"/>
              <w:bottom w:val="single" w:sz="4" w:space="0" w:color="auto"/>
              <w:right w:val="single" w:sz="4" w:space="0" w:color="auto"/>
            </w:tcBorders>
            <w:vAlign w:val="center"/>
            <w:hideMark/>
          </w:tcPr>
          <w:p w14:paraId="2314EAFA" w14:textId="77777777" w:rsidR="00663ACF" w:rsidRDefault="00663ACF">
            <w:pPr>
              <w:pStyle w:val="ListParagraph"/>
              <w:spacing w:after="0" w:line="240" w:lineRule="auto"/>
              <w:ind w:left="0"/>
              <w:jc w:val="center"/>
              <w:rPr>
                <w:lang w:val="pl-PL"/>
              </w:rPr>
            </w:pPr>
            <w:r>
              <w:t>yes / no</w:t>
            </w:r>
          </w:p>
        </w:tc>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748739A1" w14:textId="77777777" w:rsidR="00663ACF" w:rsidRDefault="00663ACF">
            <w:pPr>
              <w:pStyle w:val="ListParagraph"/>
              <w:spacing w:after="0" w:line="240" w:lineRule="auto"/>
              <w:ind w:left="0"/>
              <w:jc w:val="center"/>
            </w:pPr>
            <w: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2BADA44" w14:textId="77777777" w:rsidR="00663ACF" w:rsidRDefault="00663ACF">
            <w:pPr>
              <w:pStyle w:val="ListParagraph"/>
              <w:spacing w:after="0" w:line="240" w:lineRule="auto"/>
              <w:ind w:left="0"/>
              <w:jc w:val="center"/>
            </w:pPr>
            <w:r>
              <w:t>no</w:t>
            </w:r>
          </w:p>
        </w:tc>
      </w:tr>
      <w:tr w:rsidR="00663ACF" w14:paraId="4253CE84" w14:textId="77777777" w:rsidTr="00663ACF">
        <w:trPr>
          <w:trHeight w:val="558"/>
        </w:trPr>
        <w:tc>
          <w:tcPr>
            <w:tcW w:w="42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203D2F" w14:textId="77777777" w:rsidR="00663ACF" w:rsidRDefault="00663ACF">
            <w:pPr>
              <w:pStyle w:val="ListParagraph"/>
              <w:spacing w:after="0" w:line="240" w:lineRule="auto"/>
              <w:ind w:left="0"/>
              <w:jc w:val="center"/>
              <w:rPr>
                <w:b/>
                <w:lang w:val="en-US"/>
              </w:rPr>
            </w:pPr>
            <w:r>
              <w:rPr>
                <w:b/>
                <w:lang w:val="en-US"/>
              </w:rPr>
              <w:t>Is the exclusion ground for utilities contracts formulated differently?</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0D7E36F" w14:textId="77777777" w:rsidR="00663ACF" w:rsidRDefault="00663ACF">
            <w:pPr>
              <w:pStyle w:val="ListParagraph"/>
              <w:spacing w:after="0" w:line="240" w:lineRule="auto"/>
              <w:ind w:left="0"/>
              <w:jc w:val="center"/>
              <w:rPr>
                <w:lang w:val="pl-PL"/>
              </w:rPr>
            </w:pPr>
            <w:r>
              <w:t>as in 2014/24/EU</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53CC502" w14:textId="77777777" w:rsidR="00663ACF" w:rsidRDefault="00663ACF">
            <w:pPr>
              <w:pStyle w:val="ListParagraph"/>
              <w:spacing w:after="0" w:line="240" w:lineRule="auto"/>
              <w:ind w:left="0"/>
              <w:jc w:val="center"/>
            </w:pPr>
            <w:r>
              <w:t>differently</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EB398" w14:textId="77777777" w:rsidR="00663ACF" w:rsidRDefault="00663ACF">
            <w:pPr>
              <w:spacing w:after="0" w:line="240" w:lineRule="auto"/>
            </w:pPr>
          </w:p>
          <w:p w14:paraId="171CAE34" w14:textId="77777777" w:rsidR="00663ACF" w:rsidRDefault="00663ACF">
            <w:pPr>
              <w:pStyle w:val="ListParagraph"/>
              <w:spacing w:after="0" w:line="240" w:lineRule="auto"/>
              <w:ind w:left="0"/>
              <w:jc w:val="center"/>
            </w:pPr>
          </w:p>
        </w:tc>
      </w:tr>
      <w:tr w:rsidR="00663ACF" w14:paraId="669F0E3F" w14:textId="77777777" w:rsidTr="00663ACF">
        <w:trPr>
          <w:trHeight w:val="870"/>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267EB0" w14:textId="77777777" w:rsidR="00663ACF" w:rsidRDefault="00663ACF">
            <w:pPr>
              <w:pStyle w:val="ListParagraph"/>
              <w:ind w:left="0"/>
              <w:jc w:val="center"/>
              <w:rPr>
                <w:b/>
                <w:lang w:val="en-US"/>
              </w:rPr>
            </w:pPr>
            <w:r>
              <w:rPr>
                <w:b/>
                <w:lang w:val="en-US"/>
              </w:rPr>
              <w:t>Non-compulsory ground / compulsory ground</w:t>
            </w:r>
          </w:p>
        </w:tc>
        <w:tc>
          <w:tcPr>
            <w:tcW w:w="2159" w:type="dxa"/>
            <w:tcBorders>
              <w:top w:val="single" w:sz="4" w:space="0" w:color="auto"/>
              <w:left w:val="single" w:sz="4" w:space="0" w:color="auto"/>
              <w:bottom w:val="single" w:sz="4" w:space="0" w:color="auto"/>
              <w:right w:val="single" w:sz="4" w:space="0" w:color="auto"/>
            </w:tcBorders>
            <w:vAlign w:val="center"/>
            <w:hideMark/>
          </w:tcPr>
          <w:p w14:paraId="73D6EC84" w14:textId="77777777" w:rsidR="00663ACF" w:rsidRDefault="00663ACF">
            <w:pPr>
              <w:pStyle w:val="ListParagraph"/>
              <w:spacing w:after="0" w:line="240" w:lineRule="auto"/>
              <w:ind w:left="0"/>
              <w:jc w:val="center"/>
              <w:rPr>
                <w:lang w:val="pl-PL"/>
              </w:rPr>
            </w:pPr>
            <w:r>
              <w:rPr>
                <w:lang w:val="en"/>
              </w:rPr>
              <w:t>non- compulsory / compulsory</w:t>
            </w:r>
          </w:p>
        </w:tc>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173C8834" w14:textId="77777777" w:rsidR="00663ACF" w:rsidRDefault="00663ACF">
            <w:pPr>
              <w:pStyle w:val="ListParagraph"/>
              <w:spacing w:after="0" w:line="240" w:lineRule="auto"/>
              <w:ind w:left="0"/>
              <w:jc w:val="center"/>
            </w:pPr>
            <w:r>
              <w:rPr>
                <w:lang w:val="en"/>
              </w:rPr>
              <w:t xml:space="preserve">non- compulsory / compulsory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1FD4C" w14:textId="77777777" w:rsidR="00663ACF" w:rsidRDefault="00663ACF">
            <w:pPr>
              <w:spacing w:after="0" w:line="240" w:lineRule="auto"/>
              <w:rPr>
                <w:sz w:val="22"/>
                <w:szCs w:val="22"/>
              </w:rPr>
            </w:pPr>
          </w:p>
        </w:tc>
      </w:tr>
      <w:tr w:rsidR="00663ACF" w14:paraId="179F6A79" w14:textId="77777777" w:rsidTr="00663ACF">
        <w:trPr>
          <w:trHeight w:val="870"/>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26538" w14:textId="77777777" w:rsidR="00663ACF" w:rsidRDefault="00663ACF">
            <w:pPr>
              <w:pStyle w:val="ListParagraph"/>
              <w:ind w:left="0"/>
              <w:jc w:val="center"/>
              <w:rPr>
                <w:b/>
                <w:lang w:val="en-US"/>
              </w:rPr>
            </w:pPr>
            <w:r>
              <w:rPr>
                <w:b/>
                <w:lang w:val="en-US"/>
              </w:rPr>
              <w:lastRenderedPageBreak/>
              <w:t>Citation of provisions from national law</w:t>
            </w:r>
          </w:p>
        </w:tc>
        <w:tc>
          <w:tcPr>
            <w:tcW w:w="2159" w:type="dxa"/>
            <w:tcBorders>
              <w:top w:val="single" w:sz="4" w:space="0" w:color="auto"/>
              <w:left w:val="single" w:sz="4" w:space="0" w:color="auto"/>
              <w:bottom w:val="single" w:sz="4" w:space="0" w:color="auto"/>
              <w:right w:val="single" w:sz="4" w:space="0" w:color="auto"/>
            </w:tcBorders>
            <w:vAlign w:val="center"/>
            <w:hideMark/>
          </w:tcPr>
          <w:p w14:paraId="3422097C" w14:textId="77777777" w:rsidR="00663ACF" w:rsidRDefault="00663ACF">
            <w:pPr>
              <w:pStyle w:val="ListParagraph"/>
              <w:spacing w:after="0" w:line="240" w:lineRule="auto"/>
              <w:ind w:left="0"/>
              <w:jc w:val="center"/>
              <w:rPr>
                <w:lang w:val="pl-PL"/>
              </w:rPr>
            </w:pPr>
            <w:r>
              <w:t>[…]</w:t>
            </w:r>
          </w:p>
        </w:tc>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18D2A281" w14:textId="77777777" w:rsidR="00663ACF" w:rsidRDefault="00663ACF">
            <w:pPr>
              <w:pStyle w:val="ListParagraph"/>
              <w:spacing w:after="0" w:line="240" w:lineRule="auto"/>
              <w:ind w:left="0"/>
              <w:jc w:val="center"/>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0FB23" w14:textId="77777777" w:rsidR="00663ACF" w:rsidRDefault="00663ACF">
            <w:pPr>
              <w:spacing w:after="0" w:line="240" w:lineRule="auto"/>
              <w:rPr>
                <w:sz w:val="22"/>
                <w:szCs w:val="22"/>
              </w:rPr>
            </w:pPr>
          </w:p>
        </w:tc>
      </w:tr>
    </w:tbl>
    <w:p w14:paraId="59C467FE" w14:textId="77777777" w:rsidR="00663ACF" w:rsidRDefault="00663ACF" w:rsidP="00663ACF">
      <w:pPr>
        <w:pStyle w:val="ListParagraph"/>
        <w:ind w:left="360"/>
        <w:rPr>
          <w:rFonts w:asciiTheme="minorHAnsi" w:hAnsiTheme="minorHAnsi" w:cstheme="minorBidi"/>
          <w:sz w:val="22"/>
          <w:szCs w:val="22"/>
        </w:rPr>
      </w:pPr>
    </w:p>
    <w:p w14:paraId="5ED6526A" w14:textId="77777777" w:rsidR="00663ACF" w:rsidRDefault="00663ACF" w:rsidP="00663ACF">
      <w:pPr>
        <w:pStyle w:val="ListParagraph"/>
        <w:numPr>
          <w:ilvl w:val="0"/>
          <w:numId w:val="49"/>
        </w:numPr>
        <w:spacing w:after="120" w:line="276" w:lineRule="auto"/>
        <w:ind w:left="357" w:hanging="357"/>
        <w:rPr>
          <w:lang w:val="en-US"/>
        </w:rPr>
      </w:pPr>
      <w:r>
        <w:rPr>
          <w:lang w:val="en"/>
        </w:rPr>
        <w:t>Please provide examples (case law/doctrine) in what situations is it acknowledged that the economic operator is guilty of seriously misleading the contracting authority</w:t>
      </w:r>
      <w:r>
        <w:rPr>
          <w:lang w:val="en-US"/>
        </w:rPr>
        <w:t xml:space="preserve">? </w:t>
      </w:r>
    </w:p>
    <w:p w14:paraId="5F248FDC" w14:textId="77777777" w:rsidR="00663ACF" w:rsidRDefault="00663ACF" w:rsidP="00663ACF">
      <w:pPr>
        <w:pStyle w:val="ListParagraph"/>
        <w:numPr>
          <w:ilvl w:val="0"/>
          <w:numId w:val="49"/>
        </w:numPr>
        <w:spacing w:after="120" w:line="276" w:lineRule="auto"/>
        <w:ind w:left="357" w:hanging="357"/>
        <w:rPr>
          <w:lang w:val="en-US"/>
        </w:rPr>
      </w:pPr>
      <w:r>
        <w:rPr>
          <w:lang w:val="en"/>
        </w:rPr>
        <w:t xml:space="preserve">Is the exclusion referred to in art. 57 par. 4 i) in the part concerning supplying misleading information by the economic operator to the contracting party as a result of </w:t>
      </w:r>
      <w:r>
        <w:rPr>
          <w:b/>
          <w:i/>
          <w:lang w:val="en"/>
        </w:rPr>
        <w:t>negligence</w:t>
      </w:r>
      <w:r>
        <w:rPr>
          <w:lang w:val="en"/>
        </w:rPr>
        <w:t xml:space="preserve"> interpreted in such a way that its demonstration makes it unnecessary to demonstrate </w:t>
      </w:r>
      <w:r>
        <w:rPr>
          <w:b/>
          <w:i/>
          <w:lang w:val="en"/>
        </w:rPr>
        <w:t>guilt</w:t>
      </w:r>
      <w:r>
        <w:rPr>
          <w:lang w:val="en"/>
        </w:rPr>
        <w:t xml:space="preserve"> of the economic operator as referred to in art. 57 par. 4 h)? In other words, in the practice of applying the exclusion referred to above, is the condition in h) considered unnecessary, because it is encompassed by the ground from i)</w:t>
      </w:r>
      <w:r>
        <w:rPr>
          <w:lang w:val="en-US"/>
        </w:rPr>
        <w:t xml:space="preserve">? </w:t>
      </w:r>
    </w:p>
    <w:p w14:paraId="18AFE595" w14:textId="77777777" w:rsidR="00663ACF" w:rsidRDefault="00663ACF" w:rsidP="00663ACF">
      <w:pPr>
        <w:pStyle w:val="ListParagraph"/>
        <w:numPr>
          <w:ilvl w:val="0"/>
          <w:numId w:val="49"/>
        </w:numPr>
        <w:spacing w:after="120" w:line="276" w:lineRule="auto"/>
        <w:ind w:left="357" w:hanging="357"/>
        <w:rPr>
          <w:lang w:val="en-US"/>
        </w:rPr>
      </w:pPr>
      <w:r>
        <w:rPr>
          <w:lang w:val="en"/>
        </w:rPr>
        <w:t>Please provide examples (case law/doctrine) of how negligence referred to in art. 57 par. 4 point i) is understood in practice</w:t>
      </w:r>
      <w:r>
        <w:rPr>
          <w:lang w:val="en-US"/>
        </w:rPr>
        <w:t>)?</w:t>
      </w:r>
    </w:p>
    <w:p w14:paraId="2F0745DE" w14:textId="77777777" w:rsidR="00663ACF" w:rsidRDefault="00663ACF" w:rsidP="00663ACF">
      <w:pPr>
        <w:pStyle w:val="ListParagraph"/>
        <w:numPr>
          <w:ilvl w:val="0"/>
          <w:numId w:val="49"/>
        </w:numPr>
        <w:spacing w:after="120" w:line="276" w:lineRule="auto"/>
        <w:ind w:left="357" w:hanging="357"/>
        <w:rPr>
          <w:lang w:val="en-US"/>
        </w:rPr>
      </w:pPr>
      <w:r>
        <w:rPr>
          <w:lang w:val="en"/>
        </w:rPr>
        <w:t>Are the "decisions on exclusion, qualification or public contract awarding" referred to in art. 57 par. 4 i) interpreted in such a way that, in principle, any act of the contracting authority may have a potential impact on a decision concerning exclusion, selection or award and, consequently, any incorrect/untrue information provided by the economic operator in connection with the proceedings may result in an economic operator being excluded from proceedings</w:t>
      </w:r>
      <w:r>
        <w:rPr>
          <w:lang w:val="en-US"/>
        </w:rPr>
        <w:t>?</w:t>
      </w:r>
    </w:p>
    <w:p w14:paraId="45102D17" w14:textId="77777777" w:rsidR="00663ACF" w:rsidRDefault="00663ACF" w:rsidP="00663ACF">
      <w:pPr>
        <w:pStyle w:val="ListParagraph"/>
        <w:numPr>
          <w:ilvl w:val="0"/>
          <w:numId w:val="49"/>
        </w:numPr>
        <w:spacing w:after="120" w:line="276" w:lineRule="auto"/>
        <w:ind w:left="357" w:hanging="357"/>
        <w:rPr>
          <w:lang w:val="pl-PL"/>
        </w:rPr>
      </w:pPr>
      <w:r>
        <w:rPr>
          <w:lang w:val="en"/>
        </w:rPr>
        <w:t>What is the exclusion period entailed by the aforesaid ground in national law? From when and for how long</w:t>
      </w:r>
      <w:r>
        <w:t xml:space="preserve">? </w:t>
      </w:r>
    </w:p>
    <w:p w14:paraId="189EA439" w14:textId="77777777" w:rsidR="00663ACF" w:rsidRDefault="00663ACF" w:rsidP="00663ACF">
      <w:pPr>
        <w:pStyle w:val="ListParagraph"/>
        <w:numPr>
          <w:ilvl w:val="0"/>
          <w:numId w:val="49"/>
        </w:numPr>
        <w:spacing w:after="120" w:line="276" w:lineRule="auto"/>
        <w:ind w:left="357" w:hanging="357"/>
        <w:rPr>
          <w:lang w:val="en-US"/>
        </w:rPr>
      </w:pPr>
      <w:r>
        <w:rPr>
          <w:lang w:val="en"/>
        </w:rPr>
        <w:t>Is self-cleaning possible if the exclusion grounds based on the aforesaid are confirmed? And if so, what does it involve (means of proof/types of activities, etc.)</w:t>
      </w:r>
      <w:r>
        <w:rPr>
          <w:lang w:val="en-US"/>
        </w:rPr>
        <w:t>?</w:t>
      </w:r>
    </w:p>
    <w:p w14:paraId="190EE285" w14:textId="77777777" w:rsidR="00663ACF" w:rsidRDefault="00663ACF" w:rsidP="00663ACF">
      <w:pPr>
        <w:pStyle w:val="ListParagraph"/>
        <w:ind w:left="360"/>
        <w:jc w:val="center"/>
        <w:rPr>
          <w:b/>
          <w:lang w:val="en-US"/>
        </w:rPr>
      </w:pPr>
      <w:r>
        <w:rPr>
          <w:b/>
          <w:lang w:val="en-US"/>
        </w:rPr>
        <w:t>***</w:t>
      </w:r>
    </w:p>
    <w:p w14:paraId="6B14CA8D" w14:textId="77777777" w:rsidR="00663ACF" w:rsidRDefault="00663ACF" w:rsidP="00663ACF">
      <w:pPr>
        <w:rPr>
          <w:lang w:val="en-US"/>
        </w:rPr>
      </w:pPr>
      <w:r>
        <w:rPr>
          <w:lang w:val="en"/>
        </w:rPr>
        <w:t>According to the jurisprudence of appeal bodies adjudicating in your country in matters relating to public procurement or doctrine, would an economic operator be subject to exclusion, on the basis of one of the above conditions if</w:t>
      </w:r>
      <w:r>
        <w:rPr>
          <w:lang w:val="en-US"/>
        </w:rPr>
        <w:t xml:space="preserve">: </w:t>
      </w:r>
    </w:p>
    <w:p w14:paraId="17AB72F2" w14:textId="77777777" w:rsidR="00663ACF" w:rsidRDefault="00663ACF" w:rsidP="00663ACF">
      <w:pPr>
        <w:rPr>
          <w:i/>
          <w:lang w:val="en-US"/>
        </w:rPr>
      </w:pPr>
      <w:r>
        <w:rPr>
          <w:i/>
          <w:lang w:val="en"/>
        </w:rPr>
        <w:t>In the ESPD document, for the purpose of demonstrating the experience required under the terms of participation in the procedure, it stated that from 1 January 2017 to 31 December 2017 it performed a specific service. The contracting authority required demonstration of 12 months of experience in providing services. From the references provided by the economic operator at a later stage of the proceedings, it appears that the service was performed from 1 January 2017 to 24 December 2017.</w:t>
      </w:r>
    </w:p>
    <w:p w14:paraId="27655ACC" w14:textId="77777777" w:rsidR="00663ACF" w:rsidRDefault="00663ACF" w:rsidP="00663ACF">
      <w:pPr>
        <w:pStyle w:val="ListParagraph"/>
        <w:numPr>
          <w:ilvl w:val="0"/>
          <w:numId w:val="50"/>
        </w:numPr>
        <w:spacing w:after="200" w:line="276" w:lineRule="auto"/>
        <w:ind w:left="540" w:hanging="540"/>
        <w:rPr>
          <w:lang w:val="en-US"/>
        </w:rPr>
      </w:pPr>
      <w:r>
        <w:rPr>
          <w:lang w:val="en"/>
        </w:rPr>
        <w:lastRenderedPageBreak/>
        <w:t>The economic operator may demonstrate the implementation of another, analogous service for the required period (own experience</w:t>
      </w:r>
      <w:r>
        <w:rPr>
          <w:lang w:val="en-US"/>
        </w:rPr>
        <w:t>).</w:t>
      </w:r>
    </w:p>
    <w:p w14:paraId="76591661" w14:textId="5BE9FDB7" w:rsidR="00663ACF" w:rsidRPr="00DA2C04" w:rsidRDefault="00663ACF" w:rsidP="00663ACF">
      <w:pPr>
        <w:pStyle w:val="ListParagraph"/>
        <w:ind w:left="547"/>
        <w:rPr>
          <w:b/>
          <w:lang w:val="en-US"/>
        </w:rPr>
      </w:pPr>
    </w:p>
    <w:p w14:paraId="52BC7203" w14:textId="77777777" w:rsidR="00663ACF" w:rsidRDefault="00663ACF" w:rsidP="00663ACF">
      <w:pPr>
        <w:pStyle w:val="ListParagraph"/>
        <w:numPr>
          <w:ilvl w:val="0"/>
          <w:numId w:val="50"/>
        </w:numPr>
        <w:spacing w:after="200" w:line="276" w:lineRule="auto"/>
        <w:ind w:left="540" w:hanging="540"/>
        <w:rPr>
          <w:lang w:val="en-US"/>
        </w:rPr>
      </w:pPr>
      <w:r>
        <w:rPr>
          <w:lang w:val="en"/>
        </w:rPr>
        <w:t>The economic operator may not demonstrate the implementation of another, analogous service for the required period. However, it can make use of a third party, which it did not indicate in ESPD, but which has the required experience</w:t>
      </w:r>
      <w:r>
        <w:rPr>
          <w:lang w:val="en-US"/>
        </w:rPr>
        <w:t xml:space="preserve">. </w:t>
      </w:r>
    </w:p>
    <w:p w14:paraId="226EB0C9" w14:textId="2A42B36C" w:rsidR="00663ACF" w:rsidRPr="00DA2C04" w:rsidRDefault="00663ACF" w:rsidP="00663ACF">
      <w:pPr>
        <w:pStyle w:val="ListParagraph"/>
        <w:ind w:left="547"/>
        <w:rPr>
          <w:b/>
          <w:lang w:val="en-US"/>
        </w:rPr>
      </w:pPr>
    </w:p>
    <w:p w14:paraId="0B80E4BE" w14:textId="77777777" w:rsidR="00663ACF" w:rsidRDefault="00663ACF" w:rsidP="00663ACF">
      <w:pPr>
        <w:pStyle w:val="ListParagraph"/>
        <w:numPr>
          <w:ilvl w:val="0"/>
          <w:numId w:val="50"/>
        </w:numPr>
        <w:spacing w:after="200" w:line="276" w:lineRule="auto"/>
        <w:ind w:left="540" w:hanging="540"/>
        <w:rPr>
          <w:lang w:val="en-US"/>
        </w:rPr>
      </w:pPr>
      <w:r>
        <w:rPr>
          <w:lang w:val="en"/>
        </w:rPr>
        <w:t>The economic operator in ESPD declares fulfilment of conditions for participating in the proceedings through the assistance of a third party. The third party is unable to confirm by references the declaration made in ESPD with regard to the required experience. In such case, does one of the abovementioned grounds for exclusion apply (point h - i</w:t>
      </w:r>
      <w:r>
        <w:rPr>
          <w:lang w:val="en-US"/>
        </w:rPr>
        <w:t xml:space="preserve">)? </w:t>
      </w:r>
    </w:p>
    <w:p w14:paraId="6AD3F8B4" w14:textId="680BDDA3" w:rsidR="00663ACF" w:rsidRPr="00DA2C04" w:rsidRDefault="00663ACF" w:rsidP="00663ACF">
      <w:pPr>
        <w:pStyle w:val="ListParagraph"/>
        <w:ind w:left="547"/>
        <w:rPr>
          <w:b/>
          <w:lang w:val="en-US"/>
        </w:rPr>
      </w:pPr>
    </w:p>
    <w:p w14:paraId="60F90D9F" w14:textId="710D0CD5" w:rsidR="00663ACF" w:rsidRDefault="00663ACF" w:rsidP="00663ACF">
      <w:pPr>
        <w:pStyle w:val="ListParagraph"/>
        <w:numPr>
          <w:ilvl w:val="0"/>
          <w:numId w:val="50"/>
        </w:numPr>
        <w:spacing w:after="200" w:line="276" w:lineRule="auto"/>
        <w:ind w:left="540" w:hanging="540"/>
        <w:rPr>
          <w:lang w:val="en-US"/>
        </w:rPr>
      </w:pPr>
      <w:r>
        <w:rPr>
          <w:lang w:val="en"/>
        </w:rPr>
        <w:t>In this situation, does the national rule implementing art. 63 par. 1 of Directive 2014/24/ EU apply? ("</w:t>
      </w:r>
      <w:r>
        <w:rPr>
          <w:lang w:val="en-US"/>
        </w:rPr>
        <w:t>The contracting authority shall require that the economic operator replaces an entity which does not meet a relevant selection criterion, or in respect of which there are compulsory grounds for exclusion. The contracting authority may require or may be required by the Member State to require that the economic operator substitutes an entity in respect of which there are non-compulsory grounds for exclusion.</w:t>
      </w:r>
      <w:r>
        <w:rPr>
          <w:lang w:val="en"/>
        </w:rPr>
        <w:t>") That is to say: Can the economic operator replace the third party originally declared, i) at the request of the contracting authority, ii) of its own will</w:t>
      </w:r>
      <w:r>
        <w:rPr>
          <w:lang w:val="en-US"/>
        </w:rPr>
        <w:t>?</w:t>
      </w:r>
    </w:p>
    <w:p w14:paraId="1CB2457C" w14:textId="7E20747E" w:rsidR="00663ACF" w:rsidRDefault="00663ACF">
      <w:pPr>
        <w:spacing w:after="0" w:line="276" w:lineRule="auto"/>
        <w:jc w:val="left"/>
        <w:rPr>
          <w:lang w:val="en-US"/>
        </w:rPr>
      </w:pPr>
      <w:r>
        <w:rPr>
          <w:lang w:val="en-US"/>
        </w:rPr>
        <w:br w:type="page"/>
      </w:r>
    </w:p>
    <w:p w14:paraId="478833F4" w14:textId="77777777" w:rsidR="00663ACF" w:rsidRPr="00411187" w:rsidRDefault="00663ACF" w:rsidP="00663ACF">
      <w:pPr>
        <w:pStyle w:val="ColorfulList-Accent11"/>
        <w:pageBreakBefore/>
        <w:spacing w:after="0" w:line="240" w:lineRule="auto"/>
        <w:ind w:left="0"/>
        <w:contextualSpacing w:val="0"/>
        <w:jc w:val="both"/>
        <w:rPr>
          <w:rFonts w:ascii="Arial" w:hAnsi="Arial" w:cs="Arial"/>
          <w:b/>
          <w:sz w:val="24"/>
          <w:szCs w:val="24"/>
          <w:lang w:val="en-US"/>
        </w:rPr>
      </w:pPr>
      <w:r w:rsidRPr="001F65F6">
        <w:rPr>
          <w:rFonts w:ascii="Arial" w:hAnsi="Arial" w:cs="Arial"/>
          <w:b/>
          <w:sz w:val="24"/>
          <w:szCs w:val="24"/>
          <w:lang w:val="en-US"/>
        </w:rPr>
        <w:lastRenderedPageBreak/>
        <w:t>LIST OF LAWYERS AND LAW FIRMS THAT RESPONDED TO THE ASSOCIATIONS’ SURVEY</w:t>
      </w:r>
    </w:p>
    <w:p w14:paraId="4F3DFFB7" w14:textId="77777777" w:rsidR="00663ACF" w:rsidRPr="00411187" w:rsidRDefault="00663ACF" w:rsidP="00663ACF">
      <w:pPr>
        <w:pStyle w:val="ColorfulList-Accent11"/>
        <w:spacing w:after="0" w:line="240" w:lineRule="auto"/>
        <w:ind w:left="0"/>
        <w:contextualSpacing w:val="0"/>
        <w:jc w:val="both"/>
        <w:rPr>
          <w:rFonts w:ascii="Arial" w:hAnsi="Arial" w:cs="Arial"/>
          <w:b/>
          <w:sz w:val="20"/>
          <w:szCs w:val="20"/>
          <w:lang w:val="en-US"/>
        </w:rPr>
      </w:pPr>
    </w:p>
    <w:p w14:paraId="1887F4C9" w14:textId="77777777" w:rsidR="00663ACF" w:rsidRPr="00411187" w:rsidRDefault="00663ACF" w:rsidP="00663ACF">
      <w:pPr>
        <w:pStyle w:val="ColorfulList-Accent11"/>
        <w:spacing w:after="240"/>
        <w:ind w:left="0"/>
        <w:contextualSpacing w:val="0"/>
        <w:jc w:val="both"/>
        <w:rPr>
          <w:rFonts w:ascii="Arial" w:eastAsiaTheme="minorEastAsia" w:hAnsi="Arial"/>
          <w:sz w:val="24"/>
          <w:szCs w:val="20"/>
          <w:lang w:val="en-US"/>
        </w:rPr>
      </w:pPr>
      <w:r w:rsidRPr="001F65F6">
        <w:rPr>
          <w:rFonts w:ascii="Arial" w:eastAsiaTheme="minorEastAsia" w:hAnsi="Arial"/>
          <w:sz w:val="24"/>
          <w:szCs w:val="20"/>
          <w:lang w:val="en-US"/>
        </w:rPr>
        <w:t>The authors thank the following lawyers and law firms for their assistance in preparation of the report</w:t>
      </w:r>
      <w:r>
        <w:rPr>
          <w:rFonts w:ascii="Arial" w:eastAsiaTheme="minorEastAsia" w:hAnsi="Arial"/>
          <w:sz w:val="24"/>
          <w:szCs w:val="20"/>
          <w:lang w:val="en-US"/>
        </w:rPr>
        <w:t>:</w:t>
      </w:r>
    </w:p>
    <w:tbl>
      <w:tblPr>
        <w:tblStyle w:val="TableGrid"/>
        <w:tblW w:w="0" w:type="auto"/>
        <w:tblLook w:val="04A0" w:firstRow="1" w:lastRow="0" w:firstColumn="1" w:lastColumn="0" w:noHBand="0" w:noVBand="1"/>
      </w:tblPr>
      <w:tblGrid>
        <w:gridCol w:w="2830"/>
        <w:gridCol w:w="6798"/>
      </w:tblGrid>
      <w:tr w:rsidR="00663ACF" w:rsidRPr="00411187" w14:paraId="1E4EC93A" w14:textId="77777777" w:rsidTr="00663ACF">
        <w:trPr>
          <w:tblHeader/>
        </w:trPr>
        <w:tc>
          <w:tcPr>
            <w:tcW w:w="2830" w:type="dxa"/>
            <w:tcBorders>
              <w:bottom w:val="dashSmallGap" w:sz="4" w:space="0" w:color="auto"/>
            </w:tcBorders>
            <w:shd w:val="clear" w:color="auto" w:fill="17365D" w:themeFill="text2" w:themeFillShade="BF"/>
            <w:vAlign w:val="center"/>
          </w:tcPr>
          <w:p w14:paraId="32C68CAD"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FFFFFF" w:themeColor="background1"/>
                <w:lang w:val="en-US"/>
              </w:rPr>
            </w:pPr>
            <w:r>
              <w:rPr>
                <w:rFonts w:asciiTheme="minorHAnsi" w:eastAsiaTheme="minorEastAsia" w:hAnsiTheme="minorHAnsi" w:cstheme="minorHAnsi"/>
                <w:b/>
                <w:bCs/>
                <w:color w:val="FFFFFF" w:themeColor="background1"/>
                <w:lang w:val="en-US"/>
              </w:rPr>
              <w:t>Country</w:t>
            </w:r>
          </w:p>
        </w:tc>
        <w:tc>
          <w:tcPr>
            <w:tcW w:w="6798" w:type="dxa"/>
            <w:tcBorders>
              <w:bottom w:val="dashSmallGap" w:sz="4" w:space="0" w:color="auto"/>
            </w:tcBorders>
            <w:shd w:val="clear" w:color="auto" w:fill="17365D" w:themeFill="text2" w:themeFillShade="BF"/>
            <w:vAlign w:val="center"/>
          </w:tcPr>
          <w:p w14:paraId="060F9188"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FFFFFF" w:themeColor="background1"/>
                <w:lang w:val="en-US"/>
              </w:rPr>
            </w:pPr>
            <w:r>
              <w:rPr>
                <w:rFonts w:asciiTheme="minorHAnsi" w:eastAsiaTheme="minorEastAsia" w:hAnsiTheme="minorHAnsi" w:cstheme="minorHAnsi"/>
                <w:b/>
                <w:bCs/>
                <w:color w:val="FFFFFF" w:themeColor="background1"/>
                <w:lang w:val="en-US"/>
              </w:rPr>
              <w:t>Lawyer</w:t>
            </w:r>
            <w:r w:rsidRPr="00411187">
              <w:rPr>
                <w:rFonts w:asciiTheme="minorHAnsi" w:eastAsiaTheme="minorEastAsia" w:hAnsiTheme="minorHAnsi" w:cstheme="minorHAnsi"/>
                <w:b/>
                <w:bCs/>
                <w:color w:val="FFFFFF" w:themeColor="background1"/>
                <w:lang w:val="en-US"/>
              </w:rPr>
              <w:t xml:space="preserve"> (</w:t>
            </w:r>
            <w:r>
              <w:rPr>
                <w:rFonts w:asciiTheme="minorHAnsi" w:eastAsiaTheme="minorEastAsia" w:hAnsiTheme="minorHAnsi" w:cstheme="minorHAnsi"/>
                <w:b/>
                <w:bCs/>
                <w:color w:val="FFFFFF" w:themeColor="background1"/>
                <w:lang w:val="en-US"/>
              </w:rPr>
              <w:t>law firm</w:t>
            </w:r>
            <w:r w:rsidRPr="00411187">
              <w:rPr>
                <w:rFonts w:asciiTheme="minorHAnsi" w:eastAsiaTheme="minorEastAsia" w:hAnsiTheme="minorHAnsi" w:cstheme="minorHAnsi"/>
                <w:b/>
                <w:bCs/>
                <w:color w:val="FFFFFF" w:themeColor="background1"/>
                <w:lang w:val="en-US"/>
              </w:rPr>
              <w:t>)</w:t>
            </w:r>
          </w:p>
        </w:tc>
      </w:tr>
      <w:tr w:rsidR="00663ACF" w:rsidRPr="00411187" w14:paraId="7574F85D"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4F8A801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Austria</w:t>
            </w:r>
          </w:p>
        </w:tc>
        <w:tc>
          <w:tcPr>
            <w:tcW w:w="6798" w:type="dxa"/>
            <w:tcBorders>
              <w:top w:val="dashSmallGap" w:sz="4" w:space="0" w:color="auto"/>
              <w:left w:val="dashSmallGap" w:sz="4" w:space="0" w:color="auto"/>
              <w:bottom w:val="dashSmallGap" w:sz="4" w:space="0" w:color="auto"/>
              <w:right w:val="nil"/>
            </w:tcBorders>
            <w:vAlign w:val="center"/>
          </w:tcPr>
          <w:p w14:paraId="0F612A9B"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Johannes </w:t>
            </w:r>
            <w:proofErr w:type="spellStart"/>
            <w:r w:rsidRPr="00411187">
              <w:rPr>
                <w:rFonts w:asciiTheme="minorHAnsi" w:eastAsiaTheme="minorEastAsia" w:hAnsiTheme="minorHAnsi" w:cstheme="minorHAnsi"/>
                <w:b/>
                <w:bCs/>
                <w:color w:val="002060"/>
                <w:lang w:val="en-US"/>
              </w:rPr>
              <w:t>Stalzer</w:t>
            </w:r>
            <w:proofErr w:type="spellEnd"/>
            <w:r w:rsidRPr="00411187">
              <w:rPr>
                <w:rFonts w:asciiTheme="minorHAnsi" w:eastAsiaTheme="minorEastAsia" w:hAnsiTheme="minorHAnsi" w:cstheme="minorHAnsi"/>
                <w:b/>
                <w:bCs/>
                <w:color w:val="002060"/>
                <w:lang w:val="en-US"/>
              </w:rPr>
              <w:t xml:space="preserve"> </w:t>
            </w:r>
          </w:p>
          <w:p w14:paraId="1DAC48E3"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(Schoenherr)</w:t>
            </w:r>
          </w:p>
        </w:tc>
      </w:tr>
      <w:tr w:rsidR="00663ACF" w:rsidRPr="00411187" w14:paraId="0A4B5BBF"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23690811"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Belgi</w:t>
            </w:r>
            <w:r>
              <w:rPr>
                <w:rFonts w:asciiTheme="minorHAnsi" w:hAnsiTheme="minorHAnsi" w:cstheme="minorHAnsi"/>
                <w:b/>
                <w:bCs/>
                <w:lang w:val="en-US" w:eastAsia="pl-PL"/>
              </w:rPr>
              <w:t>um</w:t>
            </w:r>
          </w:p>
        </w:tc>
        <w:tc>
          <w:tcPr>
            <w:tcW w:w="6798" w:type="dxa"/>
            <w:tcBorders>
              <w:top w:val="dashSmallGap" w:sz="4" w:space="0" w:color="auto"/>
              <w:left w:val="dashSmallGap" w:sz="4" w:space="0" w:color="auto"/>
              <w:bottom w:val="dashSmallGap" w:sz="4" w:space="0" w:color="auto"/>
              <w:right w:val="nil"/>
            </w:tcBorders>
            <w:vAlign w:val="center"/>
          </w:tcPr>
          <w:p w14:paraId="0F672675"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Matthias de Bauw </w:t>
            </w:r>
          </w:p>
          <w:p w14:paraId="033B056A"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(Clifford Chance LLP)</w:t>
            </w:r>
          </w:p>
        </w:tc>
      </w:tr>
      <w:tr w:rsidR="00663ACF" w:rsidRPr="00411187" w14:paraId="2A3CC44B"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080B76A0"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Bu</w:t>
            </w:r>
            <w:r>
              <w:rPr>
                <w:rFonts w:asciiTheme="minorHAnsi" w:hAnsiTheme="minorHAnsi" w:cstheme="minorHAnsi"/>
                <w:b/>
                <w:bCs/>
                <w:lang w:val="en-US" w:eastAsia="pl-PL"/>
              </w:rPr>
              <w:t>l</w:t>
            </w:r>
            <w:r w:rsidRPr="00411187">
              <w:rPr>
                <w:rFonts w:asciiTheme="minorHAnsi" w:hAnsiTheme="minorHAnsi" w:cstheme="minorHAnsi"/>
                <w:b/>
                <w:bCs/>
                <w:lang w:val="en-US" w:eastAsia="pl-PL"/>
              </w:rPr>
              <w:t>garia</w:t>
            </w:r>
          </w:p>
        </w:tc>
        <w:tc>
          <w:tcPr>
            <w:tcW w:w="6798" w:type="dxa"/>
            <w:tcBorders>
              <w:top w:val="dashSmallGap" w:sz="4" w:space="0" w:color="auto"/>
              <w:left w:val="dashSmallGap" w:sz="4" w:space="0" w:color="auto"/>
              <w:bottom w:val="dashSmallGap" w:sz="4" w:space="0" w:color="auto"/>
              <w:right w:val="nil"/>
            </w:tcBorders>
            <w:vAlign w:val="center"/>
          </w:tcPr>
          <w:p w14:paraId="3AD28021"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proofErr w:type="spellStart"/>
            <w:r w:rsidRPr="00411187">
              <w:rPr>
                <w:rFonts w:asciiTheme="minorHAnsi" w:eastAsiaTheme="minorEastAsia" w:hAnsiTheme="minorHAnsi" w:cstheme="minorHAnsi"/>
                <w:b/>
                <w:bCs/>
                <w:color w:val="002060"/>
                <w:lang w:val="en-US"/>
              </w:rPr>
              <w:t>Metodi</w:t>
            </w:r>
            <w:proofErr w:type="spellEnd"/>
            <w:r w:rsidRPr="00411187">
              <w:rPr>
                <w:rFonts w:asciiTheme="minorHAnsi" w:eastAsiaTheme="minorEastAsia" w:hAnsiTheme="minorHAnsi" w:cstheme="minorHAnsi"/>
                <w:b/>
                <w:bCs/>
                <w:color w:val="002060"/>
                <w:lang w:val="en-US"/>
              </w:rPr>
              <w:t xml:space="preserve"> </w:t>
            </w:r>
            <w:proofErr w:type="spellStart"/>
            <w:r w:rsidRPr="00411187">
              <w:rPr>
                <w:rFonts w:asciiTheme="minorHAnsi" w:eastAsiaTheme="minorEastAsia" w:hAnsiTheme="minorHAnsi" w:cstheme="minorHAnsi"/>
                <w:b/>
                <w:bCs/>
                <w:color w:val="002060"/>
                <w:lang w:val="en-US"/>
              </w:rPr>
              <w:t>Baykushev</w:t>
            </w:r>
            <w:proofErr w:type="spellEnd"/>
          </w:p>
          <w:p w14:paraId="388A3C6C"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(Dimitrov, Petrov &amp; Co.)</w:t>
            </w:r>
          </w:p>
        </w:tc>
      </w:tr>
      <w:tr w:rsidR="00663ACF" w:rsidRPr="00411187" w14:paraId="3CDF556D"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7843288A"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Pr>
                <w:rFonts w:asciiTheme="minorHAnsi" w:hAnsiTheme="minorHAnsi" w:cstheme="minorHAnsi"/>
                <w:b/>
                <w:bCs/>
                <w:lang w:val="en-US" w:eastAsia="pl-PL"/>
              </w:rPr>
              <w:t>Croatia</w:t>
            </w:r>
          </w:p>
        </w:tc>
        <w:tc>
          <w:tcPr>
            <w:tcW w:w="6798" w:type="dxa"/>
            <w:tcBorders>
              <w:top w:val="dashSmallGap" w:sz="4" w:space="0" w:color="auto"/>
              <w:left w:val="dashSmallGap" w:sz="4" w:space="0" w:color="auto"/>
              <w:bottom w:val="dashSmallGap" w:sz="4" w:space="0" w:color="auto"/>
              <w:right w:val="nil"/>
            </w:tcBorders>
            <w:vAlign w:val="center"/>
          </w:tcPr>
          <w:p w14:paraId="4377384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Jasminka </w:t>
            </w:r>
            <w:proofErr w:type="spellStart"/>
            <w:r w:rsidRPr="00411187">
              <w:rPr>
                <w:rFonts w:asciiTheme="minorHAnsi" w:eastAsiaTheme="minorEastAsia" w:hAnsiTheme="minorHAnsi" w:cstheme="minorHAnsi"/>
                <w:b/>
                <w:bCs/>
                <w:color w:val="002060"/>
                <w:lang w:val="en-US"/>
              </w:rPr>
              <w:t>Čorda</w:t>
            </w:r>
            <w:proofErr w:type="spellEnd"/>
            <w:r w:rsidRPr="00411187">
              <w:rPr>
                <w:rFonts w:asciiTheme="minorHAnsi" w:eastAsiaTheme="minorEastAsia" w:hAnsiTheme="minorHAnsi" w:cstheme="minorHAnsi"/>
                <w:b/>
                <w:bCs/>
                <w:color w:val="002060"/>
                <w:lang w:val="en-US"/>
              </w:rPr>
              <w:t xml:space="preserve"> </w:t>
            </w:r>
            <w:proofErr w:type="spellStart"/>
            <w:r w:rsidRPr="00411187">
              <w:rPr>
                <w:rFonts w:asciiTheme="minorHAnsi" w:eastAsiaTheme="minorEastAsia" w:hAnsiTheme="minorHAnsi" w:cstheme="minorHAnsi"/>
                <w:b/>
                <w:bCs/>
                <w:color w:val="002060"/>
                <w:lang w:val="en-US"/>
              </w:rPr>
              <w:t>Truhar</w:t>
            </w:r>
            <w:proofErr w:type="spellEnd"/>
            <w:r w:rsidRPr="00411187">
              <w:rPr>
                <w:rFonts w:asciiTheme="minorHAnsi" w:eastAsiaTheme="minorEastAsia" w:hAnsiTheme="minorHAnsi" w:cstheme="minorHAnsi"/>
                <w:b/>
                <w:bCs/>
                <w:color w:val="002060"/>
                <w:lang w:val="en-US"/>
              </w:rPr>
              <w:t xml:space="preserve"> </w:t>
            </w:r>
          </w:p>
          <w:p w14:paraId="4FB70FA0"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w:t>
            </w:r>
            <w:r w:rsidRPr="00411187">
              <w:rPr>
                <w:rFonts w:asciiTheme="minorHAnsi" w:eastAsiaTheme="minorEastAsia" w:hAnsiTheme="minorHAnsi" w:cstheme="minorHAnsi"/>
                <w:bCs/>
                <w:color w:val="002060"/>
                <w:lang w:val="en-US"/>
              </w:rPr>
              <w:t>HANŽEKOVIĆ &amp; PARTNERI d.o.o.)</w:t>
            </w:r>
          </w:p>
        </w:tc>
      </w:tr>
      <w:tr w:rsidR="00663ACF" w:rsidRPr="00411187" w14:paraId="29CCFD91"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5EDD0A71"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Cypr</w:t>
            </w:r>
            <w:r>
              <w:rPr>
                <w:rFonts w:asciiTheme="minorHAnsi" w:hAnsiTheme="minorHAnsi" w:cstheme="minorHAnsi"/>
                <w:b/>
                <w:bCs/>
                <w:lang w:val="en-US" w:eastAsia="pl-PL"/>
              </w:rPr>
              <w:t>us</w:t>
            </w:r>
          </w:p>
        </w:tc>
        <w:tc>
          <w:tcPr>
            <w:tcW w:w="6798" w:type="dxa"/>
            <w:tcBorders>
              <w:top w:val="dashSmallGap" w:sz="4" w:space="0" w:color="auto"/>
              <w:left w:val="dashSmallGap" w:sz="4" w:space="0" w:color="auto"/>
              <w:bottom w:val="dashSmallGap" w:sz="4" w:space="0" w:color="auto"/>
              <w:right w:val="nil"/>
            </w:tcBorders>
            <w:vAlign w:val="center"/>
          </w:tcPr>
          <w:p w14:paraId="60E674B4" w14:textId="77777777" w:rsidR="00663ACF" w:rsidRPr="00411187" w:rsidRDefault="00663ACF" w:rsidP="00663ACF">
            <w:pPr>
              <w:spacing w:before="120" w:after="120"/>
              <w:jc w:val="center"/>
              <w:rPr>
                <w:rFonts w:asciiTheme="minorHAnsi" w:hAnsiTheme="minorHAnsi" w:cstheme="minorHAnsi"/>
                <w:b/>
                <w:bCs/>
                <w:color w:val="002060"/>
                <w:lang w:val="en-US"/>
              </w:rPr>
            </w:pPr>
            <w:r w:rsidRPr="00411187">
              <w:rPr>
                <w:rFonts w:asciiTheme="minorHAnsi" w:hAnsiTheme="minorHAnsi" w:cstheme="minorHAnsi"/>
                <w:b/>
                <w:bCs/>
                <w:color w:val="002060"/>
                <w:lang w:val="en-US"/>
              </w:rPr>
              <w:t xml:space="preserve">Alexandros </w:t>
            </w:r>
            <w:proofErr w:type="spellStart"/>
            <w:r w:rsidRPr="00411187">
              <w:rPr>
                <w:rFonts w:asciiTheme="minorHAnsi" w:hAnsiTheme="minorHAnsi" w:cstheme="minorHAnsi"/>
                <w:b/>
                <w:bCs/>
                <w:color w:val="002060"/>
                <w:lang w:val="en-US"/>
              </w:rPr>
              <w:t>Efstathiou</w:t>
            </w:r>
            <w:proofErr w:type="spellEnd"/>
            <w:r w:rsidRPr="00411187">
              <w:rPr>
                <w:rFonts w:asciiTheme="minorHAnsi" w:hAnsiTheme="minorHAnsi" w:cstheme="minorHAnsi"/>
                <w:b/>
                <w:bCs/>
                <w:color w:val="002060"/>
                <w:lang w:val="en-US"/>
              </w:rPr>
              <w:t xml:space="preserve"> </w:t>
            </w:r>
          </w:p>
          <w:p w14:paraId="04180D90" w14:textId="77777777" w:rsidR="00663ACF" w:rsidRPr="00411187" w:rsidRDefault="00663ACF" w:rsidP="00663ACF">
            <w:pPr>
              <w:spacing w:before="120" w:after="120"/>
              <w:jc w:val="center"/>
              <w:rPr>
                <w:rFonts w:asciiTheme="minorHAnsi" w:hAnsiTheme="minorHAnsi" w:cstheme="minorHAnsi"/>
                <w:color w:val="002060"/>
                <w:lang w:val="en-US" w:eastAsia="pl-PL"/>
              </w:rPr>
            </w:pPr>
            <w:r w:rsidRPr="00411187">
              <w:rPr>
                <w:rFonts w:asciiTheme="minorHAnsi" w:hAnsiTheme="minorHAnsi" w:cstheme="minorHAnsi"/>
                <w:color w:val="002060"/>
                <w:lang w:val="en-US"/>
              </w:rPr>
              <w:t>(</w:t>
            </w:r>
            <w:proofErr w:type="spellStart"/>
            <w:r w:rsidRPr="00411187">
              <w:rPr>
                <w:rFonts w:asciiTheme="minorHAnsi" w:hAnsiTheme="minorHAnsi" w:cstheme="minorHAnsi"/>
                <w:color w:val="002060"/>
                <w:lang w:val="en-US"/>
              </w:rPr>
              <w:t>Chrysostomides</w:t>
            </w:r>
            <w:proofErr w:type="spellEnd"/>
            <w:r w:rsidRPr="00411187">
              <w:rPr>
                <w:rFonts w:asciiTheme="minorHAnsi" w:hAnsiTheme="minorHAnsi" w:cstheme="minorHAnsi"/>
                <w:color w:val="002060"/>
                <w:lang w:val="en-US"/>
              </w:rPr>
              <w:t xml:space="preserve"> Dr. K. </w:t>
            </w:r>
            <w:proofErr w:type="spellStart"/>
            <w:r w:rsidRPr="00411187">
              <w:rPr>
                <w:rFonts w:asciiTheme="minorHAnsi" w:hAnsiTheme="minorHAnsi" w:cstheme="minorHAnsi"/>
                <w:color w:val="002060"/>
                <w:lang w:val="en-US"/>
              </w:rPr>
              <w:t>Chrysostomides</w:t>
            </w:r>
            <w:proofErr w:type="spellEnd"/>
            <w:r w:rsidRPr="00411187">
              <w:rPr>
                <w:rFonts w:asciiTheme="minorHAnsi" w:hAnsiTheme="minorHAnsi" w:cstheme="minorHAnsi"/>
                <w:color w:val="002060"/>
                <w:lang w:val="en-US"/>
              </w:rPr>
              <w:t xml:space="preserve"> &amp; Co. LLC Advocates and Legal Consultants</w:t>
            </w:r>
            <w:r w:rsidRPr="00411187">
              <w:rPr>
                <w:rFonts w:asciiTheme="minorHAnsi" w:hAnsiTheme="minorHAnsi" w:cstheme="minorHAnsi"/>
                <w:color w:val="002060"/>
                <w:lang w:val="en-US" w:eastAsia="pl-PL"/>
              </w:rPr>
              <w:t>)</w:t>
            </w:r>
          </w:p>
        </w:tc>
      </w:tr>
      <w:tr w:rsidR="00663ACF" w:rsidRPr="00411187" w14:paraId="0D3F0CC0"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38287C9E"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Czech</w:t>
            </w:r>
            <w:r>
              <w:rPr>
                <w:rFonts w:asciiTheme="minorHAnsi" w:hAnsiTheme="minorHAnsi" w:cstheme="minorHAnsi"/>
                <w:b/>
                <w:bCs/>
                <w:lang w:val="en-US" w:eastAsia="pl-PL"/>
              </w:rPr>
              <w:t xml:space="preserve"> Republic</w:t>
            </w:r>
          </w:p>
        </w:tc>
        <w:tc>
          <w:tcPr>
            <w:tcW w:w="6798" w:type="dxa"/>
            <w:tcBorders>
              <w:top w:val="dashSmallGap" w:sz="4" w:space="0" w:color="auto"/>
              <w:left w:val="dashSmallGap" w:sz="4" w:space="0" w:color="auto"/>
              <w:bottom w:val="dashSmallGap" w:sz="4" w:space="0" w:color="auto"/>
              <w:right w:val="nil"/>
            </w:tcBorders>
            <w:vAlign w:val="center"/>
          </w:tcPr>
          <w:p w14:paraId="0441842E"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David Dvorak </w:t>
            </w:r>
          </w:p>
          <w:p w14:paraId="607896D3"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(MT Legal)</w:t>
            </w:r>
          </w:p>
        </w:tc>
      </w:tr>
      <w:tr w:rsidR="00663ACF" w:rsidRPr="00411187" w14:paraId="55421A28"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46D8CB0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Den</w:t>
            </w:r>
            <w:r>
              <w:rPr>
                <w:rFonts w:asciiTheme="minorHAnsi" w:hAnsiTheme="minorHAnsi" w:cstheme="minorHAnsi"/>
                <w:b/>
                <w:bCs/>
                <w:lang w:val="en-US" w:eastAsia="pl-PL"/>
              </w:rPr>
              <w:t>mark</w:t>
            </w:r>
          </w:p>
        </w:tc>
        <w:tc>
          <w:tcPr>
            <w:tcW w:w="6798" w:type="dxa"/>
            <w:tcBorders>
              <w:top w:val="dashSmallGap" w:sz="4" w:space="0" w:color="auto"/>
              <w:left w:val="dashSmallGap" w:sz="4" w:space="0" w:color="auto"/>
              <w:bottom w:val="dashSmallGap" w:sz="4" w:space="0" w:color="auto"/>
              <w:right w:val="nil"/>
            </w:tcBorders>
            <w:vAlign w:val="center"/>
          </w:tcPr>
          <w:p w14:paraId="05F1F556"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Mikala Berg </w:t>
            </w:r>
            <w:proofErr w:type="spellStart"/>
            <w:r w:rsidRPr="00411187">
              <w:rPr>
                <w:rFonts w:asciiTheme="minorHAnsi" w:eastAsiaTheme="minorEastAsia" w:hAnsiTheme="minorHAnsi" w:cstheme="minorHAnsi"/>
                <w:b/>
                <w:bCs/>
                <w:color w:val="002060"/>
                <w:lang w:val="en-US"/>
              </w:rPr>
              <w:t>Dueholm</w:t>
            </w:r>
            <w:proofErr w:type="spellEnd"/>
            <w:r w:rsidRPr="00411187">
              <w:rPr>
                <w:rFonts w:asciiTheme="minorHAnsi" w:eastAsiaTheme="minorEastAsia" w:hAnsiTheme="minorHAnsi" w:cstheme="minorHAnsi"/>
                <w:b/>
                <w:bCs/>
                <w:color w:val="002060"/>
                <w:lang w:val="en-US"/>
              </w:rPr>
              <w:t xml:space="preserve"> </w:t>
            </w:r>
          </w:p>
          <w:p w14:paraId="2E5D884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(DLA Piper Denmark)</w:t>
            </w:r>
          </w:p>
        </w:tc>
      </w:tr>
      <w:tr w:rsidR="00663ACF" w:rsidRPr="00411187" w14:paraId="1A32B3A0"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63F24EDD"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Estonia</w:t>
            </w:r>
          </w:p>
        </w:tc>
        <w:tc>
          <w:tcPr>
            <w:tcW w:w="6798" w:type="dxa"/>
            <w:tcBorders>
              <w:top w:val="dashSmallGap" w:sz="4" w:space="0" w:color="auto"/>
              <w:left w:val="dashSmallGap" w:sz="4" w:space="0" w:color="auto"/>
              <w:bottom w:val="dashSmallGap" w:sz="4" w:space="0" w:color="auto"/>
              <w:right w:val="nil"/>
            </w:tcBorders>
            <w:vAlign w:val="center"/>
          </w:tcPr>
          <w:p w14:paraId="61C8686C" w14:textId="4FF6846F"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proofErr w:type="spellStart"/>
            <w:r w:rsidRPr="00411187">
              <w:rPr>
                <w:rFonts w:asciiTheme="minorHAnsi" w:eastAsiaTheme="minorEastAsia" w:hAnsiTheme="minorHAnsi" w:cstheme="minorHAnsi"/>
                <w:b/>
                <w:bCs/>
                <w:color w:val="002060"/>
                <w:lang w:val="en-US"/>
              </w:rPr>
              <w:t>Matteus</w:t>
            </w:r>
            <w:proofErr w:type="spellEnd"/>
            <w:r w:rsidRPr="00411187">
              <w:rPr>
                <w:rFonts w:asciiTheme="minorHAnsi" w:eastAsiaTheme="minorEastAsia" w:hAnsiTheme="minorHAnsi" w:cstheme="minorHAnsi"/>
                <w:b/>
                <w:bCs/>
                <w:color w:val="002060"/>
                <w:lang w:val="en-US"/>
              </w:rPr>
              <w:t xml:space="preserve"> Kadri</w:t>
            </w:r>
          </w:p>
          <w:p w14:paraId="605AE5E7"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(Cobalt)</w:t>
            </w:r>
          </w:p>
        </w:tc>
      </w:tr>
      <w:tr w:rsidR="00663ACF" w:rsidRPr="00411187" w14:paraId="4FF01FA9"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2621B966"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Finland</w:t>
            </w:r>
          </w:p>
        </w:tc>
        <w:tc>
          <w:tcPr>
            <w:tcW w:w="6798" w:type="dxa"/>
            <w:tcBorders>
              <w:top w:val="dashSmallGap" w:sz="4" w:space="0" w:color="auto"/>
              <w:left w:val="dashSmallGap" w:sz="4" w:space="0" w:color="auto"/>
              <w:bottom w:val="dashSmallGap" w:sz="4" w:space="0" w:color="auto"/>
              <w:right w:val="nil"/>
            </w:tcBorders>
            <w:vAlign w:val="center"/>
          </w:tcPr>
          <w:p w14:paraId="76D24156" w14:textId="77777777" w:rsidR="00663ACF" w:rsidRPr="00411187" w:rsidRDefault="00663ACF" w:rsidP="00663ACF">
            <w:pPr>
              <w:pStyle w:val="ColorfulList-Accent11"/>
              <w:spacing w:before="120" w:after="120"/>
              <w:ind w:left="0"/>
              <w:contextualSpacing w:val="0"/>
              <w:jc w:val="center"/>
              <w:rPr>
                <w:rFonts w:asciiTheme="minorHAnsi" w:hAnsiTheme="minorHAnsi" w:cstheme="minorHAnsi"/>
                <w:b/>
                <w:bCs/>
                <w:color w:val="002060"/>
                <w:lang w:val="en-US" w:eastAsia="pl-PL"/>
              </w:rPr>
            </w:pPr>
            <w:r w:rsidRPr="00411187">
              <w:rPr>
                <w:rFonts w:asciiTheme="minorHAnsi" w:hAnsiTheme="minorHAnsi" w:cstheme="minorHAnsi"/>
                <w:b/>
                <w:bCs/>
                <w:color w:val="002060"/>
                <w:lang w:val="en-US" w:eastAsia="pl-PL"/>
              </w:rPr>
              <w:t xml:space="preserve">Katia Duncker </w:t>
            </w:r>
          </w:p>
          <w:p w14:paraId="7B2184C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hAnsiTheme="minorHAnsi" w:cstheme="minorHAnsi"/>
                <w:color w:val="002060"/>
                <w:lang w:val="en-US" w:eastAsia="pl-PL"/>
              </w:rPr>
              <w:t>(Bird &amp; Bird)</w:t>
            </w:r>
          </w:p>
        </w:tc>
      </w:tr>
      <w:tr w:rsidR="00663ACF" w:rsidRPr="00411187" w14:paraId="2647E6B1"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49FB6DFC"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Franc</w:t>
            </w:r>
            <w:r>
              <w:rPr>
                <w:rFonts w:asciiTheme="minorHAnsi" w:hAnsiTheme="minorHAnsi" w:cstheme="minorHAnsi"/>
                <w:b/>
                <w:bCs/>
                <w:lang w:val="en-US" w:eastAsia="pl-PL"/>
              </w:rPr>
              <w:t>e</w:t>
            </w:r>
          </w:p>
        </w:tc>
        <w:tc>
          <w:tcPr>
            <w:tcW w:w="6798" w:type="dxa"/>
            <w:tcBorders>
              <w:top w:val="dashSmallGap" w:sz="4" w:space="0" w:color="auto"/>
              <w:left w:val="dashSmallGap" w:sz="4" w:space="0" w:color="auto"/>
              <w:bottom w:val="dashSmallGap" w:sz="4" w:space="0" w:color="auto"/>
              <w:right w:val="nil"/>
            </w:tcBorders>
            <w:vAlign w:val="center"/>
          </w:tcPr>
          <w:p w14:paraId="4DB7435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Marc </w:t>
            </w:r>
            <w:proofErr w:type="spellStart"/>
            <w:r w:rsidRPr="00411187">
              <w:rPr>
                <w:rFonts w:asciiTheme="minorHAnsi" w:eastAsiaTheme="minorEastAsia" w:hAnsiTheme="minorHAnsi" w:cstheme="minorHAnsi"/>
                <w:b/>
                <w:bCs/>
                <w:color w:val="002060"/>
                <w:lang w:val="en-US"/>
              </w:rPr>
              <w:t>Fornacciari</w:t>
            </w:r>
            <w:proofErr w:type="spellEnd"/>
            <w:r w:rsidRPr="00411187">
              <w:rPr>
                <w:rFonts w:asciiTheme="minorHAnsi" w:eastAsiaTheme="minorEastAsia" w:hAnsiTheme="minorHAnsi" w:cstheme="minorHAnsi"/>
                <w:b/>
                <w:bCs/>
                <w:color w:val="002060"/>
                <w:lang w:val="en-US"/>
              </w:rPr>
              <w:t xml:space="preserve"> </w:t>
            </w:r>
          </w:p>
          <w:p w14:paraId="0A9F8F44"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lastRenderedPageBreak/>
              <w:t>(Dentons Europe, AARPI)</w:t>
            </w:r>
          </w:p>
        </w:tc>
      </w:tr>
      <w:tr w:rsidR="00663ACF" w:rsidRPr="00411187" w14:paraId="715CA2A2"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2F69D69D"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Pr>
                <w:rFonts w:asciiTheme="minorHAnsi" w:hAnsiTheme="minorHAnsi" w:cstheme="minorHAnsi"/>
                <w:b/>
                <w:bCs/>
                <w:lang w:val="en-US" w:eastAsia="pl-PL"/>
              </w:rPr>
              <w:lastRenderedPageBreak/>
              <w:t>Germany</w:t>
            </w:r>
          </w:p>
        </w:tc>
        <w:tc>
          <w:tcPr>
            <w:tcW w:w="6798" w:type="dxa"/>
            <w:tcBorders>
              <w:top w:val="dashSmallGap" w:sz="4" w:space="0" w:color="auto"/>
              <w:left w:val="dashSmallGap" w:sz="4" w:space="0" w:color="auto"/>
              <w:bottom w:val="dashSmallGap" w:sz="4" w:space="0" w:color="auto"/>
              <w:right w:val="nil"/>
            </w:tcBorders>
            <w:vAlign w:val="center"/>
          </w:tcPr>
          <w:p w14:paraId="0A5B155D"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Pr>
                <w:rFonts w:asciiTheme="minorHAnsi" w:eastAsiaTheme="minorEastAsia" w:hAnsiTheme="minorHAnsi" w:cstheme="minorHAnsi"/>
                <w:b/>
                <w:bCs/>
                <w:color w:val="002060"/>
                <w:lang w:val="en-US"/>
              </w:rPr>
              <w:t>Dr.</w:t>
            </w:r>
            <w:r w:rsidRPr="00411187">
              <w:rPr>
                <w:rFonts w:asciiTheme="minorHAnsi" w:eastAsiaTheme="minorEastAsia" w:hAnsiTheme="minorHAnsi" w:cstheme="minorHAnsi"/>
                <w:b/>
                <w:bCs/>
                <w:color w:val="002060"/>
                <w:lang w:val="en-US"/>
              </w:rPr>
              <w:t xml:space="preserve"> Piotr Kwiatkowski </w:t>
            </w:r>
          </w:p>
          <w:p w14:paraId="634F3978"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 xml:space="preserve">(Luther </w:t>
            </w:r>
            <w:proofErr w:type="spellStart"/>
            <w:r w:rsidRPr="00411187">
              <w:rPr>
                <w:rFonts w:asciiTheme="minorHAnsi" w:eastAsiaTheme="minorEastAsia" w:hAnsiTheme="minorHAnsi" w:cstheme="minorHAnsi"/>
                <w:color w:val="002060"/>
                <w:lang w:val="en-US"/>
              </w:rPr>
              <w:t>Rechtsanwaltsgesellschaft</w:t>
            </w:r>
            <w:proofErr w:type="spellEnd"/>
            <w:r w:rsidRPr="00411187">
              <w:rPr>
                <w:rFonts w:asciiTheme="minorHAnsi" w:eastAsiaTheme="minorEastAsia" w:hAnsiTheme="minorHAnsi" w:cstheme="minorHAnsi"/>
                <w:color w:val="002060"/>
                <w:lang w:val="en-US"/>
              </w:rPr>
              <w:t xml:space="preserve"> </w:t>
            </w:r>
            <w:proofErr w:type="spellStart"/>
            <w:r w:rsidRPr="00411187">
              <w:rPr>
                <w:rFonts w:asciiTheme="minorHAnsi" w:eastAsiaTheme="minorEastAsia" w:hAnsiTheme="minorHAnsi" w:cstheme="minorHAnsi"/>
                <w:color w:val="002060"/>
                <w:lang w:val="en-US"/>
              </w:rPr>
              <w:t>mbH</w:t>
            </w:r>
            <w:proofErr w:type="spellEnd"/>
            <w:r w:rsidRPr="00411187">
              <w:rPr>
                <w:rFonts w:asciiTheme="minorHAnsi" w:eastAsiaTheme="minorEastAsia" w:hAnsiTheme="minorHAnsi" w:cstheme="minorHAnsi"/>
                <w:color w:val="002060"/>
                <w:lang w:val="en-US"/>
              </w:rPr>
              <w:t>)</w:t>
            </w:r>
          </w:p>
        </w:tc>
      </w:tr>
      <w:tr w:rsidR="00663ACF" w:rsidRPr="00411187" w14:paraId="212A2266"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09D80C3A"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Gre</w:t>
            </w:r>
            <w:r>
              <w:rPr>
                <w:rFonts w:asciiTheme="minorHAnsi" w:hAnsiTheme="minorHAnsi" w:cstheme="minorHAnsi"/>
                <w:b/>
                <w:bCs/>
                <w:lang w:val="en-US" w:eastAsia="pl-PL"/>
              </w:rPr>
              <w:t>ece</w:t>
            </w:r>
          </w:p>
        </w:tc>
        <w:tc>
          <w:tcPr>
            <w:tcW w:w="6798" w:type="dxa"/>
            <w:tcBorders>
              <w:top w:val="dashSmallGap" w:sz="4" w:space="0" w:color="auto"/>
              <w:left w:val="dashSmallGap" w:sz="4" w:space="0" w:color="auto"/>
              <w:bottom w:val="dashSmallGap" w:sz="4" w:space="0" w:color="auto"/>
              <w:right w:val="nil"/>
            </w:tcBorders>
            <w:vAlign w:val="center"/>
          </w:tcPr>
          <w:p w14:paraId="4059CBC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hAnsiTheme="minorHAnsi" w:cstheme="minorHAnsi"/>
                <w:b/>
                <w:bCs/>
                <w:color w:val="002060"/>
                <w:lang w:val="en-US"/>
              </w:rPr>
              <w:t xml:space="preserve">Sofia </w:t>
            </w:r>
            <w:proofErr w:type="spellStart"/>
            <w:r w:rsidRPr="00411187">
              <w:rPr>
                <w:rFonts w:asciiTheme="minorHAnsi" w:hAnsiTheme="minorHAnsi" w:cstheme="minorHAnsi"/>
                <w:b/>
                <w:bCs/>
                <w:color w:val="002060"/>
                <w:lang w:val="en-US"/>
              </w:rPr>
              <w:t>Chatzigiannidou</w:t>
            </w:r>
            <w:proofErr w:type="spellEnd"/>
            <w:r w:rsidRPr="00411187">
              <w:rPr>
                <w:rFonts w:asciiTheme="minorHAnsi" w:hAnsiTheme="minorHAnsi" w:cstheme="minorHAnsi"/>
                <w:b/>
                <w:bCs/>
                <w:color w:val="002060"/>
                <w:lang w:val="en-US"/>
              </w:rPr>
              <w:t xml:space="preserve">, </w:t>
            </w:r>
            <w:proofErr w:type="spellStart"/>
            <w:r w:rsidRPr="00411187">
              <w:rPr>
                <w:rFonts w:asciiTheme="minorHAnsi" w:eastAsiaTheme="minorEastAsia" w:hAnsiTheme="minorHAnsi" w:cstheme="minorHAnsi"/>
                <w:b/>
                <w:bCs/>
                <w:color w:val="002060"/>
                <w:lang w:val="en-US"/>
              </w:rPr>
              <w:t>Nasia</w:t>
            </w:r>
            <w:proofErr w:type="spellEnd"/>
            <w:r w:rsidRPr="00411187">
              <w:rPr>
                <w:rFonts w:asciiTheme="minorHAnsi" w:eastAsiaTheme="minorEastAsia" w:hAnsiTheme="minorHAnsi" w:cstheme="minorHAnsi"/>
                <w:b/>
                <w:bCs/>
                <w:color w:val="002060"/>
                <w:lang w:val="en-US"/>
              </w:rPr>
              <w:t xml:space="preserve"> </w:t>
            </w:r>
            <w:proofErr w:type="spellStart"/>
            <w:r w:rsidRPr="00411187">
              <w:rPr>
                <w:rFonts w:asciiTheme="minorHAnsi" w:eastAsiaTheme="minorEastAsia" w:hAnsiTheme="minorHAnsi" w:cstheme="minorHAnsi"/>
                <w:b/>
                <w:bCs/>
                <w:color w:val="002060"/>
                <w:lang w:val="en-US"/>
              </w:rPr>
              <w:t>Gkouma</w:t>
            </w:r>
            <w:proofErr w:type="spellEnd"/>
            <w:r w:rsidRPr="00411187">
              <w:rPr>
                <w:rFonts w:asciiTheme="minorHAnsi" w:eastAsiaTheme="minorEastAsia" w:hAnsiTheme="minorHAnsi" w:cstheme="minorHAnsi"/>
                <w:b/>
                <w:bCs/>
                <w:color w:val="002060"/>
                <w:lang w:val="en-US"/>
              </w:rPr>
              <w:t xml:space="preserve"> </w:t>
            </w:r>
          </w:p>
          <w:p w14:paraId="4FEBB922"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color w:val="002060"/>
                <w:lang w:val="en-US"/>
              </w:rPr>
              <w:t>(</w:t>
            </w:r>
            <w:proofErr w:type="spellStart"/>
            <w:r w:rsidRPr="00411187">
              <w:rPr>
                <w:rFonts w:asciiTheme="minorHAnsi" w:eastAsiaTheme="minorEastAsia" w:hAnsiTheme="minorHAnsi" w:cstheme="minorHAnsi"/>
                <w:color w:val="002060"/>
                <w:lang w:val="en-US"/>
              </w:rPr>
              <w:t>Zepos</w:t>
            </w:r>
            <w:proofErr w:type="spellEnd"/>
            <w:r w:rsidRPr="00411187">
              <w:rPr>
                <w:rFonts w:asciiTheme="minorHAnsi" w:eastAsiaTheme="minorEastAsia" w:hAnsiTheme="minorHAnsi" w:cstheme="minorHAnsi"/>
                <w:color w:val="002060"/>
                <w:lang w:val="en-US"/>
              </w:rPr>
              <w:t xml:space="preserve"> &amp; </w:t>
            </w:r>
            <w:proofErr w:type="spellStart"/>
            <w:r w:rsidRPr="00411187">
              <w:rPr>
                <w:rFonts w:asciiTheme="minorHAnsi" w:eastAsiaTheme="minorEastAsia" w:hAnsiTheme="minorHAnsi" w:cstheme="minorHAnsi"/>
                <w:color w:val="002060"/>
                <w:lang w:val="en-US"/>
              </w:rPr>
              <w:t>Yannopoulos</w:t>
            </w:r>
            <w:proofErr w:type="spellEnd"/>
            <w:r w:rsidRPr="00411187">
              <w:rPr>
                <w:rFonts w:asciiTheme="minorHAnsi" w:eastAsiaTheme="minorEastAsia" w:hAnsiTheme="minorHAnsi" w:cstheme="minorHAnsi"/>
                <w:color w:val="002060"/>
                <w:lang w:val="en-US"/>
              </w:rPr>
              <w:t>)</w:t>
            </w:r>
          </w:p>
        </w:tc>
      </w:tr>
      <w:tr w:rsidR="00663ACF" w:rsidRPr="00411187" w14:paraId="17ED2D17"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68765CBF"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Pr>
                <w:rFonts w:asciiTheme="minorHAnsi" w:hAnsiTheme="minorHAnsi" w:cstheme="minorHAnsi"/>
                <w:b/>
                <w:bCs/>
                <w:lang w:val="en-US" w:eastAsia="pl-PL"/>
              </w:rPr>
              <w:t>Hungary</w:t>
            </w:r>
          </w:p>
        </w:tc>
        <w:tc>
          <w:tcPr>
            <w:tcW w:w="6798" w:type="dxa"/>
            <w:tcBorders>
              <w:top w:val="dashSmallGap" w:sz="4" w:space="0" w:color="auto"/>
              <w:left w:val="dashSmallGap" w:sz="4" w:space="0" w:color="auto"/>
              <w:bottom w:val="dashSmallGap" w:sz="4" w:space="0" w:color="auto"/>
              <w:right w:val="nil"/>
            </w:tcBorders>
            <w:vAlign w:val="center"/>
          </w:tcPr>
          <w:p w14:paraId="1FD10659" w14:textId="3F4373E9"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Dr. </w:t>
            </w:r>
            <w:proofErr w:type="spellStart"/>
            <w:r w:rsidRPr="00411187">
              <w:rPr>
                <w:rFonts w:asciiTheme="minorHAnsi" w:eastAsiaTheme="minorEastAsia" w:hAnsiTheme="minorHAnsi" w:cstheme="minorHAnsi"/>
                <w:b/>
                <w:bCs/>
                <w:color w:val="002060"/>
                <w:lang w:val="en-US"/>
              </w:rPr>
              <w:t>Péter</w:t>
            </w:r>
            <w:proofErr w:type="spellEnd"/>
            <w:r w:rsidRPr="00411187">
              <w:rPr>
                <w:rFonts w:asciiTheme="minorHAnsi" w:eastAsiaTheme="minorEastAsia" w:hAnsiTheme="minorHAnsi" w:cstheme="minorHAnsi"/>
                <w:b/>
                <w:bCs/>
                <w:color w:val="002060"/>
                <w:lang w:val="en-US"/>
              </w:rPr>
              <w:t xml:space="preserve"> </w:t>
            </w:r>
            <w:proofErr w:type="spellStart"/>
            <w:r w:rsidRPr="00411187">
              <w:rPr>
                <w:rFonts w:asciiTheme="minorHAnsi" w:eastAsiaTheme="minorEastAsia" w:hAnsiTheme="minorHAnsi" w:cstheme="minorHAnsi"/>
                <w:b/>
                <w:bCs/>
                <w:color w:val="002060"/>
                <w:lang w:val="en-US"/>
              </w:rPr>
              <w:t>Berethalmi</w:t>
            </w:r>
            <w:proofErr w:type="spellEnd"/>
            <w:r w:rsidRPr="00411187">
              <w:rPr>
                <w:rFonts w:asciiTheme="minorHAnsi" w:eastAsiaTheme="minorEastAsia" w:hAnsiTheme="minorHAnsi" w:cstheme="minorHAnsi"/>
                <w:b/>
                <w:bCs/>
                <w:color w:val="002060"/>
                <w:lang w:val="en-US"/>
              </w:rPr>
              <w:t xml:space="preserve"> </w:t>
            </w:r>
          </w:p>
          <w:p w14:paraId="30ED3A95"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 xml:space="preserve">(Nagy </w:t>
            </w:r>
            <w:proofErr w:type="spellStart"/>
            <w:r w:rsidRPr="00411187">
              <w:rPr>
                <w:rFonts w:asciiTheme="minorHAnsi" w:eastAsiaTheme="minorEastAsia" w:hAnsiTheme="minorHAnsi" w:cstheme="minorHAnsi"/>
                <w:color w:val="002060"/>
                <w:lang w:val="en-US"/>
              </w:rPr>
              <w:t>és</w:t>
            </w:r>
            <w:proofErr w:type="spellEnd"/>
            <w:r w:rsidRPr="00411187">
              <w:rPr>
                <w:rFonts w:asciiTheme="minorHAnsi" w:eastAsiaTheme="minorEastAsia" w:hAnsiTheme="minorHAnsi" w:cstheme="minorHAnsi"/>
                <w:color w:val="002060"/>
                <w:lang w:val="en-US"/>
              </w:rPr>
              <w:t xml:space="preserve"> </w:t>
            </w:r>
            <w:proofErr w:type="spellStart"/>
            <w:r w:rsidRPr="00411187">
              <w:rPr>
                <w:rFonts w:asciiTheme="minorHAnsi" w:eastAsiaTheme="minorEastAsia" w:hAnsiTheme="minorHAnsi" w:cstheme="minorHAnsi"/>
                <w:color w:val="002060"/>
                <w:lang w:val="en-US"/>
              </w:rPr>
              <w:t>Trócsányi</w:t>
            </w:r>
            <w:proofErr w:type="spellEnd"/>
            <w:r w:rsidRPr="00411187">
              <w:rPr>
                <w:rFonts w:asciiTheme="minorHAnsi" w:eastAsiaTheme="minorEastAsia" w:hAnsiTheme="minorHAnsi" w:cstheme="minorHAnsi"/>
                <w:color w:val="002060"/>
                <w:lang w:val="en-US"/>
              </w:rPr>
              <w:t xml:space="preserve"> </w:t>
            </w:r>
            <w:proofErr w:type="spellStart"/>
            <w:r w:rsidRPr="00411187">
              <w:rPr>
                <w:rFonts w:asciiTheme="minorHAnsi" w:eastAsiaTheme="minorEastAsia" w:hAnsiTheme="minorHAnsi" w:cstheme="minorHAnsi"/>
                <w:color w:val="002060"/>
                <w:lang w:val="en-US"/>
              </w:rPr>
              <w:t>Ügyvédi</w:t>
            </w:r>
            <w:proofErr w:type="spellEnd"/>
            <w:r w:rsidRPr="00411187">
              <w:rPr>
                <w:rFonts w:asciiTheme="minorHAnsi" w:eastAsiaTheme="minorEastAsia" w:hAnsiTheme="minorHAnsi" w:cstheme="minorHAnsi"/>
                <w:color w:val="002060"/>
                <w:lang w:val="en-US"/>
              </w:rPr>
              <w:t xml:space="preserve"> </w:t>
            </w:r>
            <w:proofErr w:type="spellStart"/>
            <w:r w:rsidRPr="00411187">
              <w:rPr>
                <w:rFonts w:asciiTheme="minorHAnsi" w:eastAsiaTheme="minorEastAsia" w:hAnsiTheme="minorHAnsi" w:cstheme="minorHAnsi"/>
                <w:color w:val="002060"/>
                <w:lang w:val="en-US"/>
              </w:rPr>
              <w:t>Iroda</w:t>
            </w:r>
            <w:proofErr w:type="spellEnd"/>
            <w:r w:rsidRPr="00411187">
              <w:rPr>
                <w:rFonts w:asciiTheme="minorHAnsi" w:eastAsiaTheme="minorEastAsia" w:hAnsiTheme="minorHAnsi" w:cstheme="minorHAnsi"/>
                <w:color w:val="002060"/>
                <w:lang w:val="en-US"/>
              </w:rPr>
              <w:t>)</w:t>
            </w:r>
          </w:p>
        </w:tc>
      </w:tr>
      <w:tr w:rsidR="00663ACF" w:rsidRPr="00411187" w14:paraId="526E5AA5"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00E77F5C"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Ir</w:t>
            </w:r>
            <w:r>
              <w:rPr>
                <w:rFonts w:asciiTheme="minorHAnsi" w:hAnsiTheme="minorHAnsi" w:cstheme="minorHAnsi"/>
                <w:b/>
                <w:bCs/>
                <w:lang w:val="en-US" w:eastAsia="pl-PL"/>
              </w:rPr>
              <w:t>e</w:t>
            </w:r>
            <w:r w:rsidRPr="00411187">
              <w:rPr>
                <w:rFonts w:asciiTheme="minorHAnsi" w:hAnsiTheme="minorHAnsi" w:cstheme="minorHAnsi"/>
                <w:b/>
                <w:bCs/>
                <w:lang w:val="en-US" w:eastAsia="pl-PL"/>
              </w:rPr>
              <w:t>land</w:t>
            </w:r>
          </w:p>
        </w:tc>
        <w:tc>
          <w:tcPr>
            <w:tcW w:w="6798" w:type="dxa"/>
            <w:tcBorders>
              <w:top w:val="dashSmallGap" w:sz="4" w:space="0" w:color="auto"/>
              <w:left w:val="dashSmallGap" w:sz="4" w:space="0" w:color="auto"/>
              <w:bottom w:val="dashSmallGap" w:sz="4" w:space="0" w:color="auto"/>
              <w:right w:val="nil"/>
            </w:tcBorders>
            <w:vAlign w:val="center"/>
          </w:tcPr>
          <w:p w14:paraId="4C0DA225"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Peter Curran </w:t>
            </w:r>
          </w:p>
          <w:p w14:paraId="4212485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(Eversheds Sutherland)</w:t>
            </w:r>
          </w:p>
        </w:tc>
      </w:tr>
      <w:tr w:rsidR="00663ACF" w:rsidRPr="00411187" w14:paraId="68258189"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6E983D63"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Island</w:t>
            </w:r>
          </w:p>
        </w:tc>
        <w:tc>
          <w:tcPr>
            <w:tcW w:w="6798" w:type="dxa"/>
            <w:tcBorders>
              <w:top w:val="dashSmallGap" w:sz="4" w:space="0" w:color="auto"/>
              <w:left w:val="dashSmallGap" w:sz="4" w:space="0" w:color="auto"/>
              <w:bottom w:val="dashSmallGap" w:sz="4" w:space="0" w:color="auto"/>
              <w:right w:val="nil"/>
            </w:tcBorders>
            <w:vAlign w:val="center"/>
          </w:tcPr>
          <w:p w14:paraId="6177E9D0"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proofErr w:type="spellStart"/>
            <w:r w:rsidRPr="00411187">
              <w:rPr>
                <w:rFonts w:asciiTheme="minorHAnsi" w:eastAsiaTheme="minorEastAsia" w:hAnsiTheme="minorHAnsi" w:cstheme="minorHAnsi"/>
                <w:b/>
                <w:bCs/>
                <w:color w:val="002060"/>
                <w:lang w:val="en-US"/>
              </w:rPr>
              <w:t>Hjördís</w:t>
            </w:r>
            <w:proofErr w:type="spellEnd"/>
            <w:r w:rsidRPr="00411187">
              <w:rPr>
                <w:rFonts w:asciiTheme="minorHAnsi" w:eastAsiaTheme="minorEastAsia" w:hAnsiTheme="minorHAnsi" w:cstheme="minorHAnsi"/>
                <w:b/>
                <w:bCs/>
                <w:color w:val="002060"/>
                <w:lang w:val="en-US"/>
              </w:rPr>
              <w:t xml:space="preserve"> </w:t>
            </w:r>
            <w:proofErr w:type="spellStart"/>
            <w:r w:rsidRPr="00411187">
              <w:rPr>
                <w:rFonts w:asciiTheme="minorHAnsi" w:eastAsiaTheme="minorEastAsia" w:hAnsiTheme="minorHAnsi" w:cstheme="minorHAnsi"/>
                <w:b/>
                <w:bCs/>
                <w:color w:val="002060"/>
                <w:lang w:val="en-US"/>
              </w:rPr>
              <w:t>Halldórsdóttir</w:t>
            </w:r>
            <w:proofErr w:type="spellEnd"/>
            <w:r w:rsidRPr="00411187">
              <w:rPr>
                <w:rFonts w:asciiTheme="minorHAnsi" w:eastAsiaTheme="minorEastAsia" w:hAnsiTheme="minorHAnsi" w:cstheme="minorHAnsi"/>
                <w:b/>
                <w:bCs/>
                <w:color w:val="002060"/>
                <w:lang w:val="en-US"/>
              </w:rPr>
              <w:t xml:space="preserve"> </w:t>
            </w:r>
          </w:p>
          <w:p w14:paraId="5051AB4D"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(Logos SLF)</w:t>
            </w:r>
          </w:p>
        </w:tc>
      </w:tr>
      <w:tr w:rsidR="00663ACF" w:rsidRPr="00411187" w14:paraId="0FE7943E"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01E75970"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Pr>
                <w:rFonts w:asciiTheme="minorHAnsi" w:hAnsiTheme="minorHAnsi" w:cstheme="minorHAnsi"/>
                <w:b/>
                <w:bCs/>
                <w:lang w:val="en-US" w:eastAsia="pl-PL"/>
              </w:rPr>
              <w:t>Italy</w:t>
            </w:r>
          </w:p>
        </w:tc>
        <w:tc>
          <w:tcPr>
            <w:tcW w:w="6798" w:type="dxa"/>
            <w:tcBorders>
              <w:top w:val="dashSmallGap" w:sz="4" w:space="0" w:color="auto"/>
              <w:left w:val="dashSmallGap" w:sz="4" w:space="0" w:color="auto"/>
              <w:bottom w:val="dashSmallGap" w:sz="4" w:space="0" w:color="auto"/>
              <w:right w:val="nil"/>
            </w:tcBorders>
            <w:vAlign w:val="center"/>
          </w:tcPr>
          <w:p w14:paraId="235ECA0C"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b/>
                <w:bCs/>
                <w:color w:val="002060"/>
                <w:lang w:val="en-US"/>
              </w:rPr>
              <w:t>Antonio D</w:t>
            </w:r>
            <w:r>
              <w:rPr>
                <w:rFonts w:asciiTheme="minorHAnsi" w:eastAsiaTheme="minorEastAsia" w:hAnsiTheme="minorHAnsi" w:cstheme="minorHAnsi"/>
                <w:b/>
                <w:bCs/>
                <w:color w:val="002060"/>
                <w:lang w:val="en-US"/>
              </w:rPr>
              <w:t>’</w:t>
            </w:r>
            <w:r w:rsidRPr="00411187">
              <w:rPr>
                <w:rFonts w:asciiTheme="minorHAnsi" w:eastAsiaTheme="minorEastAsia" w:hAnsiTheme="minorHAnsi" w:cstheme="minorHAnsi"/>
                <w:b/>
                <w:bCs/>
                <w:color w:val="002060"/>
                <w:lang w:val="en-US"/>
              </w:rPr>
              <w:t>Arcangelo</w:t>
            </w:r>
          </w:p>
          <w:p w14:paraId="0679F63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w:t>
            </w:r>
            <w:proofErr w:type="spellStart"/>
            <w:r w:rsidRPr="00411187">
              <w:rPr>
                <w:rFonts w:asciiTheme="minorHAnsi" w:eastAsiaTheme="minorEastAsia" w:hAnsiTheme="minorHAnsi" w:cstheme="minorHAnsi"/>
                <w:color w:val="002060"/>
                <w:lang w:val="en-US"/>
              </w:rPr>
              <w:t>Legance</w:t>
            </w:r>
            <w:proofErr w:type="spellEnd"/>
            <w:r w:rsidRPr="00411187">
              <w:rPr>
                <w:rFonts w:asciiTheme="minorHAnsi" w:eastAsiaTheme="minorEastAsia" w:hAnsiTheme="minorHAnsi" w:cstheme="minorHAnsi"/>
                <w:color w:val="002060"/>
                <w:lang w:val="en-US"/>
              </w:rPr>
              <w:t>)</w:t>
            </w:r>
          </w:p>
        </w:tc>
      </w:tr>
      <w:tr w:rsidR="00663ACF" w:rsidRPr="00411187" w14:paraId="13088CF5"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422ED674"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Lichtenstein</w:t>
            </w:r>
          </w:p>
        </w:tc>
        <w:tc>
          <w:tcPr>
            <w:tcW w:w="6798" w:type="dxa"/>
            <w:tcBorders>
              <w:top w:val="dashSmallGap" w:sz="4" w:space="0" w:color="auto"/>
              <w:left w:val="dashSmallGap" w:sz="4" w:space="0" w:color="auto"/>
              <w:bottom w:val="dashSmallGap" w:sz="4" w:space="0" w:color="auto"/>
              <w:right w:val="nil"/>
            </w:tcBorders>
            <w:vAlign w:val="center"/>
          </w:tcPr>
          <w:p w14:paraId="19E6085E"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René </w:t>
            </w:r>
            <w:proofErr w:type="spellStart"/>
            <w:r w:rsidRPr="00411187">
              <w:rPr>
                <w:rFonts w:asciiTheme="minorHAnsi" w:eastAsiaTheme="minorEastAsia" w:hAnsiTheme="minorHAnsi" w:cstheme="minorHAnsi"/>
                <w:b/>
                <w:bCs/>
                <w:color w:val="002060"/>
                <w:lang w:val="en-US"/>
              </w:rPr>
              <w:t>Saurer</w:t>
            </w:r>
            <w:proofErr w:type="spellEnd"/>
            <w:r w:rsidRPr="00411187">
              <w:rPr>
                <w:rFonts w:asciiTheme="minorHAnsi" w:eastAsiaTheme="minorEastAsia" w:hAnsiTheme="minorHAnsi" w:cstheme="minorHAnsi"/>
                <w:b/>
                <w:bCs/>
                <w:color w:val="002060"/>
                <w:lang w:val="en-US"/>
              </w:rPr>
              <w:t xml:space="preserve"> </w:t>
            </w:r>
          </w:p>
          <w:p w14:paraId="28DBCB07" w14:textId="19C286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 xml:space="preserve">(Gasser Partner Attorneys </w:t>
            </w:r>
            <w:r>
              <w:rPr>
                <w:rFonts w:asciiTheme="minorHAnsi" w:eastAsiaTheme="minorEastAsia" w:hAnsiTheme="minorHAnsi" w:cstheme="minorHAnsi"/>
                <w:color w:val="002060"/>
                <w:lang w:val="en-US"/>
              </w:rPr>
              <w:t>a</w:t>
            </w:r>
            <w:r w:rsidRPr="00411187">
              <w:rPr>
                <w:rFonts w:asciiTheme="minorHAnsi" w:eastAsiaTheme="minorEastAsia" w:hAnsiTheme="minorHAnsi" w:cstheme="minorHAnsi"/>
                <w:color w:val="002060"/>
                <w:lang w:val="en-US"/>
              </w:rPr>
              <w:t>t Law)</w:t>
            </w:r>
          </w:p>
        </w:tc>
      </w:tr>
      <w:tr w:rsidR="00663ACF" w:rsidRPr="00411187" w14:paraId="415B7F6A"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4A145C6F"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Li</w:t>
            </w:r>
            <w:r>
              <w:rPr>
                <w:rFonts w:asciiTheme="minorHAnsi" w:hAnsiTheme="minorHAnsi" w:cstheme="minorHAnsi"/>
                <w:b/>
                <w:bCs/>
                <w:lang w:val="en-US" w:eastAsia="pl-PL"/>
              </w:rPr>
              <w:t>thuania</w:t>
            </w:r>
          </w:p>
        </w:tc>
        <w:tc>
          <w:tcPr>
            <w:tcW w:w="6798" w:type="dxa"/>
            <w:tcBorders>
              <w:top w:val="dashSmallGap" w:sz="4" w:space="0" w:color="auto"/>
              <w:left w:val="dashSmallGap" w:sz="4" w:space="0" w:color="auto"/>
              <w:bottom w:val="dashSmallGap" w:sz="4" w:space="0" w:color="auto"/>
              <w:right w:val="nil"/>
            </w:tcBorders>
            <w:vAlign w:val="center"/>
          </w:tcPr>
          <w:p w14:paraId="0A2AE877"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proofErr w:type="spellStart"/>
            <w:r w:rsidRPr="00411187">
              <w:rPr>
                <w:rFonts w:asciiTheme="minorHAnsi" w:eastAsiaTheme="minorEastAsia" w:hAnsiTheme="minorHAnsi" w:cstheme="minorHAnsi"/>
                <w:b/>
                <w:bCs/>
                <w:color w:val="002060"/>
                <w:lang w:val="en-US"/>
              </w:rPr>
              <w:t>Deividas</w:t>
            </w:r>
            <w:proofErr w:type="spellEnd"/>
            <w:r w:rsidRPr="00411187">
              <w:rPr>
                <w:rFonts w:asciiTheme="minorHAnsi" w:eastAsiaTheme="minorEastAsia" w:hAnsiTheme="minorHAnsi" w:cstheme="minorHAnsi"/>
                <w:b/>
                <w:bCs/>
                <w:color w:val="002060"/>
                <w:lang w:val="en-US"/>
              </w:rPr>
              <w:t xml:space="preserve"> </w:t>
            </w:r>
            <w:proofErr w:type="spellStart"/>
            <w:r w:rsidRPr="00411187">
              <w:rPr>
                <w:rFonts w:asciiTheme="minorHAnsi" w:eastAsiaTheme="minorEastAsia" w:hAnsiTheme="minorHAnsi" w:cstheme="minorHAnsi"/>
                <w:b/>
                <w:bCs/>
                <w:color w:val="002060"/>
                <w:lang w:val="en-US"/>
              </w:rPr>
              <w:t>Soloveičik</w:t>
            </w:r>
            <w:proofErr w:type="spellEnd"/>
            <w:r w:rsidRPr="00411187">
              <w:rPr>
                <w:rFonts w:asciiTheme="minorHAnsi" w:eastAsiaTheme="minorEastAsia" w:hAnsiTheme="minorHAnsi" w:cstheme="minorHAnsi"/>
                <w:b/>
                <w:bCs/>
                <w:color w:val="002060"/>
                <w:lang w:val="en-US"/>
              </w:rPr>
              <w:t xml:space="preserve">, Karolina </w:t>
            </w:r>
            <w:proofErr w:type="spellStart"/>
            <w:r w:rsidRPr="00411187">
              <w:rPr>
                <w:rFonts w:asciiTheme="minorHAnsi" w:eastAsiaTheme="minorEastAsia" w:hAnsiTheme="minorHAnsi" w:cstheme="minorHAnsi"/>
                <w:b/>
                <w:bCs/>
                <w:color w:val="002060"/>
                <w:lang w:val="en-US"/>
              </w:rPr>
              <w:t>Keršytė</w:t>
            </w:r>
            <w:proofErr w:type="spellEnd"/>
            <w:r w:rsidRPr="00411187">
              <w:rPr>
                <w:rFonts w:asciiTheme="minorHAnsi" w:eastAsiaTheme="minorEastAsia" w:hAnsiTheme="minorHAnsi" w:cstheme="minorHAnsi"/>
                <w:b/>
                <w:bCs/>
                <w:color w:val="002060"/>
                <w:lang w:val="en-US"/>
              </w:rPr>
              <w:t xml:space="preserve"> </w:t>
            </w:r>
          </w:p>
          <w:p w14:paraId="2B24E46A"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(Cobalt)</w:t>
            </w:r>
          </w:p>
        </w:tc>
      </w:tr>
      <w:tr w:rsidR="00663ACF" w:rsidRPr="00411187" w14:paraId="08CDB4D7"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6E33D53B"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Lu</w:t>
            </w:r>
            <w:r>
              <w:rPr>
                <w:rFonts w:asciiTheme="minorHAnsi" w:hAnsiTheme="minorHAnsi" w:cstheme="minorHAnsi"/>
                <w:b/>
                <w:bCs/>
                <w:lang w:val="en-US" w:eastAsia="pl-PL"/>
              </w:rPr>
              <w:t>x</w:t>
            </w:r>
            <w:r w:rsidRPr="00411187">
              <w:rPr>
                <w:rFonts w:asciiTheme="minorHAnsi" w:hAnsiTheme="minorHAnsi" w:cstheme="minorHAnsi"/>
                <w:b/>
                <w:bCs/>
                <w:lang w:val="en-US" w:eastAsia="pl-PL"/>
              </w:rPr>
              <w:t>emburg</w:t>
            </w:r>
          </w:p>
        </w:tc>
        <w:tc>
          <w:tcPr>
            <w:tcW w:w="6798" w:type="dxa"/>
            <w:tcBorders>
              <w:top w:val="dashSmallGap" w:sz="4" w:space="0" w:color="auto"/>
              <w:left w:val="dashSmallGap" w:sz="4" w:space="0" w:color="auto"/>
              <w:bottom w:val="dashSmallGap" w:sz="4" w:space="0" w:color="auto"/>
              <w:right w:val="nil"/>
            </w:tcBorders>
            <w:vAlign w:val="center"/>
          </w:tcPr>
          <w:p w14:paraId="55881C76"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Nathalie</w:t>
            </w:r>
            <w:r>
              <w:rPr>
                <w:rFonts w:asciiTheme="minorHAnsi" w:eastAsiaTheme="minorEastAsia" w:hAnsiTheme="minorHAnsi" w:cstheme="minorHAnsi"/>
                <w:b/>
                <w:bCs/>
                <w:color w:val="002060"/>
                <w:lang w:val="en-US"/>
              </w:rPr>
              <w:t xml:space="preserve"> </w:t>
            </w:r>
            <w:proofErr w:type="spellStart"/>
            <w:r w:rsidRPr="00411187">
              <w:rPr>
                <w:rFonts w:asciiTheme="minorHAnsi" w:eastAsiaTheme="minorEastAsia" w:hAnsiTheme="minorHAnsi" w:cstheme="minorHAnsi"/>
                <w:b/>
                <w:bCs/>
                <w:color w:val="002060"/>
                <w:lang w:val="en-US"/>
              </w:rPr>
              <w:t>Prum-Carre</w:t>
            </w:r>
            <w:proofErr w:type="spellEnd"/>
            <w:r w:rsidRPr="00411187">
              <w:rPr>
                <w:rFonts w:asciiTheme="minorHAnsi" w:eastAsiaTheme="minorEastAsia" w:hAnsiTheme="minorHAnsi" w:cstheme="minorHAnsi"/>
                <w:b/>
                <w:bCs/>
                <w:color w:val="002060"/>
                <w:lang w:val="en-US"/>
              </w:rPr>
              <w:t xml:space="preserve"> </w:t>
            </w:r>
          </w:p>
          <w:p w14:paraId="61B8C796"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w:t>
            </w:r>
            <w:proofErr w:type="spellStart"/>
            <w:r w:rsidRPr="00411187">
              <w:rPr>
                <w:rFonts w:asciiTheme="minorHAnsi" w:hAnsiTheme="minorHAnsi" w:cstheme="minorHAnsi"/>
                <w:color w:val="002060"/>
                <w:lang w:val="en-US" w:eastAsia="pl-PL"/>
              </w:rPr>
              <w:t>Elvinger</w:t>
            </w:r>
            <w:proofErr w:type="spellEnd"/>
            <w:r w:rsidRPr="00411187">
              <w:rPr>
                <w:rFonts w:asciiTheme="minorHAnsi" w:hAnsiTheme="minorHAnsi" w:cstheme="minorHAnsi"/>
                <w:color w:val="002060"/>
                <w:lang w:val="en-US" w:eastAsia="pl-PL"/>
              </w:rPr>
              <w:t xml:space="preserve"> Hoss </w:t>
            </w:r>
            <w:proofErr w:type="spellStart"/>
            <w:r w:rsidRPr="00411187">
              <w:rPr>
                <w:rFonts w:asciiTheme="minorHAnsi" w:hAnsiTheme="minorHAnsi" w:cstheme="minorHAnsi"/>
                <w:color w:val="002060"/>
                <w:lang w:val="en-US" w:eastAsia="pl-PL"/>
              </w:rPr>
              <w:t>Prussen</w:t>
            </w:r>
            <w:proofErr w:type="spellEnd"/>
            <w:r w:rsidRPr="00411187">
              <w:rPr>
                <w:rFonts w:asciiTheme="minorHAnsi" w:hAnsiTheme="minorHAnsi" w:cstheme="minorHAnsi"/>
                <w:color w:val="002060"/>
                <w:lang w:val="en-US" w:eastAsia="pl-PL"/>
              </w:rPr>
              <w:t>)</w:t>
            </w:r>
          </w:p>
        </w:tc>
      </w:tr>
      <w:tr w:rsidR="00663ACF" w:rsidRPr="00411187" w14:paraId="06C008FF"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569F4C6F"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Pr>
                <w:rFonts w:asciiTheme="minorHAnsi" w:hAnsiTheme="minorHAnsi" w:cstheme="minorHAnsi"/>
                <w:b/>
                <w:bCs/>
                <w:lang w:val="en-US" w:eastAsia="pl-PL"/>
              </w:rPr>
              <w:t>Latvia</w:t>
            </w:r>
          </w:p>
        </w:tc>
        <w:tc>
          <w:tcPr>
            <w:tcW w:w="6798" w:type="dxa"/>
            <w:tcBorders>
              <w:top w:val="dashSmallGap" w:sz="4" w:space="0" w:color="auto"/>
              <w:left w:val="dashSmallGap" w:sz="4" w:space="0" w:color="auto"/>
              <w:bottom w:val="dashSmallGap" w:sz="4" w:space="0" w:color="auto"/>
              <w:right w:val="nil"/>
            </w:tcBorders>
            <w:vAlign w:val="center"/>
          </w:tcPr>
          <w:p w14:paraId="38441E3C"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proofErr w:type="spellStart"/>
            <w:r w:rsidRPr="00411187">
              <w:rPr>
                <w:rFonts w:asciiTheme="minorHAnsi" w:eastAsiaTheme="minorEastAsia" w:hAnsiTheme="minorHAnsi" w:cstheme="minorHAnsi"/>
                <w:b/>
                <w:bCs/>
                <w:color w:val="002060"/>
                <w:lang w:val="en-US"/>
              </w:rPr>
              <w:t>Sandija</w:t>
            </w:r>
            <w:proofErr w:type="spellEnd"/>
            <w:r w:rsidRPr="00411187">
              <w:rPr>
                <w:rFonts w:asciiTheme="minorHAnsi" w:eastAsiaTheme="minorEastAsia" w:hAnsiTheme="minorHAnsi" w:cstheme="minorHAnsi"/>
                <w:b/>
                <w:bCs/>
                <w:color w:val="002060"/>
                <w:lang w:val="en-US"/>
              </w:rPr>
              <w:t xml:space="preserve"> </w:t>
            </w:r>
            <w:proofErr w:type="spellStart"/>
            <w:r w:rsidRPr="00411187">
              <w:rPr>
                <w:rFonts w:asciiTheme="minorHAnsi" w:eastAsiaTheme="minorEastAsia" w:hAnsiTheme="minorHAnsi" w:cstheme="minorHAnsi"/>
                <w:b/>
                <w:bCs/>
                <w:color w:val="002060"/>
                <w:lang w:val="en-US"/>
              </w:rPr>
              <w:t>Novicka</w:t>
            </w:r>
            <w:proofErr w:type="spellEnd"/>
            <w:r w:rsidRPr="00411187">
              <w:rPr>
                <w:rFonts w:asciiTheme="minorHAnsi" w:eastAsiaTheme="minorEastAsia" w:hAnsiTheme="minorHAnsi" w:cstheme="minorHAnsi"/>
                <w:b/>
                <w:bCs/>
                <w:color w:val="002060"/>
                <w:lang w:val="en-US"/>
              </w:rPr>
              <w:t xml:space="preserve">, </w:t>
            </w:r>
            <w:proofErr w:type="spellStart"/>
            <w:r w:rsidRPr="00411187">
              <w:rPr>
                <w:rFonts w:asciiTheme="minorHAnsi" w:eastAsiaTheme="minorEastAsia" w:hAnsiTheme="minorHAnsi" w:cstheme="minorHAnsi"/>
                <w:b/>
                <w:bCs/>
                <w:color w:val="002060"/>
                <w:lang w:val="en-US"/>
              </w:rPr>
              <w:t>Inese</w:t>
            </w:r>
            <w:proofErr w:type="spellEnd"/>
            <w:r w:rsidRPr="00411187">
              <w:rPr>
                <w:rFonts w:asciiTheme="minorHAnsi" w:eastAsiaTheme="minorEastAsia" w:hAnsiTheme="minorHAnsi" w:cstheme="minorHAnsi"/>
                <w:b/>
                <w:bCs/>
                <w:color w:val="002060"/>
                <w:lang w:val="en-US"/>
              </w:rPr>
              <w:t xml:space="preserve"> </w:t>
            </w:r>
            <w:proofErr w:type="spellStart"/>
            <w:r w:rsidRPr="00411187">
              <w:rPr>
                <w:rFonts w:asciiTheme="minorHAnsi" w:eastAsiaTheme="minorEastAsia" w:hAnsiTheme="minorHAnsi" w:cstheme="minorHAnsi"/>
                <w:b/>
                <w:bCs/>
                <w:color w:val="002060"/>
                <w:lang w:val="en-US"/>
              </w:rPr>
              <w:t>Greķe</w:t>
            </w:r>
            <w:proofErr w:type="spellEnd"/>
            <w:r w:rsidRPr="00411187">
              <w:rPr>
                <w:rFonts w:asciiTheme="minorHAnsi" w:eastAsiaTheme="minorEastAsia" w:hAnsiTheme="minorHAnsi" w:cstheme="minorHAnsi"/>
                <w:b/>
                <w:bCs/>
                <w:color w:val="002060"/>
                <w:lang w:val="en-US"/>
              </w:rPr>
              <w:t xml:space="preserve"> </w:t>
            </w:r>
          </w:p>
          <w:p w14:paraId="2848AA75"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(Cobalt)</w:t>
            </w:r>
          </w:p>
        </w:tc>
      </w:tr>
      <w:tr w:rsidR="00663ACF" w:rsidRPr="00411187" w14:paraId="757E50DB"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1025E4D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Malta</w:t>
            </w:r>
          </w:p>
        </w:tc>
        <w:tc>
          <w:tcPr>
            <w:tcW w:w="6798" w:type="dxa"/>
            <w:tcBorders>
              <w:top w:val="dashSmallGap" w:sz="4" w:space="0" w:color="auto"/>
              <w:left w:val="dashSmallGap" w:sz="4" w:space="0" w:color="auto"/>
              <w:bottom w:val="dashSmallGap" w:sz="4" w:space="0" w:color="auto"/>
              <w:right w:val="nil"/>
            </w:tcBorders>
            <w:vAlign w:val="center"/>
          </w:tcPr>
          <w:p w14:paraId="18C913E1"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Clement Mifsud Bonnici </w:t>
            </w:r>
          </w:p>
          <w:p w14:paraId="750C574E"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w:t>
            </w:r>
            <w:proofErr w:type="spellStart"/>
            <w:r w:rsidRPr="00411187">
              <w:rPr>
                <w:rFonts w:asciiTheme="minorHAnsi" w:eastAsiaTheme="minorEastAsia" w:hAnsiTheme="minorHAnsi" w:cstheme="minorHAnsi"/>
                <w:color w:val="002060"/>
                <w:lang w:val="en-US"/>
              </w:rPr>
              <w:t>Genado</w:t>
            </w:r>
            <w:proofErr w:type="spellEnd"/>
            <w:r w:rsidRPr="00411187">
              <w:rPr>
                <w:rFonts w:asciiTheme="minorHAnsi" w:eastAsiaTheme="minorEastAsia" w:hAnsiTheme="minorHAnsi" w:cstheme="minorHAnsi"/>
                <w:color w:val="002060"/>
                <w:lang w:val="en-US"/>
              </w:rPr>
              <w:t xml:space="preserve"> Advocates)</w:t>
            </w:r>
          </w:p>
        </w:tc>
      </w:tr>
      <w:tr w:rsidR="00663ACF" w:rsidRPr="00411187" w14:paraId="4E8F4602"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09F0D5C7"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Pr>
                <w:rFonts w:asciiTheme="minorHAnsi" w:hAnsiTheme="minorHAnsi" w:cstheme="minorHAnsi"/>
                <w:b/>
                <w:bCs/>
                <w:lang w:val="en-US" w:eastAsia="pl-PL"/>
              </w:rPr>
              <w:lastRenderedPageBreak/>
              <w:t>Netherlands</w:t>
            </w:r>
          </w:p>
        </w:tc>
        <w:tc>
          <w:tcPr>
            <w:tcW w:w="6798" w:type="dxa"/>
            <w:tcBorders>
              <w:top w:val="dashSmallGap" w:sz="4" w:space="0" w:color="auto"/>
              <w:left w:val="dashSmallGap" w:sz="4" w:space="0" w:color="auto"/>
              <w:bottom w:val="dashSmallGap" w:sz="4" w:space="0" w:color="auto"/>
              <w:right w:val="nil"/>
            </w:tcBorders>
            <w:vAlign w:val="center"/>
          </w:tcPr>
          <w:p w14:paraId="7745DC47"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Ward van Loo </w:t>
            </w:r>
          </w:p>
          <w:p w14:paraId="4E207758"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w:t>
            </w:r>
            <w:proofErr w:type="spellStart"/>
            <w:r w:rsidRPr="00411187">
              <w:rPr>
                <w:rFonts w:asciiTheme="minorHAnsi" w:hAnsiTheme="minorHAnsi" w:cstheme="minorHAnsi"/>
                <w:color w:val="002060"/>
                <w:lang w:val="en-US" w:eastAsia="pl-PL"/>
              </w:rPr>
              <w:t>Boels</w:t>
            </w:r>
            <w:proofErr w:type="spellEnd"/>
            <w:r w:rsidRPr="00411187">
              <w:rPr>
                <w:rFonts w:asciiTheme="minorHAnsi" w:hAnsiTheme="minorHAnsi" w:cstheme="minorHAnsi"/>
                <w:color w:val="002060"/>
                <w:lang w:val="en-US" w:eastAsia="pl-PL"/>
              </w:rPr>
              <w:t xml:space="preserve"> Zanders </w:t>
            </w:r>
            <w:proofErr w:type="spellStart"/>
            <w:r w:rsidRPr="00411187">
              <w:rPr>
                <w:rFonts w:asciiTheme="minorHAnsi" w:hAnsiTheme="minorHAnsi" w:cstheme="minorHAnsi"/>
                <w:color w:val="002060"/>
                <w:lang w:val="en-US" w:eastAsia="pl-PL"/>
              </w:rPr>
              <w:t>Advocaten</w:t>
            </w:r>
            <w:proofErr w:type="spellEnd"/>
            <w:r w:rsidRPr="00411187">
              <w:rPr>
                <w:rFonts w:asciiTheme="minorHAnsi" w:hAnsiTheme="minorHAnsi" w:cstheme="minorHAnsi"/>
                <w:color w:val="002060"/>
                <w:lang w:val="en-US" w:eastAsia="pl-PL"/>
              </w:rPr>
              <w:t>)</w:t>
            </w:r>
          </w:p>
        </w:tc>
      </w:tr>
      <w:tr w:rsidR="00663ACF" w:rsidRPr="00411187" w14:paraId="3B683A99"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697D88CD"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Norw</w:t>
            </w:r>
            <w:r>
              <w:rPr>
                <w:rFonts w:asciiTheme="minorHAnsi" w:hAnsiTheme="minorHAnsi" w:cstheme="minorHAnsi"/>
                <w:b/>
                <w:bCs/>
                <w:lang w:val="en-US" w:eastAsia="pl-PL"/>
              </w:rPr>
              <w:t>ay</w:t>
            </w:r>
          </w:p>
        </w:tc>
        <w:tc>
          <w:tcPr>
            <w:tcW w:w="6798" w:type="dxa"/>
            <w:tcBorders>
              <w:top w:val="dashSmallGap" w:sz="4" w:space="0" w:color="auto"/>
              <w:left w:val="dashSmallGap" w:sz="4" w:space="0" w:color="auto"/>
              <w:bottom w:val="dashSmallGap" w:sz="4" w:space="0" w:color="auto"/>
              <w:right w:val="nil"/>
            </w:tcBorders>
            <w:vAlign w:val="center"/>
          </w:tcPr>
          <w:p w14:paraId="0FF604A8"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Karen Anne </w:t>
            </w:r>
            <w:proofErr w:type="spellStart"/>
            <w:r w:rsidRPr="00411187">
              <w:rPr>
                <w:rFonts w:asciiTheme="minorHAnsi" w:eastAsiaTheme="minorEastAsia" w:hAnsiTheme="minorHAnsi" w:cstheme="minorHAnsi"/>
                <w:b/>
                <w:bCs/>
                <w:color w:val="002060"/>
                <w:lang w:val="en-US"/>
              </w:rPr>
              <w:t>Rekkedal</w:t>
            </w:r>
            <w:proofErr w:type="spellEnd"/>
            <w:r w:rsidRPr="00411187">
              <w:rPr>
                <w:rFonts w:asciiTheme="minorHAnsi" w:eastAsiaTheme="minorEastAsia" w:hAnsiTheme="minorHAnsi" w:cstheme="minorHAnsi"/>
                <w:b/>
                <w:bCs/>
                <w:color w:val="002060"/>
                <w:lang w:val="en-US"/>
              </w:rPr>
              <w:t xml:space="preserve">, Mads </w:t>
            </w:r>
            <w:proofErr w:type="spellStart"/>
            <w:r w:rsidRPr="00411187">
              <w:rPr>
                <w:rFonts w:asciiTheme="minorHAnsi" w:eastAsiaTheme="minorEastAsia" w:hAnsiTheme="minorHAnsi" w:cstheme="minorHAnsi"/>
                <w:b/>
                <w:bCs/>
                <w:color w:val="002060"/>
                <w:lang w:val="en-US"/>
              </w:rPr>
              <w:t>Fuglesang</w:t>
            </w:r>
            <w:proofErr w:type="spellEnd"/>
            <w:r w:rsidRPr="00411187">
              <w:rPr>
                <w:rFonts w:asciiTheme="minorHAnsi" w:eastAsiaTheme="minorEastAsia" w:hAnsiTheme="minorHAnsi" w:cstheme="minorHAnsi"/>
                <w:b/>
                <w:bCs/>
                <w:color w:val="002060"/>
                <w:lang w:val="en-US"/>
              </w:rPr>
              <w:t xml:space="preserve"> </w:t>
            </w:r>
          </w:p>
          <w:p w14:paraId="6C1D4EE3"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(Selmer)</w:t>
            </w:r>
          </w:p>
        </w:tc>
      </w:tr>
      <w:tr w:rsidR="00663ACF" w:rsidRPr="00411187" w14:paraId="3E455F94"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289CDB3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Portugal</w:t>
            </w:r>
          </w:p>
        </w:tc>
        <w:tc>
          <w:tcPr>
            <w:tcW w:w="6798" w:type="dxa"/>
            <w:tcBorders>
              <w:top w:val="dashSmallGap" w:sz="4" w:space="0" w:color="auto"/>
              <w:left w:val="dashSmallGap" w:sz="4" w:space="0" w:color="auto"/>
              <w:bottom w:val="dashSmallGap" w:sz="4" w:space="0" w:color="auto"/>
              <w:right w:val="nil"/>
            </w:tcBorders>
            <w:vAlign w:val="center"/>
          </w:tcPr>
          <w:p w14:paraId="2492D2CE"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Manuel Andrade Neves, Mafalda Teixeira de Abreu</w:t>
            </w:r>
          </w:p>
          <w:p w14:paraId="2FADEC0C"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 xml:space="preserve">(Abreu </w:t>
            </w:r>
            <w:proofErr w:type="spellStart"/>
            <w:r w:rsidRPr="00411187">
              <w:rPr>
                <w:rFonts w:asciiTheme="minorHAnsi" w:eastAsiaTheme="minorEastAsia" w:hAnsiTheme="minorHAnsi" w:cstheme="minorHAnsi"/>
                <w:color w:val="002060"/>
                <w:lang w:val="en-US"/>
              </w:rPr>
              <w:t>Advogados</w:t>
            </w:r>
            <w:proofErr w:type="spellEnd"/>
            <w:r w:rsidRPr="00411187">
              <w:rPr>
                <w:rFonts w:asciiTheme="minorHAnsi" w:eastAsiaTheme="minorEastAsia" w:hAnsiTheme="minorHAnsi" w:cstheme="minorHAnsi"/>
                <w:color w:val="002060"/>
                <w:lang w:val="en-US"/>
              </w:rPr>
              <w:t>)</w:t>
            </w:r>
          </w:p>
        </w:tc>
      </w:tr>
      <w:tr w:rsidR="00663ACF" w:rsidRPr="00411187" w14:paraId="215E8D6C"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067074BB"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R</w:t>
            </w:r>
            <w:r>
              <w:rPr>
                <w:rFonts w:asciiTheme="minorHAnsi" w:hAnsiTheme="minorHAnsi" w:cstheme="minorHAnsi"/>
                <w:b/>
                <w:bCs/>
                <w:lang w:val="en-US" w:eastAsia="pl-PL"/>
              </w:rPr>
              <w:t>o</w:t>
            </w:r>
            <w:r w:rsidRPr="00411187">
              <w:rPr>
                <w:rFonts w:asciiTheme="minorHAnsi" w:hAnsiTheme="minorHAnsi" w:cstheme="minorHAnsi"/>
                <w:b/>
                <w:bCs/>
                <w:lang w:val="en-US" w:eastAsia="pl-PL"/>
              </w:rPr>
              <w:t>m</w:t>
            </w:r>
            <w:r>
              <w:rPr>
                <w:rFonts w:asciiTheme="minorHAnsi" w:hAnsiTheme="minorHAnsi" w:cstheme="minorHAnsi"/>
                <w:b/>
                <w:bCs/>
                <w:lang w:val="en-US" w:eastAsia="pl-PL"/>
              </w:rPr>
              <w:t>a</w:t>
            </w:r>
            <w:r w:rsidRPr="00411187">
              <w:rPr>
                <w:rFonts w:asciiTheme="minorHAnsi" w:hAnsiTheme="minorHAnsi" w:cstheme="minorHAnsi"/>
                <w:b/>
                <w:bCs/>
                <w:lang w:val="en-US" w:eastAsia="pl-PL"/>
              </w:rPr>
              <w:t>nia</w:t>
            </w:r>
          </w:p>
        </w:tc>
        <w:tc>
          <w:tcPr>
            <w:tcW w:w="6798" w:type="dxa"/>
            <w:tcBorders>
              <w:top w:val="dashSmallGap" w:sz="4" w:space="0" w:color="auto"/>
              <w:left w:val="dashSmallGap" w:sz="4" w:space="0" w:color="auto"/>
              <w:bottom w:val="dashSmallGap" w:sz="4" w:space="0" w:color="auto"/>
              <w:right w:val="nil"/>
            </w:tcBorders>
            <w:vAlign w:val="center"/>
          </w:tcPr>
          <w:p w14:paraId="233AD3BF"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Andreea Sisman </w:t>
            </w:r>
          </w:p>
          <w:p w14:paraId="22DA0780"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 xml:space="preserve">(Clifford Chance </w:t>
            </w:r>
            <w:proofErr w:type="spellStart"/>
            <w:r w:rsidRPr="00411187">
              <w:rPr>
                <w:rFonts w:asciiTheme="minorHAnsi" w:eastAsiaTheme="minorEastAsia" w:hAnsiTheme="minorHAnsi" w:cstheme="minorHAnsi"/>
                <w:color w:val="002060"/>
                <w:lang w:val="en-US"/>
              </w:rPr>
              <w:t>Badea</w:t>
            </w:r>
            <w:proofErr w:type="spellEnd"/>
            <w:r w:rsidRPr="00411187">
              <w:rPr>
                <w:rFonts w:asciiTheme="minorHAnsi" w:eastAsiaTheme="minorEastAsia" w:hAnsiTheme="minorHAnsi" w:cstheme="minorHAnsi"/>
                <w:color w:val="002060"/>
                <w:lang w:val="en-US"/>
              </w:rPr>
              <w:t xml:space="preserve"> SRPL)</w:t>
            </w:r>
          </w:p>
        </w:tc>
      </w:tr>
      <w:tr w:rsidR="00663ACF" w:rsidRPr="00411187" w14:paraId="1E9023A7"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43642C7F"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S</w:t>
            </w:r>
            <w:r>
              <w:rPr>
                <w:rFonts w:asciiTheme="minorHAnsi" w:hAnsiTheme="minorHAnsi" w:cstheme="minorHAnsi"/>
                <w:b/>
                <w:bCs/>
                <w:lang w:val="en-US" w:eastAsia="pl-PL"/>
              </w:rPr>
              <w:t>l</w:t>
            </w:r>
            <w:r w:rsidRPr="00411187">
              <w:rPr>
                <w:rFonts w:asciiTheme="minorHAnsi" w:hAnsiTheme="minorHAnsi" w:cstheme="minorHAnsi"/>
                <w:b/>
                <w:bCs/>
                <w:lang w:val="en-US" w:eastAsia="pl-PL"/>
              </w:rPr>
              <w:t>o</w:t>
            </w:r>
            <w:r>
              <w:rPr>
                <w:rFonts w:asciiTheme="minorHAnsi" w:hAnsiTheme="minorHAnsi" w:cstheme="minorHAnsi"/>
                <w:b/>
                <w:bCs/>
                <w:lang w:val="en-US" w:eastAsia="pl-PL"/>
              </w:rPr>
              <w:t>v</w:t>
            </w:r>
            <w:r w:rsidRPr="00411187">
              <w:rPr>
                <w:rFonts w:asciiTheme="minorHAnsi" w:hAnsiTheme="minorHAnsi" w:cstheme="minorHAnsi"/>
                <w:b/>
                <w:bCs/>
                <w:lang w:val="en-US" w:eastAsia="pl-PL"/>
              </w:rPr>
              <w:t>a</w:t>
            </w:r>
            <w:r>
              <w:rPr>
                <w:rFonts w:asciiTheme="minorHAnsi" w:hAnsiTheme="minorHAnsi" w:cstheme="minorHAnsi"/>
                <w:b/>
                <w:bCs/>
                <w:lang w:val="en-US" w:eastAsia="pl-PL"/>
              </w:rPr>
              <w:t>ki</w:t>
            </w:r>
            <w:r w:rsidRPr="00411187">
              <w:rPr>
                <w:rFonts w:asciiTheme="minorHAnsi" w:hAnsiTheme="minorHAnsi" w:cstheme="minorHAnsi"/>
                <w:b/>
                <w:bCs/>
                <w:lang w:val="en-US" w:eastAsia="pl-PL"/>
              </w:rPr>
              <w:t>a</w:t>
            </w:r>
          </w:p>
        </w:tc>
        <w:tc>
          <w:tcPr>
            <w:tcW w:w="6798" w:type="dxa"/>
            <w:tcBorders>
              <w:top w:val="dashSmallGap" w:sz="4" w:space="0" w:color="auto"/>
              <w:left w:val="dashSmallGap" w:sz="4" w:space="0" w:color="auto"/>
              <w:bottom w:val="dashSmallGap" w:sz="4" w:space="0" w:color="auto"/>
              <w:right w:val="nil"/>
            </w:tcBorders>
            <w:vAlign w:val="center"/>
          </w:tcPr>
          <w:p w14:paraId="750BC9D1"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proofErr w:type="spellStart"/>
            <w:r w:rsidRPr="00411187">
              <w:rPr>
                <w:rFonts w:asciiTheme="minorHAnsi" w:eastAsiaTheme="minorEastAsia" w:hAnsiTheme="minorHAnsi" w:cstheme="minorHAnsi"/>
                <w:b/>
                <w:bCs/>
                <w:color w:val="002060"/>
                <w:lang w:val="en-US"/>
              </w:rPr>
              <w:t>Ján</w:t>
            </w:r>
            <w:proofErr w:type="spellEnd"/>
            <w:r w:rsidRPr="00411187">
              <w:rPr>
                <w:rFonts w:asciiTheme="minorHAnsi" w:eastAsiaTheme="minorEastAsia" w:hAnsiTheme="minorHAnsi" w:cstheme="minorHAnsi"/>
                <w:b/>
                <w:bCs/>
                <w:color w:val="002060"/>
                <w:lang w:val="en-US"/>
              </w:rPr>
              <w:t xml:space="preserve"> </w:t>
            </w:r>
            <w:proofErr w:type="spellStart"/>
            <w:r w:rsidRPr="00411187">
              <w:rPr>
                <w:rFonts w:asciiTheme="minorHAnsi" w:eastAsiaTheme="minorEastAsia" w:hAnsiTheme="minorHAnsi" w:cstheme="minorHAnsi"/>
                <w:b/>
                <w:bCs/>
                <w:color w:val="002060"/>
                <w:lang w:val="en-US"/>
              </w:rPr>
              <w:t>Azud</w:t>
            </w:r>
            <w:proofErr w:type="spellEnd"/>
            <w:r w:rsidRPr="00411187">
              <w:rPr>
                <w:rFonts w:asciiTheme="minorHAnsi" w:eastAsiaTheme="minorEastAsia" w:hAnsiTheme="minorHAnsi" w:cstheme="minorHAnsi"/>
                <w:b/>
                <w:bCs/>
                <w:color w:val="002060"/>
                <w:lang w:val="en-US"/>
              </w:rPr>
              <w:t xml:space="preserve"> </w:t>
            </w:r>
          </w:p>
          <w:p w14:paraId="604A5447"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w:t>
            </w:r>
            <w:proofErr w:type="spellStart"/>
            <w:r w:rsidRPr="00411187">
              <w:rPr>
                <w:rFonts w:asciiTheme="minorHAnsi" w:eastAsiaTheme="minorEastAsia" w:hAnsiTheme="minorHAnsi" w:cstheme="minorHAnsi"/>
                <w:color w:val="002060"/>
                <w:lang w:val="en-US"/>
              </w:rPr>
              <w:t>Ruzicka</w:t>
            </w:r>
            <w:proofErr w:type="spellEnd"/>
            <w:r w:rsidRPr="00411187">
              <w:rPr>
                <w:rFonts w:asciiTheme="minorHAnsi" w:eastAsiaTheme="minorEastAsia" w:hAnsiTheme="minorHAnsi" w:cstheme="minorHAnsi"/>
                <w:color w:val="002060"/>
                <w:lang w:val="en-US"/>
              </w:rPr>
              <w:t xml:space="preserve"> and Partners)</w:t>
            </w:r>
          </w:p>
        </w:tc>
      </w:tr>
      <w:tr w:rsidR="00663ACF" w:rsidRPr="00411187" w14:paraId="7B0BC37A"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1AB47AD0"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S</w:t>
            </w:r>
            <w:r>
              <w:rPr>
                <w:rFonts w:asciiTheme="minorHAnsi" w:hAnsiTheme="minorHAnsi" w:cstheme="minorHAnsi"/>
                <w:b/>
                <w:bCs/>
                <w:lang w:val="en-US" w:eastAsia="pl-PL"/>
              </w:rPr>
              <w:t>l</w:t>
            </w:r>
            <w:r w:rsidRPr="00411187">
              <w:rPr>
                <w:rFonts w:asciiTheme="minorHAnsi" w:hAnsiTheme="minorHAnsi" w:cstheme="minorHAnsi"/>
                <w:b/>
                <w:bCs/>
                <w:lang w:val="en-US" w:eastAsia="pl-PL"/>
              </w:rPr>
              <w:t>o</w:t>
            </w:r>
            <w:r>
              <w:rPr>
                <w:rFonts w:asciiTheme="minorHAnsi" w:hAnsiTheme="minorHAnsi" w:cstheme="minorHAnsi"/>
                <w:b/>
                <w:bCs/>
                <w:lang w:val="en-US" w:eastAsia="pl-PL"/>
              </w:rPr>
              <w:t>v</w:t>
            </w:r>
            <w:r w:rsidRPr="00411187">
              <w:rPr>
                <w:rFonts w:asciiTheme="minorHAnsi" w:hAnsiTheme="minorHAnsi" w:cstheme="minorHAnsi"/>
                <w:b/>
                <w:bCs/>
                <w:lang w:val="en-US" w:eastAsia="pl-PL"/>
              </w:rPr>
              <w:t>enia</w:t>
            </w:r>
          </w:p>
        </w:tc>
        <w:tc>
          <w:tcPr>
            <w:tcW w:w="6798" w:type="dxa"/>
            <w:tcBorders>
              <w:top w:val="dashSmallGap" w:sz="4" w:space="0" w:color="auto"/>
              <w:left w:val="dashSmallGap" w:sz="4" w:space="0" w:color="auto"/>
              <w:bottom w:val="dashSmallGap" w:sz="4" w:space="0" w:color="auto"/>
              <w:right w:val="nil"/>
            </w:tcBorders>
            <w:vAlign w:val="center"/>
          </w:tcPr>
          <w:p w14:paraId="18D8396F"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Ana </w:t>
            </w:r>
            <w:proofErr w:type="spellStart"/>
            <w:r w:rsidRPr="00411187">
              <w:rPr>
                <w:rFonts w:asciiTheme="minorHAnsi" w:eastAsiaTheme="minorEastAsia" w:hAnsiTheme="minorHAnsi" w:cstheme="minorHAnsi"/>
                <w:b/>
                <w:bCs/>
                <w:color w:val="002060"/>
                <w:lang w:val="en-US"/>
              </w:rPr>
              <w:t>Grabnar</w:t>
            </w:r>
            <w:proofErr w:type="spellEnd"/>
            <w:r w:rsidRPr="00411187">
              <w:rPr>
                <w:rFonts w:asciiTheme="minorHAnsi" w:eastAsiaTheme="minorEastAsia" w:hAnsiTheme="minorHAnsi" w:cstheme="minorHAnsi"/>
                <w:b/>
                <w:bCs/>
                <w:color w:val="002060"/>
                <w:lang w:val="en-US"/>
              </w:rPr>
              <w:t xml:space="preserve">, Robert </w:t>
            </w:r>
            <w:proofErr w:type="spellStart"/>
            <w:r w:rsidRPr="00411187">
              <w:rPr>
                <w:rFonts w:asciiTheme="minorHAnsi" w:eastAsiaTheme="minorEastAsia" w:hAnsiTheme="minorHAnsi" w:cstheme="minorHAnsi"/>
                <w:b/>
                <w:bCs/>
                <w:color w:val="002060"/>
                <w:lang w:val="en-US"/>
              </w:rPr>
              <w:t>Prelesnik</w:t>
            </w:r>
            <w:proofErr w:type="spellEnd"/>
            <w:r w:rsidRPr="00411187">
              <w:rPr>
                <w:rFonts w:asciiTheme="minorHAnsi" w:eastAsiaTheme="minorEastAsia" w:hAnsiTheme="minorHAnsi" w:cstheme="minorHAnsi"/>
                <w:b/>
                <w:bCs/>
                <w:color w:val="002060"/>
                <w:lang w:val="en-US"/>
              </w:rPr>
              <w:t xml:space="preserve"> </w:t>
            </w:r>
          </w:p>
          <w:p w14:paraId="3A200FD2"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w:t>
            </w:r>
            <w:proofErr w:type="spellStart"/>
            <w:r w:rsidRPr="00411187">
              <w:rPr>
                <w:rFonts w:asciiTheme="minorHAnsi" w:eastAsiaTheme="minorEastAsia" w:hAnsiTheme="minorHAnsi" w:cstheme="minorHAnsi"/>
                <w:color w:val="002060"/>
                <w:lang w:val="en-US"/>
              </w:rPr>
              <w:t>Rojs</w:t>
            </w:r>
            <w:proofErr w:type="spellEnd"/>
            <w:r w:rsidRPr="00411187">
              <w:rPr>
                <w:rFonts w:asciiTheme="minorHAnsi" w:eastAsiaTheme="minorEastAsia" w:hAnsiTheme="minorHAnsi" w:cstheme="minorHAnsi"/>
                <w:color w:val="002060"/>
                <w:lang w:val="en-US"/>
              </w:rPr>
              <w:t xml:space="preserve">, </w:t>
            </w:r>
            <w:proofErr w:type="spellStart"/>
            <w:r w:rsidRPr="00411187">
              <w:rPr>
                <w:rFonts w:asciiTheme="minorHAnsi" w:eastAsiaTheme="minorEastAsia" w:hAnsiTheme="minorHAnsi" w:cstheme="minorHAnsi"/>
                <w:color w:val="002060"/>
                <w:lang w:val="en-US"/>
              </w:rPr>
              <w:t>Peljhan</w:t>
            </w:r>
            <w:proofErr w:type="spellEnd"/>
            <w:r w:rsidRPr="00411187">
              <w:rPr>
                <w:rFonts w:asciiTheme="minorHAnsi" w:eastAsiaTheme="minorEastAsia" w:hAnsiTheme="minorHAnsi" w:cstheme="minorHAnsi"/>
                <w:color w:val="002060"/>
                <w:lang w:val="en-US"/>
              </w:rPr>
              <w:t xml:space="preserve">, </w:t>
            </w:r>
            <w:proofErr w:type="spellStart"/>
            <w:r w:rsidRPr="00411187">
              <w:rPr>
                <w:rFonts w:asciiTheme="minorHAnsi" w:eastAsiaTheme="minorEastAsia" w:hAnsiTheme="minorHAnsi" w:cstheme="minorHAnsi"/>
                <w:color w:val="002060"/>
                <w:lang w:val="en-US"/>
              </w:rPr>
              <w:t>Prelesnik</w:t>
            </w:r>
            <w:proofErr w:type="spellEnd"/>
            <w:r w:rsidRPr="00411187">
              <w:rPr>
                <w:rFonts w:asciiTheme="minorHAnsi" w:eastAsiaTheme="minorEastAsia" w:hAnsiTheme="minorHAnsi" w:cstheme="minorHAnsi"/>
                <w:color w:val="002060"/>
                <w:lang w:val="en-US"/>
              </w:rPr>
              <w:t xml:space="preserve"> and Partners)</w:t>
            </w:r>
          </w:p>
        </w:tc>
      </w:tr>
      <w:tr w:rsidR="00663ACF" w:rsidRPr="00411187" w14:paraId="0C0E0386"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0D571782"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Pr>
                <w:rFonts w:asciiTheme="minorHAnsi" w:hAnsiTheme="minorHAnsi" w:cstheme="minorHAnsi"/>
                <w:b/>
                <w:bCs/>
                <w:lang w:val="en-US" w:eastAsia="pl-PL"/>
              </w:rPr>
              <w:t>Spain</w:t>
            </w:r>
          </w:p>
        </w:tc>
        <w:tc>
          <w:tcPr>
            <w:tcW w:w="6798" w:type="dxa"/>
            <w:tcBorders>
              <w:top w:val="dashSmallGap" w:sz="4" w:space="0" w:color="auto"/>
              <w:left w:val="dashSmallGap" w:sz="4" w:space="0" w:color="auto"/>
              <w:bottom w:val="dashSmallGap" w:sz="4" w:space="0" w:color="auto"/>
              <w:right w:val="nil"/>
            </w:tcBorders>
            <w:vAlign w:val="center"/>
          </w:tcPr>
          <w:p w14:paraId="612D9730"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Elena </w:t>
            </w:r>
            <w:proofErr w:type="spellStart"/>
            <w:r w:rsidRPr="00411187">
              <w:rPr>
                <w:rFonts w:asciiTheme="minorHAnsi" w:eastAsiaTheme="minorEastAsia" w:hAnsiTheme="minorHAnsi" w:cstheme="minorHAnsi"/>
                <w:b/>
                <w:bCs/>
                <w:color w:val="002060"/>
                <w:lang w:val="en-US"/>
              </w:rPr>
              <w:t>Veleiro</w:t>
            </w:r>
            <w:proofErr w:type="spellEnd"/>
            <w:r w:rsidRPr="00411187">
              <w:rPr>
                <w:rFonts w:asciiTheme="minorHAnsi" w:eastAsiaTheme="minorEastAsia" w:hAnsiTheme="minorHAnsi" w:cstheme="minorHAnsi"/>
                <w:b/>
                <w:bCs/>
                <w:color w:val="002060"/>
                <w:lang w:val="en-US"/>
              </w:rPr>
              <w:t xml:space="preserve"> Couto, Juan Manuel Rodríguez </w:t>
            </w:r>
            <w:proofErr w:type="spellStart"/>
            <w:r w:rsidRPr="00411187">
              <w:rPr>
                <w:rFonts w:asciiTheme="minorHAnsi" w:eastAsiaTheme="minorEastAsia" w:hAnsiTheme="minorHAnsi" w:cstheme="minorHAnsi"/>
                <w:b/>
                <w:bCs/>
                <w:color w:val="002060"/>
                <w:lang w:val="en-US"/>
              </w:rPr>
              <w:t>Cárcamo</w:t>
            </w:r>
            <w:proofErr w:type="spellEnd"/>
            <w:r w:rsidRPr="00411187">
              <w:rPr>
                <w:rFonts w:asciiTheme="minorHAnsi" w:eastAsiaTheme="minorEastAsia" w:hAnsiTheme="minorHAnsi" w:cstheme="minorHAnsi"/>
                <w:b/>
                <w:bCs/>
                <w:color w:val="002060"/>
                <w:lang w:val="en-US"/>
              </w:rPr>
              <w:t xml:space="preserve"> </w:t>
            </w:r>
          </w:p>
          <w:p w14:paraId="2D0DF8C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(Pérez-</w:t>
            </w:r>
            <w:proofErr w:type="spellStart"/>
            <w:r w:rsidRPr="00411187">
              <w:rPr>
                <w:rFonts w:asciiTheme="minorHAnsi" w:eastAsiaTheme="minorEastAsia" w:hAnsiTheme="minorHAnsi" w:cstheme="minorHAnsi"/>
                <w:color w:val="002060"/>
                <w:lang w:val="en-US"/>
              </w:rPr>
              <w:t>Llorca</w:t>
            </w:r>
            <w:proofErr w:type="spellEnd"/>
            <w:r w:rsidRPr="00411187">
              <w:rPr>
                <w:rFonts w:asciiTheme="minorHAnsi" w:eastAsiaTheme="minorEastAsia" w:hAnsiTheme="minorHAnsi" w:cstheme="minorHAnsi"/>
                <w:color w:val="002060"/>
                <w:lang w:val="en-US"/>
              </w:rPr>
              <w:t>)</w:t>
            </w:r>
          </w:p>
        </w:tc>
      </w:tr>
      <w:tr w:rsidR="00663ACF" w:rsidRPr="00411187" w14:paraId="2E42D6A1"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10A9F09E"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S</w:t>
            </w:r>
            <w:r>
              <w:rPr>
                <w:rFonts w:asciiTheme="minorHAnsi" w:hAnsiTheme="minorHAnsi" w:cstheme="minorHAnsi"/>
                <w:b/>
                <w:bCs/>
                <w:lang w:val="en-US" w:eastAsia="pl-PL"/>
              </w:rPr>
              <w:t>weden</w:t>
            </w:r>
          </w:p>
        </w:tc>
        <w:tc>
          <w:tcPr>
            <w:tcW w:w="6798" w:type="dxa"/>
            <w:tcBorders>
              <w:top w:val="dashSmallGap" w:sz="4" w:space="0" w:color="auto"/>
              <w:left w:val="dashSmallGap" w:sz="4" w:space="0" w:color="auto"/>
              <w:bottom w:val="dashSmallGap" w:sz="4" w:space="0" w:color="auto"/>
              <w:right w:val="nil"/>
            </w:tcBorders>
            <w:vAlign w:val="center"/>
          </w:tcPr>
          <w:p w14:paraId="62809512"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Magnus Pauli </w:t>
            </w:r>
          </w:p>
          <w:p w14:paraId="79E3ABCD"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w:t>
            </w:r>
            <w:proofErr w:type="spellStart"/>
            <w:r w:rsidRPr="00411187">
              <w:rPr>
                <w:rFonts w:asciiTheme="minorHAnsi" w:eastAsiaTheme="minorEastAsia" w:hAnsiTheme="minorHAnsi" w:cstheme="minorHAnsi"/>
                <w:color w:val="002060"/>
                <w:lang w:val="en-US"/>
              </w:rPr>
              <w:t>Vinge</w:t>
            </w:r>
            <w:proofErr w:type="spellEnd"/>
            <w:r w:rsidRPr="00411187">
              <w:rPr>
                <w:rFonts w:asciiTheme="minorHAnsi" w:eastAsiaTheme="minorEastAsia" w:hAnsiTheme="minorHAnsi" w:cstheme="minorHAnsi"/>
                <w:color w:val="002060"/>
                <w:lang w:val="en-US"/>
              </w:rPr>
              <w:t xml:space="preserve"> </w:t>
            </w:r>
            <w:proofErr w:type="spellStart"/>
            <w:r w:rsidRPr="00411187">
              <w:rPr>
                <w:rFonts w:asciiTheme="minorHAnsi" w:eastAsiaTheme="minorEastAsia" w:hAnsiTheme="minorHAnsi" w:cstheme="minorHAnsi"/>
                <w:color w:val="002060"/>
                <w:lang w:val="en-US"/>
              </w:rPr>
              <w:t>Advokatfirman</w:t>
            </w:r>
            <w:proofErr w:type="spellEnd"/>
            <w:r w:rsidRPr="00411187">
              <w:rPr>
                <w:rFonts w:asciiTheme="minorHAnsi" w:eastAsiaTheme="minorEastAsia" w:hAnsiTheme="minorHAnsi" w:cstheme="minorHAnsi"/>
                <w:color w:val="002060"/>
                <w:lang w:val="en-US"/>
              </w:rPr>
              <w:t xml:space="preserve"> KB)</w:t>
            </w:r>
          </w:p>
        </w:tc>
      </w:tr>
      <w:tr w:rsidR="00663ACF" w:rsidRPr="00411187" w14:paraId="744D86F8"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55309B67"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sidRPr="00411187">
              <w:rPr>
                <w:rFonts w:asciiTheme="minorHAnsi" w:hAnsiTheme="minorHAnsi" w:cstheme="minorHAnsi"/>
                <w:b/>
                <w:bCs/>
                <w:lang w:val="en-US" w:eastAsia="pl-PL"/>
              </w:rPr>
              <w:t>Sw</w:t>
            </w:r>
            <w:r>
              <w:rPr>
                <w:rFonts w:asciiTheme="minorHAnsi" w:hAnsiTheme="minorHAnsi" w:cstheme="minorHAnsi"/>
                <w:b/>
                <w:bCs/>
                <w:lang w:val="en-US" w:eastAsia="pl-PL"/>
              </w:rPr>
              <w:t>itzerland</w:t>
            </w:r>
          </w:p>
        </w:tc>
        <w:tc>
          <w:tcPr>
            <w:tcW w:w="6798" w:type="dxa"/>
            <w:tcBorders>
              <w:top w:val="dashSmallGap" w:sz="4" w:space="0" w:color="auto"/>
              <w:left w:val="dashSmallGap" w:sz="4" w:space="0" w:color="auto"/>
              <w:bottom w:val="dashSmallGap" w:sz="4" w:space="0" w:color="auto"/>
              <w:right w:val="nil"/>
            </w:tcBorders>
            <w:vAlign w:val="center"/>
          </w:tcPr>
          <w:p w14:paraId="44C6B21B" w14:textId="56AD4E62"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Simona Mathieu, Olivier </w:t>
            </w:r>
            <w:proofErr w:type="spellStart"/>
            <w:r w:rsidRPr="00411187">
              <w:rPr>
                <w:rFonts w:asciiTheme="minorHAnsi" w:eastAsiaTheme="minorEastAsia" w:hAnsiTheme="minorHAnsi" w:cstheme="minorHAnsi"/>
                <w:b/>
                <w:bCs/>
                <w:color w:val="002060"/>
                <w:lang w:val="en-US"/>
              </w:rPr>
              <w:t>Faivre</w:t>
            </w:r>
            <w:proofErr w:type="spellEnd"/>
            <w:r w:rsidRPr="00411187">
              <w:rPr>
                <w:rFonts w:asciiTheme="minorHAnsi" w:eastAsiaTheme="minorEastAsia" w:hAnsiTheme="minorHAnsi" w:cstheme="minorHAnsi"/>
                <w:b/>
                <w:bCs/>
                <w:color w:val="002060"/>
                <w:lang w:val="en-US"/>
              </w:rPr>
              <w:t xml:space="preserve"> </w:t>
            </w:r>
          </w:p>
          <w:p w14:paraId="15ABA109"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w:t>
            </w:r>
            <w:proofErr w:type="spellStart"/>
            <w:r w:rsidRPr="00411187">
              <w:rPr>
                <w:rFonts w:asciiTheme="minorHAnsi" w:eastAsiaTheme="minorEastAsia" w:hAnsiTheme="minorHAnsi" w:cstheme="minorHAnsi"/>
                <w:color w:val="002060"/>
                <w:lang w:val="en-US"/>
              </w:rPr>
              <w:t>Bianchischwald</w:t>
            </w:r>
            <w:proofErr w:type="spellEnd"/>
            <w:r w:rsidRPr="00411187">
              <w:rPr>
                <w:rFonts w:asciiTheme="minorHAnsi" w:eastAsiaTheme="minorEastAsia" w:hAnsiTheme="minorHAnsi" w:cstheme="minorHAnsi"/>
                <w:color w:val="002060"/>
                <w:lang w:val="en-US"/>
              </w:rPr>
              <w:t xml:space="preserve"> LLC)</w:t>
            </w:r>
          </w:p>
        </w:tc>
      </w:tr>
      <w:tr w:rsidR="00663ACF" w:rsidRPr="00411187" w14:paraId="3E74E5DF" w14:textId="77777777" w:rsidTr="00663ACF">
        <w:tc>
          <w:tcPr>
            <w:tcW w:w="2830" w:type="dxa"/>
            <w:tcBorders>
              <w:top w:val="dashSmallGap" w:sz="4" w:space="0" w:color="auto"/>
              <w:left w:val="nil"/>
              <w:bottom w:val="dashSmallGap" w:sz="4" w:space="0" w:color="auto"/>
              <w:right w:val="dashSmallGap" w:sz="4" w:space="0" w:color="auto"/>
            </w:tcBorders>
            <w:shd w:val="clear" w:color="auto" w:fill="D3DFEE" w:themeFill="accent1" w:themeFillTint="3F"/>
            <w:vAlign w:val="center"/>
          </w:tcPr>
          <w:p w14:paraId="5D3FDAD8"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lang w:val="en-US"/>
              </w:rPr>
            </w:pPr>
            <w:r>
              <w:rPr>
                <w:rFonts w:asciiTheme="minorHAnsi" w:hAnsiTheme="minorHAnsi" w:cstheme="minorHAnsi"/>
                <w:b/>
                <w:bCs/>
                <w:lang w:val="en-US" w:eastAsia="pl-PL"/>
              </w:rPr>
              <w:t>United Kingdom</w:t>
            </w:r>
          </w:p>
        </w:tc>
        <w:tc>
          <w:tcPr>
            <w:tcW w:w="6798" w:type="dxa"/>
            <w:tcBorders>
              <w:top w:val="dashSmallGap" w:sz="4" w:space="0" w:color="auto"/>
              <w:left w:val="dashSmallGap" w:sz="4" w:space="0" w:color="auto"/>
              <w:bottom w:val="dashSmallGap" w:sz="4" w:space="0" w:color="auto"/>
              <w:right w:val="nil"/>
            </w:tcBorders>
            <w:vAlign w:val="center"/>
          </w:tcPr>
          <w:p w14:paraId="75BB68F5"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b/>
                <w:bCs/>
                <w:color w:val="002060"/>
                <w:lang w:val="en-US"/>
              </w:rPr>
            </w:pPr>
            <w:r w:rsidRPr="00411187">
              <w:rPr>
                <w:rFonts w:asciiTheme="minorHAnsi" w:eastAsiaTheme="minorEastAsia" w:hAnsiTheme="minorHAnsi" w:cstheme="minorHAnsi"/>
                <w:b/>
                <w:bCs/>
                <w:color w:val="002060"/>
                <w:lang w:val="en-US"/>
              </w:rPr>
              <w:t xml:space="preserve">David McGowan, Kirsti McKenzie, Viktoria </w:t>
            </w:r>
            <w:proofErr w:type="spellStart"/>
            <w:r w:rsidRPr="00411187">
              <w:rPr>
                <w:rFonts w:asciiTheme="minorHAnsi" w:eastAsiaTheme="minorEastAsia" w:hAnsiTheme="minorHAnsi" w:cstheme="minorHAnsi"/>
                <w:b/>
                <w:bCs/>
                <w:color w:val="002060"/>
                <w:lang w:val="en-US"/>
              </w:rPr>
              <w:t>Tsvetanova</w:t>
            </w:r>
            <w:proofErr w:type="spellEnd"/>
            <w:r w:rsidRPr="00411187">
              <w:rPr>
                <w:rFonts w:asciiTheme="minorHAnsi" w:eastAsiaTheme="minorEastAsia" w:hAnsiTheme="minorHAnsi" w:cstheme="minorHAnsi"/>
                <w:b/>
                <w:bCs/>
                <w:color w:val="002060"/>
                <w:lang w:val="en-US"/>
              </w:rPr>
              <w:t xml:space="preserve"> </w:t>
            </w:r>
          </w:p>
          <w:p w14:paraId="31B66CB3" w14:textId="77777777" w:rsidR="00663ACF" w:rsidRPr="00411187" w:rsidRDefault="00663ACF" w:rsidP="00663ACF">
            <w:pPr>
              <w:pStyle w:val="ColorfulList-Accent11"/>
              <w:spacing w:before="120" w:after="120"/>
              <w:ind w:left="0"/>
              <w:contextualSpacing w:val="0"/>
              <w:jc w:val="center"/>
              <w:rPr>
                <w:rFonts w:asciiTheme="minorHAnsi" w:eastAsiaTheme="minorEastAsia" w:hAnsiTheme="minorHAnsi" w:cstheme="minorHAnsi"/>
                <w:color w:val="002060"/>
                <w:lang w:val="en-US"/>
              </w:rPr>
            </w:pPr>
            <w:r w:rsidRPr="00411187">
              <w:rPr>
                <w:rFonts w:asciiTheme="minorHAnsi" w:eastAsiaTheme="minorEastAsia" w:hAnsiTheme="minorHAnsi" w:cstheme="minorHAnsi"/>
                <w:color w:val="002060"/>
                <w:lang w:val="en-US"/>
              </w:rPr>
              <w:t>(</w:t>
            </w:r>
            <w:r w:rsidRPr="00411187">
              <w:rPr>
                <w:rFonts w:asciiTheme="minorHAnsi" w:hAnsiTheme="minorHAnsi" w:cstheme="minorHAnsi"/>
                <w:bCs/>
                <w:color w:val="002060"/>
                <w:lang w:val="en-US" w:eastAsia="pl-PL"/>
              </w:rPr>
              <w:t>Dentons Europe LLP)</w:t>
            </w:r>
          </w:p>
        </w:tc>
      </w:tr>
    </w:tbl>
    <w:p w14:paraId="25A3637F" w14:textId="77777777" w:rsidR="00663ACF" w:rsidRPr="00411187" w:rsidRDefault="00663ACF" w:rsidP="00663ACF">
      <w:pPr>
        <w:pStyle w:val="ColorfulList-Accent11"/>
        <w:spacing w:after="240"/>
        <w:ind w:left="0"/>
        <w:contextualSpacing w:val="0"/>
        <w:jc w:val="both"/>
        <w:rPr>
          <w:rFonts w:ascii="Arial" w:eastAsiaTheme="minorEastAsia" w:hAnsi="Arial"/>
          <w:sz w:val="24"/>
          <w:szCs w:val="20"/>
          <w:lang w:val="en-US"/>
        </w:rPr>
      </w:pPr>
    </w:p>
    <w:p w14:paraId="082CBD8E" w14:textId="77777777" w:rsidR="00663ACF" w:rsidRPr="001512C7" w:rsidRDefault="00663ACF" w:rsidP="00663ACF"/>
    <w:p w14:paraId="3E220CCB" w14:textId="77777777" w:rsidR="00663ACF" w:rsidRDefault="00663ACF" w:rsidP="00663ACF">
      <w:pPr>
        <w:pStyle w:val="ListParagraph"/>
        <w:spacing w:after="200" w:line="276" w:lineRule="auto"/>
        <w:ind w:left="540"/>
        <w:rPr>
          <w:lang w:val="en-US"/>
        </w:rPr>
      </w:pPr>
    </w:p>
    <w:sectPr w:rsidR="00663ACF" w:rsidSect="007F0D15">
      <w:pgSz w:w="11906" w:h="16838" w:code="9"/>
      <w:pgMar w:top="2325" w:right="1134" w:bottom="1440" w:left="1134" w:header="720" w:footer="58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TAHQAYQBuAGQAYQByAGQAIABMADEA" wne:acdName="acd0" wne:fciIndexBasedOn="0065"/>
    <wne:acd wne:argValue="AgBTAHQAYQBuAGQAYQByAGQAIABMADIA" wne:acdName="acd1" wne:fciIndexBasedOn="0065"/>
    <wne:acd wne:argValue="AgBTAHQAYQBuAGQAYQByAGQAIABMADMA" wne:acdName="acd2" wne:fciIndexBasedOn="0065"/>
    <wne:acd wne:argValue="AgBTAHQAYQBuAGQAYQByAGQAIABMADQA" wne:acdName="acd3" wne:fciIndexBasedOn="0065"/>
    <wne:acd wne:argValue="AgBTAHQAYQBuAGQAYQByAGQAIABMADUA" wne:acdName="acd4" wne:fciIndexBasedOn="0065"/>
    <wne:acd wne:argValue="AgBTAHQAYQBuAGQAYQByAGQAIABMADYA" wne:acdName="acd5" wne:fciIndexBasedOn="0065"/>
    <wne:acd wne:argValue="AgBTAHQAYQBuAGQAYQByAGQAIABMADcA" wne:acdName="acd6" wne:fciIndexBasedOn="0065"/>
    <wne:acd wne:argValue="AgBTAHQAYQBuAGQAYQByAGQAIABMADgA" wne:acdName="acd7" wne:fciIndexBasedOn="0065"/>
    <wne:acd wne:argValue="AgBTAHQAYQBuAGQAYQByAGQ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FE1E0" w14:textId="77777777" w:rsidR="00F96C37" w:rsidRDefault="00F96C37" w:rsidP="005A0CAD">
      <w:r>
        <w:separator/>
      </w:r>
    </w:p>
  </w:endnote>
  <w:endnote w:type="continuationSeparator" w:id="0">
    <w:p w14:paraId="68295A7F" w14:textId="77777777" w:rsidR="00F96C37" w:rsidRDefault="00F96C37" w:rsidP="005A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EE"/>
    <w:family w:val="auto"/>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1A69" w14:textId="77777777" w:rsidR="00891124" w:rsidRDefault="00891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1685"/>
      <w:docPartObj>
        <w:docPartGallery w:val="Page Numbers (Bottom of Page)"/>
        <w:docPartUnique/>
      </w:docPartObj>
    </w:sdtPr>
    <w:sdtEndPr>
      <w:rPr>
        <w:noProof/>
      </w:rPr>
    </w:sdtEndPr>
    <w:sdtContent>
      <w:p w14:paraId="595B3F50" w14:textId="26D63E24" w:rsidR="00891124" w:rsidRDefault="00891124" w:rsidP="008E2304">
        <w:pPr>
          <w:pStyle w:val="Footer"/>
          <w:jc w:val="right"/>
        </w:pPr>
        <w:r>
          <w:rPr>
            <w:lang w:val="en"/>
          </w:rPr>
          <w:fldChar w:fldCharType="begin"/>
        </w:r>
        <w:r>
          <w:rPr>
            <w:lang w:val="en"/>
          </w:rPr>
          <w:instrText xml:space="preserve"> PAGE   \* MERGEFORMAT </w:instrText>
        </w:r>
        <w:r>
          <w:rPr>
            <w:lang w:val="en"/>
          </w:rPr>
          <w:fldChar w:fldCharType="separate"/>
        </w:r>
        <w:r>
          <w:rPr>
            <w:noProof/>
            <w:lang w:val="en"/>
          </w:rPr>
          <w:t>44</w:t>
        </w:r>
        <w:r>
          <w:rPr>
            <w:noProof/>
            <w:lang w:val="en"/>
          </w:rPr>
          <w:fldChar w:fldCharType="end"/>
        </w:r>
      </w:p>
    </w:sdtContent>
  </w:sdt>
  <w:tbl>
    <w:tblPr>
      <w:tblW w:w="0" w:type="auto"/>
      <w:tblLook w:val="04A0" w:firstRow="1" w:lastRow="0" w:firstColumn="1" w:lastColumn="0" w:noHBand="0" w:noVBand="1"/>
    </w:tblPr>
    <w:tblGrid>
      <w:gridCol w:w="3370"/>
      <w:gridCol w:w="236"/>
    </w:tblGrid>
    <w:tr w:rsidR="00891124" w14:paraId="639AB27E" w14:textId="77777777" w:rsidTr="002F6989">
      <w:tc>
        <w:tcPr>
          <w:tcW w:w="236" w:type="dxa"/>
        </w:tcPr>
        <w:tbl>
          <w:tblPr>
            <w:tblW w:w="0" w:type="auto"/>
            <w:tblLook w:val="04A0" w:firstRow="1" w:lastRow="0" w:firstColumn="1" w:lastColumn="0" w:noHBand="0" w:noVBand="1"/>
          </w:tblPr>
          <w:tblGrid>
            <w:gridCol w:w="1026"/>
            <w:gridCol w:w="2128"/>
          </w:tblGrid>
          <w:tr w:rsidR="00891124" w14:paraId="52DC3DA5" w14:textId="77777777" w:rsidTr="002F6989">
            <w:tc>
              <w:tcPr>
                <w:tcW w:w="0" w:type="auto"/>
              </w:tcPr>
              <w:p w14:paraId="1C98C2F8" w14:textId="77777777" w:rsidR="00891124" w:rsidRDefault="00891124" w:rsidP="002F6989">
                <w:pPr>
                  <w:pStyle w:val="Footer"/>
                </w:pPr>
                <w:r>
                  <w:rPr>
                    <w:noProof/>
                    <w:lang w:eastAsia="en-GB"/>
                  </w:rPr>
                  <w:drawing>
                    <wp:inline distT="0" distB="0" distL="0" distR="0" wp14:anchorId="67B8D409" wp14:editId="38AB3E01">
                      <wp:extent cx="506095" cy="494030"/>
                      <wp:effectExtent l="0" t="0" r="8255" b="127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494030"/>
                              </a:xfrm>
                              <a:prstGeom prst="rect">
                                <a:avLst/>
                              </a:prstGeom>
                              <a:noFill/>
                            </pic:spPr>
                          </pic:pic>
                        </a:graphicData>
                      </a:graphic>
                    </wp:inline>
                  </w:drawing>
                </w:r>
              </w:p>
            </w:tc>
            <w:tc>
              <w:tcPr>
                <w:tcW w:w="0" w:type="auto"/>
              </w:tcPr>
              <w:p w14:paraId="2B7C74F1" w14:textId="77777777" w:rsidR="00891124" w:rsidRPr="00E331A2" w:rsidRDefault="00891124" w:rsidP="002F6989">
                <w:pPr>
                  <w:pStyle w:val="Footer"/>
                  <w:rPr>
                    <w:rFonts w:cs="Arial"/>
                    <w:color w:val="548DD4" w:themeColor="text2" w:themeTint="99"/>
                  </w:rPr>
                </w:pPr>
                <w:r>
                  <w:rPr>
                    <w:rFonts w:cs="Arial"/>
                    <w:color w:val="548DD4" w:themeColor="text2" w:themeTint="99"/>
                    <w:lang w:val="en"/>
                  </w:rPr>
                  <w:t>www.stowarzyszeniepzp.pl</w:t>
                </w:r>
              </w:p>
              <w:p w14:paraId="609F1B03" w14:textId="77777777" w:rsidR="00891124" w:rsidRDefault="00891124" w:rsidP="002F6989">
                <w:pPr>
                  <w:pStyle w:val="Footer"/>
                </w:pPr>
              </w:p>
            </w:tc>
          </w:tr>
        </w:tbl>
        <w:p w14:paraId="6635D0EF" w14:textId="77777777" w:rsidR="00891124" w:rsidRDefault="00891124" w:rsidP="002F6989">
          <w:pPr>
            <w:pStyle w:val="Footer"/>
          </w:pPr>
        </w:p>
      </w:tc>
      <w:tc>
        <w:tcPr>
          <w:tcW w:w="236" w:type="dxa"/>
        </w:tcPr>
        <w:p w14:paraId="399D538A" w14:textId="77777777" w:rsidR="00891124" w:rsidRDefault="00891124" w:rsidP="002F6989">
          <w:pPr>
            <w:pStyle w:val="Footer"/>
          </w:pPr>
        </w:p>
      </w:tc>
    </w:tr>
  </w:tbl>
  <w:p w14:paraId="40BE720D" w14:textId="77777777" w:rsidR="00891124" w:rsidRDefault="00891124" w:rsidP="005709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959288"/>
      <w:docPartObj>
        <w:docPartGallery w:val="Page Numbers (Bottom of Page)"/>
        <w:docPartUnique/>
      </w:docPartObj>
    </w:sdtPr>
    <w:sdtEndPr>
      <w:rPr>
        <w:noProof/>
      </w:rPr>
    </w:sdtEndPr>
    <w:sdtContent>
      <w:p w14:paraId="1D131621" w14:textId="77777777" w:rsidR="00891124" w:rsidRDefault="0057019B">
        <w:pPr>
          <w:pStyle w:val="Footer"/>
          <w:jc w:val="right"/>
        </w:pPr>
      </w:p>
    </w:sdtContent>
  </w:sdt>
  <w:tbl>
    <w:tblPr>
      <w:tblW w:w="0" w:type="auto"/>
      <w:tblLook w:val="04A0" w:firstRow="1" w:lastRow="0" w:firstColumn="1" w:lastColumn="0" w:noHBand="0" w:noVBand="1"/>
    </w:tblPr>
    <w:tblGrid>
      <w:gridCol w:w="3370"/>
      <w:gridCol w:w="236"/>
    </w:tblGrid>
    <w:tr w:rsidR="00891124" w14:paraId="7C42BBA3" w14:textId="77777777" w:rsidTr="00BF35B0">
      <w:tc>
        <w:tcPr>
          <w:tcW w:w="236" w:type="dxa"/>
        </w:tcPr>
        <w:tbl>
          <w:tblPr>
            <w:tblW w:w="0" w:type="auto"/>
            <w:tblLook w:val="04A0" w:firstRow="1" w:lastRow="0" w:firstColumn="1" w:lastColumn="0" w:noHBand="0" w:noVBand="1"/>
          </w:tblPr>
          <w:tblGrid>
            <w:gridCol w:w="1026"/>
            <w:gridCol w:w="2128"/>
          </w:tblGrid>
          <w:tr w:rsidR="00891124" w14:paraId="6E5734FC" w14:textId="77777777" w:rsidTr="002F6989">
            <w:tc>
              <w:tcPr>
                <w:tcW w:w="0" w:type="auto"/>
              </w:tcPr>
              <w:p w14:paraId="0044B5D3" w14:textId="77777777" w:rsidR="00891124" w:rsidRDefault="00891124" w:rsidP="002F6989">
                <w:pPr>
                  <w:pStyle w:val="Footer"/>
                </w:pPr>
                <w:r>
                  <w:rPr>
                    <w:noProof/>
                    <w:lang w:eastAsia="en-GB"/>
                  </w:rPr>
                  <w:drawing>
                    <wp:inline distT="0" distB="0" distL="0" distR="0" wp14:anchorId="3A95F681" wp14:editId="261E9552">
                      <wp:extent cx="506095" cy="494030"/>
                      <wp:effectExtent l="0" t="0" r="8255" b="127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494030"/>
                              </a:xfrm>
                              <a:prstGeom prst="rect">
                                <a:avLst/>
                              </a:prstGeom>
                              <a:noFill/>
                            </pic:spPr>
                          </pic:pic>
                        </a:graphicData>
                      </a:graphic>
                    </wp:inline>
                  </w:drawing>
                </w:r>
              </w:p>
            </w:tc>
            <w:tc>
              <w:tcPr>
                <w:tcW w:w="0" w:type="auto"/>
              </w:tcPr>
              <w:p w14:paraId="67001E37" w14:textId="77777777" w:rsidR="00891124" w:rsidRPr="00E331A2" w:rsidRDefault="00891124" w:rsidP="002F6989">
                <w:pPr>
                  <w:pStyle w:val="Footer"/>
                  <w:rPr>
                    <w:rFonts w:cs="Arial"/>
                    <w:color w:val="548DD4" w:themeColor="text2" w:themeTint="99"/>
                  </w:rPr>
                </w:pPr>
                <w:r>
                  <w:rPr>
                    <w:rFonts w:cs="Arial"/>
                    <w:color w:val="548DD4" w:themeColor="text2" w:themeTint="99"/>
                    <w:lang w:val="en"/>
                  </w:rPr>
                  <w:t>www.stowarzyszeniepzp.pl</w:t>
                </w:r>
              </w:p>
              <w:p w14:paraId="0A941786" w14:textId="77777777" w:rsidR="00891124" w:rsidRDefault="00891124" w:rsidP="002F6989">
                <w:pPr>
                  <w:pStyle w:val="Footer"/>
                </w:pPr>
              </w:p>
            </w:tc>
          </w:tr>
        </w:tbl>
        <w:p w14:paraId="2298A86D" w14:textId="77777777" w:rsidR="00891124" w:rsidRDefault="00891124" w:rsidP="002F6989">
          <w:pPr>
            <w:pStyle w:val="Footer"/>
          </w:pPr>
        </w:p>
      </w:tc>
      <w:tc>
        <w:tcPr>
          <w:tcW w:w="236" w:type="dxa"/>
        </w:tcPr>
        <w:p w14:paraId="55822142" w14:textId="77777777" w:rsidR="00891124" w:rsidRDefault="00891124" w:rsidP="002F6989">
          <w:pPr>
            <w:pStyle w:val="Footer"/>
          </w:pPr>
        </w:p>
      </w:tc>
    </w:tr>
  </w:tbl>
  <w:p w14:paraId="2725542D" w14:textId="77777777" w:rsidR="00891124" w:rsidRDefault="00891124" w:rsidP="00C70361">
    <w:pPr>
      <w:pStyle w:val="Disclaimer"/>
      <w:spacing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0972"/>
      <w:docPartObj>
        <w:docPartGallery w:val="Page Numbers (Bottom of Page)"/>
        <w:docPartUnique/>
      </w:docPartObj>
    </w:sdtPr>
    <w:sdtEndPr>
      <w:rPr>
        <w:noProof/>
      </w:rPr>
    </w:sdtEndPr>
    <w:sdtContent>
      <w:p w14:paraId="131394AB" w14:textId="4C1B7C22" w:rsidR="00891124" w:rsidRDefault="00891124">
        <w:pPr>
          <w:pStyle w:val="Footer"/>
          <w:jc w:val="right"/>
        </w:pPr>
        <w:r>
          <w:rPr>
            <w:lang w:val="en"/>
          </w:rPr>
          <w:fldChar w:fldCharType="begin"/>
        </w:r>
        <w:r>
          <w:rPr>
            <w:lang w:val="en"/>
          </w:rPr>
          <w:instrText xml:space="preserve"> PAGE   \* MERGEFORMAT </w:instrText>
        </w:r>
        <w:r>
          <w:rPr>
            <w:lang w:val="en"/>
          </w:rPr>
          <w:fldChar w:fldCharType="separate"/>
        </w:r>
        <w:r>
          <w:rPr>
            <w:noProof/>
            <w:lang w:val="en"/>
          </w:rPr>
          <w:t>8</w:t>
        </w:r>
        <w:r>
          <w:rPr>
            <w:noProof/>
            <w:lang w:val="en"/>
          </w:rPr>
          <w:fldChar w:fldCharType="end"/>
        </w:r>
      </w:p>
    </w:sdtContent>
  </w:sdt>
  <w:tbl>
    <w:tblPr>
      <w:tblW w:w="0" w:type="auto"/>
      <w:tblLook w:val="04A0" w:firstRow="1" w:lastRow="0" w:firstColumn="1" w:lastColumn="0" w:noHBand="0" w:noVBand="1"/>
    </w:tblPr>
    <w:tblGrid>
      <w:gridCol w:w="3370"/>
      <w:gridCol w:w="236"/>
    </w:tblGrid>
    <w:tr w:rsidR="00891124" w14:paraId="3FC69DF9" w14:textId="77777777" w:rsidTr="00BF35B0">
      <w:tc>
        <w:tcPr>
          <w:tcW w:w="236" w:type="dxa"/>
        </w:tcPr>
        <w:tbl>
          <w:tblPr>
            <w:tblW w:w="0" w:type="auto"/>
            <w:tblLook w:val="04A0" w:firstRow="1" w:lastRow="0" w:firstColumn="1" w:lastColumn="0" w:noHBand="0" w:noVBand="1"/>
          </w:tblPr>
          <w:tblGrid>
            <w:gridCol w:w="1026"/>
            <w:gridCol w:w="2128"/>
          </w:tblGrid>
          <w:tr w:rsidR="00891124" w14:paraId="027A7B08" w14:textId="77777777" w:rsidTr="002F6989">
            <w:tc>
              <w:tcPr>
                <w:tcW w:w="0" w:type="auto"/>
              </w:tcPr>
              <w:p w14:paraId="713B2FDF" w14:textId="77777777" w:rsidR="00891124" w:rsidRDefault="00891124" w:rsidP="002F6989">
                <w:pPr>
                  <w:pStyle w:val="Footer"/>
                </w:pPr>
                <w:r>
                  <w:rPr>
                    <w:noProof/>
                    <w:lang w:eastAsia="en-GB"/>
                  </w:rPr>
                  <w:drawing>
                    <wp:inline distT="0" distB="0" distL="0" distR="0" wp14:anchorId="5656A26F" wp14:editId="54A25916">
                      <wp:extent cx="506095" cy="494030"/>
                      <wp:effectExtent l="0" t="0" r="8255" b="127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494030"/>
                              </a:xfrm>
                              <a:prstGeom prst="rect">
                                <a:avLst/>
                              </a:prstGeom>
                              <a:noFill/>
                            </pic:spPr>
                          </pic:pic>
                        </a:graphicData>
                      </a:graphic>
                    </wp:inline>
                  </w:drawing>
                </w:r>
              </w:p>
            </w:tc>
            <w:tc>
              <w:tcPr>
                <w:tcW w:w="0" w:type="auto"/>
              </w:tcPr>
              <w:p w14:paraId="06A8705B" w14:textId="77777777" w:rsidR="00891124" w:rsidRPr="00E331A2" w:rsidRDefault="00891124" w:rsidP="002F6989">
                <w:pPr>
                  <w:pStyle w:val="Footer"/>
                  <w:rPr>
                    <w:rFonts w:cs="Arial"/>
                    <w:color w:val="548DD4" w:themeColor="text2" w:themeTint="99"/>
                  </w:rPr>
                </w:pPr>
                <w:r>
                  <w:rPr>
                    <w:rFonts w:cs="Arial"/>
                    <w:color w:val="548DD4" w:themeColor="text2" w:themeTint="99"/>
                    <w:lang w:val="en"/>
                  </w:rPr>
                  <w:t>www.stowarzyszeniepzp.pl</w:t>
                </w:r>
              </w:p>
              <w:p w14:paraId="06EB0DBB" w14:textId="77777777" w:rsidR="00891124" w:rsidRDefault="00891124" w:rsidP="002F6989">
                <w:pPr>
                  <w:pStyle w:val="Footer"/>
                </w:pPr>
              </w:p>
            </w:tc>
          </w:tr>
        </w:tbl>
        <w:p w14:paraId="2FCE88F2" w14:textId="77777777" w:rsidR="00891124" w:rsidRDefault="00891124" w:rsidP="002F6989">
          <w:pPr>
            <w:pStyle w:val="Footer"/>
          </w:pPr>
        </w:p>
      </w:tc>
      <w:tc>
        <w:tcPr>
          <w:tcW w:w="236" w:type="dxa"/>
        </w:tcPr>
        <w:p w14:paraId="216877BF" w14:textId="77777777" w:rsidR="00891124" w:rsidRDefault="00891124" w:rsidP="002F6989">
          <w:pPr>
            <w:pStyle w:val="Footer"/>
          </w:pPr>
        </w:p>
      </w:tc>
    </w:tr>
  </w:tbl>
  <w:p w14:paraId="41A72D27" w14:textId="77777777" w:rsidR="00891124" w:rsidRDefault="00891124" w:rsidP="002144C8">
    <w:pPr>
      <w:pStyle w:val="Disclaim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1F6F6" w14:textId="77777777" w:rsidR="00F96C37" w:rsidRDefault="00F96C37" w:rsidP="005A0CAD">
      <w:r>
        <w:separator/>
      </w:r>
    </w:p>
  </w:footnote>
  <w:footnote w:type="continuationSeparator" w:id="0">
    <w:p w14:paraId="4B1FAB6D" w14:textId="77777777" w:rsidR="00F96C37" w:rsidRDefault="00F96C37" w:rsidP="005A0CAD">
      <w:r>
        <w:continuationSeparator/>
      </w:r>
    </w:p>
  </w:footnote>
  <w:footnote w:id="1">
    <w:p w14:paraId="56EDABCC" w14:textId="3E85BA36" w:rsidR="00891124" w:rsidRPr="00663ACF" w:rsidRDefault="00891124" w:rsidP="002A0DFA">
      <w:pPr>
        <w:pStyle w:val="FootnoteText"/>
        <w:spacing w:after="120"/>
        <w:jc w:val="both"/>
        <w:rPr>
          <w:rFonts w:asciiTheme="majorHAnsi" w:hAnsiTheme="majorHAnsi" w:cstheme="majorHAnsi"/>
          <w:sz w:val="20"/>
          <w:lang w:val="en-US"/>
        </w:rPr>
      </w:pPr>
      <w:r w:rsidRPr="00663ACF">
        <w:rPr>
          <w:rStyle w:val="FootnoteReference"/>
          <w:rFonts w:asciiTheme="majorHAnsi" w:hAnsiTheme="majorHAnsi" w:cstheme="majorHAnsi"/>
          <w:sz w:val="20"/>
        </w:rPr>
        <w:footnoteRef/>
      </w:r>
      <w:r w:rsidRPr="00663ACF">
        <w:rPr>
          <w:rFonts w:asciiTheme="majorHAnsi" w:hAnsiTheme="majorHAnsi" w:cstheme="majorHAnsi"/>
          <w:sz w:val="20"/>
          <w:lang w:val="en-US"/>
        </w:rPr>
        <w:t xml:space="preserve"> Legal advisor, Dr. Hab., counsel at Clifford Chance Janicka, Krużewski, Namiotkiewicz </w:t>
      </w:r>
      <w:r w:rsidRPr="00663ACF">
        <w:rPr>
          <w:rFonts w:asciiTheme="majorHAnsi" w:hAnsiTheme="majorHAnsi" w:cstheme="majorHAnsi"/>
          <w:sz w:val="20"/>
          <w:lang w:val="en-US"/>
        </w:rPr>
        <w:br/>
        <w:t>i wspólnicy sp.k.</w:t>
      </w:r>
    </w:p>
  </w:footnote>
  <w:footnote w:id="2">
    <w:p w14:paraId="273D7CE3" w14:textId="04405E24" w:rsidR="00891124" w:rsidRPr="00663ACF" w:rsidRDefault="00891124" w:rsidP="002A0DFA">
      <w:pPr>
        <w:pStyle w:val="FootnoteText"/>
        <w:spacing w:after="120"/>
        <w:rPr>
          <w:rFonts w:asciiTheme="majorHAnsi" w:hAnsiTheme="majorHAnsi" w:cstheme="majorHAnsi"/>
          <w:sz w:val="20"/>
        </w:rPr>
      </w:pPr>
      <w:r w:rsidRPr="00663ACF">
        <w:rPr>
          <w:rStyle w:val="FootnoteReference"/>
          <w:rFonts w:asciiTheme="majorHAnsi" w:hAnsiTheme="majorHAnsi" w:cstheme="majorHAnsi"/>
          <w:sz w:val="20"/>
        </w:rPr>
        <w:footnoteRef/>
      </w:r>
      <w:r w:rsidRPr="00663ACF">
        <w:rPr>
          <w:rFonts w:asciiTheme="majorHAnsi" w:hAnsiTheme="majorHAnsi" w:cstheme="majorHAnsi"/>
          <w:sz w:val="20"/>
        </w:rPr>
        <w:t xml:space="preserve"> Advocate, partner at WKB Wierciński, Kwieciński, Baehr sp.k.</w:t>
      </w:r>
    </w:p>
  </w:footnote>
  <w:footnote w:id="3">
    <w:p w14:paraId="0AF75797" w14:textId="1BA696EA" w:rsidR="00891124" w:rsidRPr="00663ACF" w:rsidRDefault="00891124">
      <w:pPr>
        <w:pStyle w:val="FootnoteText"/>
        <w:rPr>
          <w:rFonts w:asciiTheme="majorHAnsi" w:hAnsiTheme="majorHAnsi" w:cstheme="majorHAnsi"/>
          <w:color w:val="1F497D" w:themeColor="text2"/>
          <w:sz w:val="20"/>
          <w:lang w:val="en-US"/>
        </w:rPr>
      </w:pPr>
      <w:r w:rsidRPr="00663ACF">
        <w:rPr>
          <w:rStyle w:val="FootnoteReference"/>
          <w:rFonts w:asciiTheme="majorHAnsi" w:hAnsiTheme="majorHAnsi" w:cstheme="majorHAnsi"/>
          <w:color w:val="1F497D" w:themeColor="text2"/>
          <w:sz w:val="20"/>
          <w:lang w:val="en"/>
        </w:rPr>
        <w:footnoteRef/>
      </w:r>
      <w:r w:rsidRPr="00663ACF">
        <w:rPr>
          <w:rFonts w:asciiTheme="majorHAnsi" w:hAnsiTheme="majorHAnsi" w:cstheme="majorHAnsi"/>
          <w:color w:val="1F497D" w:themeColor="text2"/>
          <w:sz w:val="20"/>
          <w:lang w:val="en"/>
        </w:rPr>
        <w:t xml:space="preserve"> </w:t>
      </w:r>
      <w:bookmarkStart w:id="2" w:name="_Hlk19022986"/>
      <w:r w:rsidRPr="00663ACF">
        <w:rPr>
          <w:rFonts w:asciiTheme="majorHAnsi" w:hAnsiTheme="majorHAnsi" w:cstheme="majorHAnsi"/>
          <w:color w:val="1F497D" w:themeColor="text2"/>
          <w:sz w:val="20"/>
          <w:lang w:val="en"/>
        </w:rPr>
        <w:t>OJ of 28 March 2014, series L 94, p. 65</w:t>
      </w:r>
      <w:bookmarkEnd w:id="2"/>
      <w:r w:rsidRPr="00663ACF">
        <w:rPr>
          <w:rFonts w:asciiTheme="majorHAnsi" w:hAnsiTheme="majorHAnsi" w:cstheme="majorHAnsi"/>
          <w:color w:val="1F497D" w:themeColor="text2"/>
          <w:sz w:val="20"/>
          <w:lang w:val="en"/>
        </w:rPr>
        <w:t>.</w:t>
      </w:r>
    </w:p>
  </w:footnote>
  <w:footnote w:id="4">
    <w:p w14:paraId="242841C8" w14:textId="6416E97F" w:rsidR="00891124" w:rsidRPr="00663ACF" w:rsidRDefault="00891124" w:rsidP="00582CE0">
      <w:pPr>
        <w:pStyle w:val="FootnoteText"/>
        <w:spacing w:after="120"/>
        <w:rPr>
          <w:rFonts w:asciiTheme="majorHAnsi" w:hAnsiTheme="majorHAnsi" w:cstheme="majorHAnsi"/>
          <w:sz w:val="20"/>
          <w:lang w:val="en-GB"/>
        </w:rPr>
      </w:pPr>
      <w:r w:rsidRPr="00663ACF">
        <w:rPr>
          <w:rStyle w:val="FootnoteReference"/>
          <w:rFonts w:asciiTheme="majorHAnsi" w:hAnsiTheme="majorHAnsi" w:cstheme="majorHAnsi"/>
          <w:sz w:val="20"/>
        </w:rPr>
        <w:footnoteRef/>
      </w:r>
      <w:r w:rsidRPr="00663ACF">
        <w:rPr>
          <w:rFonts w:asciiTheme="majorHAnsi" w:hAnsiTheme="majorHAnsi" w:cstheme="majorHAnsi"/>
          <w:sz w:val="20"/>
          <w:lang w:val="en-US"/>
        </w:rPr>
        <w:t xml:space="preserve"> </w:t>
      </w:r>
      <w:r w:rsidRPr="00663ACF">
        <w:rPr>
          <w:rFonts w:asciiTheme="majorHAnsi" w:hAnsiTheme="majorHAnsi" w:cstheme="majorHAnsi"/>
          <w:sz w:val="20"/>
          <w:lang w:val="en-GB"/>
        </w:rPr>
        <w:t>Taking into account the provisions contained in Article 57 section 2 of Directive 2014/24/EU.</w:t>
      </w:r>
    </w:p>
  </w:footnote>
  <w:footnote w:id="5">
    <w:p w14:paraId="37706010" w14:textId="77777777" w:rsidR="00891124" w:rsidRPr="00663ACF" w:rsidRDefault="00891124" w:rsidP="001D3E3B">
      <w:pPr>
        <w:pStyle w:val="FootnoteText"/>
        <w:spacing w:after="120"/>
        <w:jc w:val="both"/>
        <w:rPr>
          <w:rFonts w:asciiTheme="majorHAnsi" w:hAnsiTheme="majorHAnsi" w:cstheme="majorHAnsi"/>
          <w:sz w:val="20"/>
          <w:lang w:val="en-GB"/>
        </w:rPr>
      </w:pPr>
      <w:r w:rsidRPr="00663ACF">
        <w:rPr>
          <w:rStyle w:val="FootnoteReference"/>
          <w:rFonts w:asciiTheme="majorHAnsi" w:hAnsiTheme="majorHAnsi" w:cstheme="majorHAnsi"/>
          <w:sz w:val="20"/>
        </w:rPr>
        <w:footnoteRef/>
      </w:r>
      <w:r w:rsidRPr="00663ACF">
        <w:rPr>
          <w:rFonts w:asciiTheme="majorHAnsi" w:hAnsiTheme="majorHAnsi" w:cstheme="majorHAnsi"/>
          <w:sz w:val="20"/>
          <w:lang w:val="en-US"/>
        </w:rPr>
        <w:t xml:space="preserve"> </w:t>
      </w:r>
      <w:r w:rsidRPr="00663ACF">
        <w:rPr>
          <w:rFonts w:asciiTheme="majorHAnsi" w:hAnsiTheme="majorHAnsi" w:cstheme="majorHAnsi"/>
          <w:sz w:val="20"/>
          <w:lang w:val="en-GB"/>
        </w:rPr>
        <w:t>In procedures carried out without announcements, in information notes delivered to invited economic operators.</w:t>
      </w:r>
    </w:p>
  </w:footnote>
  <w:footnote w:id="6">
    <w:p w14:paraId="6D220772" w14:textId="77777777" w:rsidR="00891124" w:rsidRPr="00663ACF" w:rsidRDefault="00891124" w:rsidP="00582CE0">
      <w:pPr>
        <w:pStyle w:val="FootnoteText"/>
        <w:spacing w:after="120"/>
        <w:jc w:val="both"/>
        <w:rPr>
          <w:rFonts w:asciiTheme="majorHAnsi" w:hAnsiTheme="majorHAnsi" w:cstheme="majorHAnsi"/>
          <w:sz w:val="20"/>
          <w:lang w:val="en-GB"/>
        </w:rPr>
      </w:pPr>
      <w:r w:rsidRPr="00663ACF">
        <w:rPr>
          <w:rStyle w:val="FootnoteReference"/>
          <w:rFonts w:asciiTheme="majorHAnsi" w:hAnsiTheme="majorHAnsi" w:cstheme="majorHAnsi"/>
          <w:sz w:val="20"/>
          <w:lang w:val="en-GB"/>
        </w:rPr>
        <w:footnoteRef/>
      </w:r>
      <w:r w:rsidRPr="00663ACF">
        <w:rPr>
          <w:rFonts w:asciiTheme="majorHAnsi" w:hAnsiTheme="majorHAnsi" w:cstheme="majorHAnsi"/>
          <w:sz w:val="20"/>
          <w:lang w:val="en-GB"/>
        </w:rPr>
        <w:t xml:space="preserve"> Cf. Article 24.6 of the Public Procurement Law of 29 January 2004 (i.e. Journal of Laws </w:t>
      </w:r>
      <w:r w:rsidRPr="00663ACF">
        <w:rPr>
          <w:rFonts w:asciiTheme="majorHAnsi" w:hAnsiTheme="majorHAnsi" w:cstheme="majorHAnsi"/>
          <w:i/>
          <w:sz w:val="20"/>
          <w:lang w:val="en-GB"/>
        </w:rPr>
        <w:t>Dz.U.</w:t>
      </w:r>
      <w:r w:rsidRPr="00663ACF">
        <w:rPr>
          <w:rFonts w:asciiTheme="majorHAnsi" w:hAnsiTheme="majorHAnsi" w:cstheme="majorHAnsi"/>
          <w:sz w:val="20"/>
          <w:lang w:val="en-GB"/>
        </w:rPr>
        <w:t xml:space="preserve"> of 2018, item 1986, as amended)</w:t>
      </w:r>
    </w:p>
  </w:footnote>
  <w:footnote w:id="7">
    <w:p w14:paraId="4D84A51D" w14:textId="79DE5D2B" w:rsidR="00891124" w:rsidRPr="00663ACF" w:rsidRDefault="00891124" w:rsidP="00582CE0">
      <w:pPr>
        <w:pStyle w:val="FootnoteText"/>
        <w:spacing w:after="120"/>
        <w:jc w:val="both"/>
        <w:rPr>
          <w:rFonts w:asciiTheme="majorHAnsi" w:hAnsiTheme="majorHAnsi" w:cstheme="majorHAnsi"/>
          <w:sz w:val="20"/>
          <w:lang w:val="en-GB"/>
        </w:rPr>
      </w:pPr>
      <w:r w:rsidRPr="00663ACF">
        <w:rPr>
          <w:rStyle w:val="FootnoteReference"/>
          <w:rFonts w:asciiTheme="majorHAnsi" w:hAnsiTheme="majorHAnsi" w:cstheme="majorHAnsi"/>
          <w:sz w:val="20"/>
          <w:lang w:val="en-GB"/>
        </w:rPr>
        <w:footnoteRef/>
      </w:r>
      <w:r w:rsidRPr="00663ACF">
        <w:rPr>
          <w:rFonts w:asciiTheme="majorHAnsi" w:hAnsiTheme="majorHAnsi" w:cstheme="majorHAnsi"/>
          <w:sz w:val="20"/>
          <w:lang w:val="en-GB"/>
        </w:rPr>
        <w:t xml:space="preserve"> CJEU of </w:t>
      </w:r>
      <w:r w:rsidRPr="00663ACF">
        <w:rPr>
          <w:rFonts w:asciiTheme="majorHAnsi" w:hAnsiTheme="majorHAnsi" w:cstheme="majorHAnsi"/>
          <w:sz w:val="20"/>
          <w:lang w:val="en-GB" w:eastAsia="pl-PL"/>
        </w:rPr>
        <w:t>14 December 2016, C</w:t>
      </w:r>
      <w:r w:rsidRPr="00663ACF">
        <w:rPr>
          <w:rFonts w:asciiTheme="majorHAnsi" w:hAnsiTheme="majorHAnsi" w:cstheme="majorHAnsi"/>
          <w:sz w:val="20"/>
          <w:lang w:val="en-GB" w:eastAsia="pl-PL"/>
        </w:rPr>
        <w:noBreakHyphen/>
        <w:t>171/15</w:t>
      </w:r>
      <w:r w:rsidRPr="00663ACF">
        <w:rPr>
          <w:rFonts w:asciiTheme="majorHAnsi" w:hAnsiTheme="majorHAnsi" w:cstheme="majorHAnsi"/>
          <w:sz w:val="20"/>
          <w:lang w:val="en-GB"/>
        </w:rPr>
        <w:t xml:space="preserve"> </w:t>
      </w:r>
      <w:r w:rsidRPr="00663ACF">
        <w:rPr>
          <w:rFonts w:asciiTheme="majorHAnsi" w:hAnsiTheme="majorHAnsi" w:cstheme="majorHAnsi"/>
          <w:i/>
          <w:sz w:val="20"/>
          <w:lang w:val="en-GB" w:eastAsia="pl-PL"/>
        </w:rPr>
        <w:t>Connexxion Taxi Services</w:t>
      </w:r>
      <w:r w:rsidRPr="00663ACF">
        <w:rPr>
          <w:rFonts w:asciiTheme="majorHAnsi" w:hAnsiTheme="majorHAnsi" w:cstheme="majorHAnsi"/>
          <w:sz w:val="20"/>
          <w:lang w:val="en-GB" w:eastAsia="pl-PL"/>
        </w:rPr>
        <w:t>, EU:C:2016:948, item 30, in which it was stated that: “in the scope of the possibility of excluding economic operators due to grave professional misconduct the Kingdom of the Netherlands did not include the conditions towards the application of Article 45 sec. 2 paragraph two of that Directive in their provisions but entitled, in a regulation, contracting authorities to exercise such right. The Dutch provisions considered in the main proceedings authorise contracting authorities to announce that non-compulsory exclusion grounds</w:t>
      </w:r>
      <w:r w:rsidRPr="00663ACF">
        <w:rPr>
          <w:rFonts w:asciiTheme="majorHAnsi" w:hAnsiTheme="majorHAnsi" w:cstheme="majorHAnsi"/>
          <w:sz w:val="20"/>
          <w:lang w:val="en-GB"/>
        </w:rPr>
        <w:t>, as referred to in Article 45 section 2 of that Directive, would apply to given public procurement.” The judgment pertained to the provisions of the previously applicable Directive 2004/18/EU, but its reasoning remains valid.</w:t>
      </w:r>
    </w:p>
  </w:footnote>
  <w:footnote w:id="8">
    <w:p w14:paraId="74BF1762" w14:textId="09B8D2D5" w:rsidR="00891124" w:rsidRPr="00663ACF" w:rsidRDefault="00891124" w:rsidP="00582CE0">
      <w:pPr>
        <w:pStyle w:val="FootnoteText"/>
        <w:spacing w:after="120"/>
        <w:jc w:val="both"/>
        <w:rPr>
          <w:rFonts w:asciiTheme="majorHAnsi" w:hAnsiTheme="majorHAnsi" w:cstheme="majorHAnsi"/>
          <w:sz w:val="20"/>
          <w:lang w:val="en-US"/>
        </w:rPr>
      </w:pPr>
      <w:r w:rsidRPr="00663ACF">
        <w:rPr>
          <w:rFonts w:asciiTheme="majorHAnsi" w:hAnsiTheme="majorHAnsi" w:cstheme="majorHAnsi"/>
          <w:sz w:val="20"/>
          <w:vertAlign w:val="superscript"/>
          <w:lang w:val="en-GB"/>
        </w:rPr>
        <w:footnoteRef/>
      </w:r>
      <w:r w:rsidRPr="00663ACF">
        <w:rPr>
          <w:rFonts w:asciiTheme="majorHAnsi" w:hAnsiTheme="majorHAnsi" w:cstheme="majorHAnsi"/>
          <w:sz w:val="20"/>
          <w:vertAlign w:val="superscript"/>
          <w:lang w:val="en-GB"/>
        </w:rPr>
        <w:t xml:space="preserve"> </w:t>
      </w:r>
      <w:r w:rsidRPr="00663ACF">
        <w:rPr>
          <w:rFonts w:asciiTheme="majorHAnsi" w:hAnsiTheme="majorHAnsi" w:cstheme="majorHAnsi"/>
          <w:sz w:val="20"/>
          <w:lang w:val="en-GB"/>
        </w:rPr>
        <w:t>Ibidem, item 31, 38. It should be indicated, just for the record, that the matter examined by the CJEU related only to the ground consisting in grave professional misconduct.</w:t>
      </w:r>
    </w:p>
  </w:footnote>
  <w:footnote w:id="9">
    <w:p w14:paraId="61F1003D" w14:textId="6F8242F4" w:rsidR="00891124" w:rsidRPr="00663ACF" w:rsidRDefault="00891124" w:rsidP="00582CE0">
      <w:pPr>
        <w:pStyle w:val="oznrodzaktutznustawalubrozporzdzenieiorganwydajcy"/>
        <w:spacing w:before="0" w:beforeAutospacing="0" w:after="120" w:afterAutospacing="0"/>
        <w:jc w:val="both"/>
        <w:rPr>
          <w:rFonts w:asciiTheme="majorHAnsi" w:hAnsiTheme="majorHAnsi" w:cstheme="majorHAnsi"/>
          <w:caps/>
          <w:color w:val="000000"/>
          <w:spacing w:val="54"/>
          <w:sz w:val="20"/>
          <w:szCs w:val="20"/>
          <w:lang w:val="en-US"/>
        </w:rPr>
      </w:pPr>
      <w:r w:rsidRPr="00663ACF">
        <w:rPr>
          <w:rStyle w:val="FootnoteReference"/>
          <w:rFonts w:asciiTheme="majorHAnsi" w:hAnsiTheme="majorHAnsi" w:cstheme="majorHAnsi"/>
          <w:sz w:val="20"/>
          <w:szCs w:val="20"/>
        </w:rPr>
        <w:footnoteRef/>
      </w:r>
      <w:r w:rsidRPr="00663ACF">
        <w:rPr>
          <w:rFonts w:asciiTheme="majorHAnsi" w:hAnsiTheme="majorHAnsi" w:cstheme="majorHAnsi"/>
          <w:sz w:val="20"/>
          <w:szCs w:val="20"/>
          <w:lang w:val="en-US"/>
        </w:rPr>
        <w:t xml:space="preserve"> </w:t>
      </w:r>
      <w:r w:rsidRPr="00663ACF">
        <w:rPr>
          <w:rFonts w:asciiTheme="majorHAnsi" w:eastAsiaTheme="minorHAnsi" w:hAnsiTheme="majorHAnsi" w:cstheme="majorHAnsi"/>
          <w:color w:val="17365D" w:themeColor="text2" w:themeShade="BF"/>
          <w:sz w:val="20"/>
          <w:szCs w:val="20"/>
          <w:lang w:val="en-GB"/>
        </w:rPr>
        <w:t xml:space="preserve">It appears that in the case of Poland, the legislator also took account of that aspect and in the new PPL suggested the application of the “Dutch” model. Cf. Article 109 sec. 3 of the Public Procurement Law of 11 September 2019: In the events </w:t>
      </w:r>
      <w:r w:rsidRPr="00663ACF">
        <w:rPr>
          <w:rFonts w:asciiTheme="majorHAnsi" w:eastAsiaTheme="minorHAnsi" w:hAnsiTheme="majorHAnsi" w:cstheme="majorHAnsi"/>
          <w:i/>
          <w:color w:val="17365D" w:themeColor="text2" w:themeShade="BF"/>
          <w:sz w:val="20"/>
          <w:szCs w:val="20"/>
          <w:lang w:val="en-GB"/>
        </w:rPr>
        <w:t>referred to in section</w:t>
      </w:r>
      <w:r w:rsidRPr="00663ACF">
        <w:rPr>
          <w:rFonts w:asciiTheme="majorHAnsi" w:eastAsiaTheme="minorHAnsi" w:hAnsiTheme="majorHAnsi" w:cstheme="majorHAnsi"/>
          <w:i/>
          <w:iCs/>
          <w:color w:val="17365D" w:themeColor="text2" w:themeShade="BF"/>
          <w:sz w:val="20"/>
          <w:szCs w:val="20"/>
          <w:lang w:val="en-GB" w:eastAsia="en-US"/>
        </w:rPr>
        <w:t xml:space="preserve"> 1 points 1-5 or 7 </w:t>
      </w:r>
      <w:r w:rsidRPr="00663ACF">
        <w:rPr>
          <w:rFonts w:asciiTheme="majorHAnsi" w:eastAsiaTheme="minorHAnsi" w:hAnsiTheme="majorHAnsi" w:cstheme="majorHAnsi"/>
          <w:color w:val="17365D" w:themeColor="text2" w:themeShade="BF"/>
          <w:sz w:val="20"/>
          <w:szCs w:val="20"/>
          <w:lang w:val="en-GB" w:eastAsia="en-US"/>
        </w:rPr>
        <w:t>[these are non-compulsory exclusion grounds]</w:t>
      </w:r>
      <w:r w:rsidRPr="00663ACF">
        <w:rPr>
          <w:rFonts w:asciiTheme="majorHAnsi" w:eastAsiaTheme="minorHAnsi" w:hAnsiTheme="majorHAnsi" w:cstheme="majorHAnsi"/>
          <w:i/>
          <w:iCs/>
          <w:color w:val="17365D" w:themeColor="text2" w:themeShade="BF"/>
          <w:sz w:val="20"/>
          <w:szCs w:val="20"/>
          <w:lang w:val="en-GB" w:eastAsia="en-US"/>
        </w:rPr>
        <w:t>, a contracting authority cannot exclude an economic operator if such exclusion would obviously be non-proportional</w:t>
      </w:r>
      <w:r w:rsidRPr="00663ACF">
        <w:rPr>
          <w:rFonts w:asciiTheme="majorHAnsi" w:eastAsiaTheme="minorHAnsi" w:hAnsiTheme="majorHAnsi" w:cstheme="majorHAnsi"/>
          <w:color w:val="17365D" w:themeColor="text2" w:themeShade="BF"/>
          <w:sz w:val="20"/>
          <w:szCs w:val="20"/>
          <w:lang w:val="en-GB" w:eastAsia="en-US"/>
        </w:rPr>
        <w:t>. The Act is to enter into force on 1 January 2021.</w:t>
      </w:r>
    </w:p>
  </w:footnote>
  <w:footnote w:id="10">
    <w:p w14:paraId="2AF581D3" w14:textId="52BCB362" w:rsidR="00891124" w:rsidRPr="00663ACF" w:rsidRDefault="00891124">
      <w:pPr>
        <w:pStyle w:val="FootnoteText"/>
        <w:rPr>
          <w:rFonts w:asciiTheme="majorHAnsi" w:hAnsiTheme="majorHAnsi" w:cstheme="majorHAnsi"/>
          <w:sz w:val="20"/>
          <w:lang w:val="en-US"/>
        </w:rPr>
      </w:pPr>
      <w:r w:rsidRPr="00663ACF">
        <w:rPr>
          <w:rStyle w:val="FootnoteReference"/>
          <w:rFonts w:asciiTheme="majorHAnsi" w:hAnsiTheme="majorHAnsi" w:cstheme="majorHAnsi"/>
          <w:sz w:val="20"/>
          <w:lang w:val="en"/>
        </w:rPr>
        <w:footnoteRef/>
      </w:r>
      <w:r w:rsidRPr="00663ACF">
        <w:rPr>
          <w:rFonts w:asciiTheme="majorHAnsi" w:hAnsiTheme="majorHAnsi" w:cstheme="majorHAnsi"/>
          <w:sz w:val="20"/>
          <w:lang w:val="en"/>
        </w:rPr>
        <w:t xml:space="preserve"> ECLI:EU:C:2012:801.</w:t>
      </w:r>
    </w:p>
  </w:footnote>
  <w:footnote w:id="11">
    <w:p w14:paraId="62E1AC8A" w14:textId="5D89F96D" w:rsidR="00891124" w:rsidRPr="00663ACF" w:rsidRDefault="00891124" w:rsidP="00C80A52">
      <w:pPr>
        <w:pStyle w:val="FootnoteText"/>
        <w:jc w:val="both"/>
        <w:rPr>
          <w:rFonts w:asciiTheme="majorHAnsi" w:hAnsiTheme="majorHAnsi" w:cstheme="majorHAnsi"/>
          <w:sz w:val="20"/>
          <w:lang w:val="en-GB"/>
        </w:rPr>
      </w:pPr>
      <w:r w:rsidRPr="00663ACF">
        <w:rPr>
          <w:rStyle w:val="FootnoteReference"/>
          <w:rFonts w:asciiTheme="majorHAnsi" w:hAnsiTheme="majorHAnsi" w:cstheme="majorHAnsi"/>
          <w:sz w:val="20"/>
        </w:rPr>
        <w:footnoteRef/>
      </w:r>
      <w:r w:rsidRPr="00663ACF">
        <w:rPr>
          <w:rFonts w:asciiTheme="majorHAnsi" w:hAnsiTheme="majorHAnsi" w:cstheme="majorHAnsi"/>
          <w:sz w:val="20"/>
          <w:lang w:val="en-US"/>
        </w:rPr>
        <w:t xml:space="preserve"> </w:t>
      </w:r>
      <w:r w:rsidRPr="00663ACF">
        <w:rPr>
          <w:rFonts w:asciiTheme="majorHAnsi" w:hAnsiTheme="majorHAnsi" w:cstheme="majorHAnsi"/>
          <w:sz w:val="20"/>
          <w:lang w:val="en-GB"/>
        </w:rPr>
        <w:t>However, in this regard see the ruling of the CJEU in case C-41/18,</w:t>
      </w:r>
      <w:r w:rsidRPr="00663ACF">
        <w:rPr>
          <w:rFonts w:asciiTheme="majorHAnsi" w:hAnsiTheme="majorHAnsi" w:cstheme="majorHAnsi"/>
          <w:i/>
          <w:iCs/>
          <w:sz w:val="20"/>
          <w:lang w:val="en-GB"/>
        </w:rPr>
        <w:t xml:space="preserve"> Meca</w:t>
      </w:r>
      <w:r w:rsidRPr="00663ACF">
        <w:rPr>
          <w:rFonts w:asciiTheme="majorHAnsi" w:hAnsiTheme="majorHAnsi" w:cstheme="majorHAnsi"/>
          <w:sz w:val="20"/>
          <w:lang w:val="en-GB"/>
        </w:rPr>
        <w:t xml:space="preserve">, ECLI:EU:C:2019:507. The CJEU ruled that </w:t>
      </w:r>
      <w:r w:rsidRPr="00663ACF">
        <w:rPr>
          <w:rFonts w:asciiTheme="majorHAnsi" w:hAnsiTheme="majorHAnsi" w:cstheme="majorHAnsi"/>
          <w:i/>
          <w:iCs/>
          <w:sz w:val="20"/>
          <w:lang w:val="en-GB"/>
        </w:rPr>
        <w:t>Article 57 section 4 items c) and g) of the Directive of the European Parliament and of the Council 2014/24/EU of 26 February 2014 on public procurement and repealing Directive 2004/18/EC should be interpreted as being an obstacle to national regulations, under which lodging a court appeal against a decision by a contracting authority to terminate a public procurement contract because of material irregularities which occurred during performance of that contract, makes it impossible for the contracting authority which organises the new tender to make any evaluation whatsoever, at the stage of selecting the tenderers, as to the reliability of the economic operator concerned by the termination.</w:t>
      </w:r>
    </w:p>
  </w:footnote>
  <w:footnote w:id="12">
    <w:p w14:paraId="4F9154BC" w14:textId="0BCA8B7A" w:rsidR="00891124" w:rsidRPr="00663ACF" w:rsidRDefault="00891124" w:rsidP="00C80A52">
      <w:pPr>
        <w:pStyle w:val="FootnoteText"/>
        <w:jc w:val="both"/>
        <w:rPr>
          <w:rFonts w:asciiTheme="majorHAnsi" w:hAnsiTheme="majorHAnsi" w:cstheme="majorHAnsi"/>
          <w:sz w:val="20"/>
          <w:lang w:val="en-US"/>
        </w:rPr>
      </w:pPr>
      <w:r w:rsidRPr="00663ACF">
        <w:rPr>
          <w:rStyle w:val="FootnoteReference"/>
          <w:rFonts w:asciiTheme="majorHAnsi" w:hAnsiTheme="majorHAnsi" w:cstheme="majorHAnsi"/>
          <w:sz w:val="20"/>
        </w:rPr>
        <w:footnoteRef/>
      </w:r>
      <w:r w:rsidRPr="00663ACF">
        <w:rPr>
          <w:rFonts w:asciiTheme="majorHAnsi" w:hAnsiTheme="majorHAnsi" w:cstheme="majorHAnsi"/>
          <w:sz w:val="20"/>
          <w:lang w:val="en-US"/>
        </w:rPr>
        <w:t xml:space="preserve"> It is worth noting that in the Public Procurement Act of 11 September 2019, which is to enter into force on 1 January 2021, it was stated that the economic operator is to prove to the contracting authority that it has met all the grounds.</w:t>
      </w:r>
    </w:p>
  </w:footnote>
  <w:footnote w:id="13">
    <w:p w14:paraId="5F3F70CD" w14:textId="138512F1" w:rsidR="00891124" w:rsidRPr="00663ACF" w:rsidRDefault="00891124">
      <w:pPr>
        <w:pStyle w:val="FootnoteText"/>
        <w:rPr>
          <w:rFonts w:asciiTheme="majorHAnsi" w:hAnsiTheme="majorHAnsi" w:cstheme="majorHAnsi"/>
          <w:sz w:val="20"/>
          <w:lang w:val="en-US"/>
        </w:rPr>
      </w:pPr>
      <w:r w:rsidRPr="00663ACF">
        <w:rPr>
          <w:rStyle w:val="FootnoteReference"/>
          <w:rFonts w:asciiTheme="majorHAnsi" w:hAnsiTheme="majorHAnsi" w:cstheme="majorHAnsi"/>
          <w:sz w:val="20"/>
        </w:rPr>
        <w:footnoteRef/>
      </w:r>
      <w:r w:rsidRPr="00663ACF">
        <w:rPr>
          <w:rFonts w:asciiTheme="majorHAnsi" w:hAnsiTheme="majorHAnsi" w:cstheme="majorHAnsi"/>
          <w:sz w:val="20"/>
          <w:lang w:val="en-US"/>
        </w:rPr>
        <w:t xml:space="preserve"> See, for example, the ruling of the NCA in case KIO 1576/19.</w:t>
      </w:r>
    </w:p>
  </w:footnote>
  <w:footnote w:id="14">
    <w:p w14:paraId="4D8055FC" w14:textId="3D1722E3" w:rsidR="00891124" w:rsidRPr="00663ACF" w:rsidRDefault="00891124" w:rsidP="00C80A52">
      <w:pPr>
        <w:pStyle w:val="FootnoteText"/>
        <w:jc w:val="both"/>
        <w:rPr>
          <w:rFonts w:asciiTheme="majorHAnsi" w:hAnsiTheme="majorHAnsi" w:cstheme="majorHAnsi"/>
          <w:sz w:val="20"/>
          <w:lang w:val="en-US"/>
        </w:rPr>
      </w:pPr>
      <w:r w:rsidRPr="00663ACF">
        <w:rPr>
          <w:rStyle w:val="FootnoteReference"/>
          <w:rFonts w:asciiTheme="majorHAnsi" w:hAnsiTheme="majorHAnsi" w:cstheme="majorHAnsi"/>
          <w:sz w:val="20"/>
        </w:rPr>
        <w:footnoteRef/>
      </w:r>
      <w:r w:rsidRPr="00663ACF">
        <w:rPr>
          <w:rFonts w:asciiTheme="majorHAnsi" w:hAnsiTheme="majorHAnsi" w:cstheme="majorHAnsi"/>
          <w:sz w:val="20"/>
          <w:lang w:val="en-US"/>
        </w:rPr>
        <w:t xml:space="preserve"> Lawyers from the law firm Wardyński i Wspólnicy: Hanna Drynkorn and legal counsel Katarzyna Śliwak, were also involved in preparing the chapter.</w:t>
      </w:r>
    </w:p>
  </w:footnote>
  <w:footnote w:id="15">
    <w:p w14:paraId="181FD6BF" w14:textId="746CD0AD" w:rsidR="00891124" w:rsidRPr="00663ACF" w:rsidRDefault="00891124" w:rsidP="001A57DA">
      <w:pPr>
        <w:pStyle w:val="FootnoteText"/>
        <w:spacing w:before="120" w:after="120"/>
        <w:jc w:val="both"/>
        <w:rPr>
          <w:rFonts w:asciiTheme="majorHAnsi" w:hAnsiTheme="majorHAnsi" w:cstheme="majorHAnsi"/>
          <w:sz w:val="20"/>
          <w:lang w:val="en-US"/>
        </w:rPr>
      </w:pPr>
      <w:r w:rsidRPr="00663ACF">
        <w:rPr>
          <w:rStyle w:val="FootnoteReference"/>
          <w:rFonts w:asciiTheme="majorHAnsi" w:hAnsiTheme="majorHAnsi" w:cstheme="majorHAnsi"/>
          <w:sz w:val="20"/>
          <w:lang w:val="en"/>
        </w:rPr>
        <w:footnoteRef/>
      </w:r>
      <w:r w:rsidRPr="00663ACF">
        <w:rPr>
          <w:rFonts w:asciiTheme="majorHAnsi" w:hAnsiTheme="majorHAnsi" w:cstheme="majorHAnsi"/>
          <w:sz w:val="20"/>
          <w:lang w:val="en"/>
        </w:rPr>
        <w:t xml:space="preserve"> </w:t>
      </w:r>
      <w:r w:rsidRPr="00663ACF">
        <w:rPr>
          <w:rFonts w:asciiTheme="majorHAnsi" w:hAnsiTheme="majorHAnsi" w:cstheme="majorHAnsi"/>
          <w:color w:val="002060"/>
          <w:sz w:val="20"/>
          <w:lang w:val="en"/>
        </w:rPr>
        <w:t xml:space="preserve">For comparison, the Polish National Appeals Chamber has found the following occurrences to be persistent: (i) failure to perform a contract concerning repetitive supplies at the Contracting Authority’s every request to the extent exceeding 10%, (ii) persistent delivery of conveyor belts with the same defective characteristics as previously – persistence in this regard has been deemed sufficiently proven if the defectiveness is confirmed by the results of tests conducted three times at different stages of contract performance. </w:t>
      </w:r>
      <w:r w:rsidRPr="00663ACF">
        <w:rPr>
          <w:rFonts w:asciiTheme="majorHAnsi" w:hAnsiTheme="majorHAnsi" w:cstheme="majorHAnsi"/>
          <w:sz w:val="20"/>
          <w:lang w:val="en"/>
        </w:rPr>
        <w:t>Cf. ruling of the National Appeals Chamber dated 3 February 2017, file no. KIO 139/17.</w:t>
      </w:r>
    </w:p>
  </w:footnote>
  <w:footnote w:id="16">
    <w:p w14:paraId="69DCCD79" w14:textId="01DFC630" w:rsidR="00891124" w:rsidRPr="00663ACF" w:rsidRDefault="00891124" w:rsidP="00C80A52">
      <w:pPr>
        <w:pStyle w:val="FootnoteText"/>
        <w:jc w:val="both"/>
        <w:rPr>
          <w:rFonts w:asciiTheme="majorHAnsi" w:hAnsiTheme="majorHAnsi" w:cstheme="majorHAnsi"/>
          <w:sz w:val="20"/>
          <w:lang w:val="en-US"/>
        </w:rPr>
      </w:pPr>
      <w:r w:rsidRPr="00663ACF">
        <w:rPr>
          <w:rStyle w:val="FootnoteReference"/>
          <w:rFonts w:asciiTheme="majorHAnsi" w:hAnsiTheme="majorHAnsi" w:cstheme="majorHAnsi"/>
          <w:sz w:val="20"/>
        </w:rPr>
        <w:footnoteRef/>
      </w:r>
      <w:r w:rsidRPr="00663ACF">
        <w:rPr>
          <w:rFonts w:asciiTheme="majorHAnsi" w:hAnsiTheme="majorHAnsi" w:cstheme="majorHAnsi"/>
          <w:sz w:val="20"/>
          <w:lang w:val="en-US"/>
        </w:rPr>
        <w:t xml:space="preserve"> </w:t>
      </w:r>
      <w:r w:rsidRPr="00663ACF">
        <w:rPr>
          <w:rFonts w:asciiTheme="majorHAnsi" w:hAnsiTheme="majorHAnsi" w:cstheme="majorHAnsi"/>
          <w:color w:val="002060"/>
          <w:sz w:val="20"/>
          <w:lang w:val="en-US"/>
        </w:rPr>
        <w:t>In the new Act this ground will read differently again: “for reasons on its part, it did not perform or improperly performed to a significant degree or scope, or for a long time improperly performed, a material obligation following from an earlier public procurement contract or concession contract, which led to termination of or withdrawal from the contract, damages, substitute performance or exercise of rights in respect of statutory warranty for defects”; see Article 109, section 1 item 7 of the Act of 11 September 2019.</w:t>
      </w:r>
    </w:p>
  </w:footnote>
  <w:footnote w:id="17">
    <w:p w14:paraId="76FC5E2F" w14:textId="7E54C9CA" w:rsidR="00891124" w:rsidRPr="00663ACF" w:rsidRDefault="00891124" w:rsidP="0013128B">
      <w:pPr>
        <w:pStyle w:val="FootnoteText"/>
        <w:spacing w:before="120" w:after="120"/>
        <w:rPr>
          <w:rFonts w:asciiTheme="majorHAnsi" w:hAnsiTheme="majorHAnsi" w:cstheme="majorHAnsi"/>
          <w:sz w:val="20"/>
          <w:lang w:val="en-US"/>
        </w:rPr>
      </w:pPr>
      <w:r w:rsidRPr="00663ACF">
        <w:rPr>
          <w:rStyle w:val="FootnoteReference"/>
          <w:rFonts w:asciiTheme="majorHAnsi" w:hAnsiTheme="majorHAnsi" w:cstheme="majorHAnsi"/>
          <w:sz w:val="20"/>
          <w:lang w:val="en"/>
        </w:rPr>
        <w:footnoteRef/>
      </w:r>
      <w:r w:rsidRPr="00663ACF">
        <w:rPr>
          <w:rFonts w:asciiTheme="majorHAnsi" w:hAnsiTheme="majorHAnsi" w:cstheme="majorHAnsi"/>
          <w:sz w:val="20"/>
          <w:lang w:val="en-US"/>
        </w:rPr>
        <w:t xml:space="preserve"> Ibidem.</w:t>
      </w:r>
    </w:p>
  </w:footnote>
  <w:footnote w:id="18">
    <w:p w14:paraId="7B6201C9" w14:textId="3591C332" w:rsidR="00891124" w:rsidRPr="00663ACF" w:rsidRDefault="00891124" w:rsidP="0013128B">
      <w:pPr>
        <w:pStyle w:val="FootnoteText"/>
        <w:spacing w:before="120" w:after="120"/>
        <w:rPr>
          <w:rFonts w:asciiTheme="majorHAnsi" w:hAnsiTheme="majorHAnsi" w:cstheme="majorHAnsi"/>
          <w:sz w:val="20"/>
          <w:lang w:val="en-US"/>
        </w:rPr>
      </w:pPr>
      <w:r w:rsidRPr="00663ACF">
        <w:rPr>
          <w:rStyle w:val="FootnoteReference"/>
          <w:rFonts w:asciiTheme="majorHAnsi" w:hAnsiTheme="majorHAnsi" w:cstheme="majorHAnsi"/>
          <w:sz w:val="20"/>
          <w:lang w:val="en"/>
        </w:rPr>
        <w:footnoteRef/>
      </w:r>
      <w:r w:rsidRPr="00663ACF">
        <w:rPr>
          <w:rFonts w:asciiTheme="majorHAnsi" w:hAnsiTheme="majorHAnsi" w:cstheme="majorHAnsi"/>
          <w:sz w:val="20"/>
          <w:lang w:val="en"/>
        </w:rPr>
        <w:t xml:space="preserve"> Cf. recital 101 of Directive 2014/24/EU.</w:t>
      </w:r>
    </w:p>
  </w:footnote>
  <w:footnote w:id="19">
    <w:p w14:paraId="3368DFFD" w14:textId="346CCB1F" w:rsidR="00891124" w:rsidRPr="00663ACF" w:rsidRDefault="00891124" w:rsidP="0013128B">
      <w:pPr>
        <w:pStyle w:val="FootnoteText"/>
        <w:spacing w:before="120" w:after="120"/>
        <w:rPr>
          <w:rFonts w:asciiTheme="majorHAnsi" w:hAnsiTheme="majorHAnsi" w:cstheme="majorHAnsi"/>
          <w:sz w:val="20"/>
          <w:lang w:val="en-US"/>
        </w:rPr>
      </w:pPr>
      <w:r w:rsidRPr="00663ACF">
        <w:rPr>
          <w:rStyle w:val="FootnoteReference"/>
          <w:rFonts w:asciiTheme="majorHAnsi" w:hAnsiTheme="majorHAnsi" w:cstheme="majorHAnsi"/>
          <w:sz w:val="20"/>
          <w:lang w:val="en"/>
        </w:rPr>
        <w:footnoteRef/>
      </w:r>
      <w:r w:rsidRPr="00663ACF">
        <w:rPr>
          <w:rFonts w:asciiTheme="majorHAnsi" w:hAnsiTheme="majorHAnsi" w:cstheme="majorHAnsi"/>
          <w:sz w:val="20"/>
          <w:lang w:val="en"/>
        </w:rPr>
        <w:t xml:space="preserve"> Cf. National Appeals Chamber’s ruling dated 3 August 2018, KIO 1428/18.</w:t>
      </w:r>
    </w:p>
  </w:footnote>
  <w:footnote w:id="20">
    <w:p w14:paraId="1D345A14" w14:textId="4781B036" w:rsidR="00891124" w:rsidRPr="00663ACF" w:rsidRDefault="00891124" w:rsidP="00A47B36">
      <w:pPr>
        <w:pStyle w:val="FootnoteText"/>
        <w:spacing w:before="120" w:after="120"/>
        <w:jc w:val="both"/>
        <w:rPr>
          <w:rFonts w:asciiTheme="majorHAnsi" w:hAnsiTheme="majorHAnsi" w:cstheme="majorHAnsi"/>
          <w:sz w:val="20"/>
          <w:lang w:val="en-US"/>
        </w:rPr>
      </w:pPr>
      <w:r w:rsidRPr="00663ACF">
        <w:rPr>
          <w:rStyle w:val="FootnoteReference"/>
          <w:rFonts w:asciiTheme="majorHAnsi" w:hAnsiTheme="majorHAnsi" w:cstheme="majorHAnsi"/>
          <w:sz w:val="20"/>
          <w:lang w:val="en"/>
        </w:rPr>
        <w:footnoteRef/>
      </w:r>
      <w:r w:rsidRPr="00663ACF">
        <w:rPr>
          <w:rFonts w:asciiTheme="majorHAnsi" w:hAnsiTheme="majorHAnsi" w:cstheme="majorHAnsi"/>
          <w:sz w:val="20"/>
          <w:lang w:val="en"/>
        </w:rPr>
        <w:t xml:space="preserve"> Similarly, in Poland, where the National Appeals Chamber is of the opinion that the existence of a court dispute between the parties does not constitute conclusive evidence that the contract was terminated for reasons attributable solely to the economic operator. Among others, in the ruling of the National Appeals Chamber of 12 June 2018, KIO 1033/18 and the ruling of the National Appeals Chamber of 19 October 2017, KIO 2095/17.</w:t>
      </w:r>
    </w:p>
  </w:footnote>
  <w:footnote w:id="21">
    <w:p w14:paraId="17D6C2FE" w14:textId="3760683B" w:rsidR="00891124" w:rsidRPr="00663ACF" w:rsidRDefault="00891124">
      <w:pPr>
        <w:pStyle w:val="FootnoteText"/>
        <w:rPr>
          <w:rFonts w:asciiTheme="majorHAnsi" w:hAnsiTheme="majorHAnsi" w:cstheme="majorHAnsi"/>
          <w:sz w:val="20"/>
          <w:lang w:val="en-US"/>
        </w:rPr>
      </w:pPr>
      <w:r w:rsidRPr="00663ACF">
        <w:rPr>
          <w:rStyle w:val="FootnoteReference"/>
          <w:rFonts w:asciiTheme="majorHAnsi" w:hAnsiTheme="majorHAnsi" w:cstheme="majorHAnsi"/>
          <w:sz w:val="20"/>
        </w:rPr>
        <w:footnoteRef/>
      </w:r>
      <w:r w:rsidRPr="00663ACF">
        <w:rPr>
          <w:rFonts w:asciiTheme="majorHAnsi" w:hAnsiTheme="majorHAnsi" w:cstheme="majorHAnsi"/>
          <w:sz w:val="20"/>
          <w:lang w:val="en-US"/>
        </w:rPr>
        <w:t xml:space="preserve"> In this context see the ruling of the CJEU in case C-41/18, </w:t>
      </w:r>
      <w:r w:rsidRPr="00663ACF">
        <w:rPr>
          <w:rFonts w:asciiTheme="majorHAnsi" w:hAnsiTheme="majorHAnsi" w:cstheme="majorHAnsi"/>
          <w:i/>
          <w:sz w:val="20"/>
          <w:lang w:val="en-US"/>
        </w:rPr>
        <w:t>Meca</w:t>
      </w:r>
      <w:r w:rsidRPr="00663ACF">
        <w:rPr>
          <w:rFonts w:asciiTheme="majorHAnsi" w:hAnsiTheme="majorHAnsi" w:cstheme="majorHAnsi"/>
          <w:sz w:val="20"/>
          <w:lang w:val="en-US"/>
        </w:rPr>
        <w:t>.</w:t>
      </w:r>
    </w:p>
  </w:footnote>
  <w:footnote w:id="22">
    <w:p w14:paraId="271DA366" w14:textId="25076F47" w:rsidR="00891124" w:rsidRPr="00663ACF" w:rsidRDefault="00891124" w:rsidP="0013128B">
      <w:pPr>
        <w:pStyle w:val="FootnoteText"/>
        <w:spacing w:before="120" w:after="120"/>
        <w:rPr>
          <w:rFonts w:asciiTheme="majorHAnsi" w:hAnsiTheme="majorHAnsi" w:cstheme="majorHAnsi"/>
          <w:sz w:val="20"/>
          <w:lang w:val="en-US"/>
        </w:rPr>
      </w:pPr>
      <w:r w:rsidRPr="00663ACF">
        <w:rPr>
          <w:rStyle w:val="FootnoteReference"/>
          <w:rFonts w:asciiTheme="majorHAnsi" w:hAnsiTheme="majorHAnsi" w:cstheme="majorHAnsi"/>
          <w:sz w:val="20"/>
          <w:lang w:val="en"/>
        </w:rPr>
        <w:footnoteRef/>
      </w:r>
      <w:r w:rsidRPr="00663ACF">
        <w:rPr>
          <w:rFonts w:asciiTheme="majorHAnsi" w:hAnsiTheme="majorHAnsi" w:cstheme="majorHAnsi"/>
          <w:sz w:val="20"/>
          <w:lang w:val="en"/>
        </w:rPr>
        <w:t xml:space="preserve"> See ruling of the NAC of 13 March 2018, KIO 335/18.</w:t>
      </w:r>
    </w:p>
  </w:footnote>
  <w:footnote w:id="23">
    <w:p w14:paraId="0FE0CD06" w14:textId="7AF71FD7" w:rsidR="00891124" w:rsidRPr="00663ACF" w:rsidRDefault="00891124" w:rsidP="0013128B">
      <w:pPr>
        <w:pStyle w:val="FootnoteText"/>
        <w:spacing w:before="120" w:after="120"/>
        <w:ind w:left="142" w:hanging="142"/>
        <w:jc w:val="both"/>
        <w:rPr>
          <w:rFonts w:asciiTheme="majorHAnsi" w:hAnsiTheme="majorHAnsi" w:cstheme="majorHAnsi"/>
          <w:sz w:val="20"/>
          <w:lang w:val="en-US"/>
        </w:rPr>
      </w:pPr>
      <w:r w:rsidRPr="00663ACF">
        <w:rPr>
          <w:rStyle w:val="FootnoteReference"/>
          <w:rFonts w:asciiTheme="majorHAnsi" w:hAnsiTheme="majorHAnsi" w:cstheme="majorHAnsi"/>
          <w:sz w:val="20"/>
          <w:lang w:val="en"/>
        </w:rPr>
        <w:footnoteRef/>
      </w:r>
      <w:r w:rsidRPr="00663ACF">
        <w:rPr>
          <w:rFonts w:asciiTheme="majorHAnsi" w:hAnsiTheme="majorHAnsi" w:cstheme="majorHAnsi"/>
          <w:sz w:val="20"/>
          <w:lang w:val="en"/>
        </w:rPr>
        <w:t xml:space="preserve"> In the case of Spain this issue is regulated by the Public Sector Procurement Act, which rules out the participation in the awarding of a public procurement contract of an economic operator who is guilty of misrepresentation when submitting the required representations or when conveying any information whatsoever concerning the economic operator’s capacity, but also of negligence when reporting information about changes in specific data concerning the economic operator.</w:t>
      </w:r>
    </w:p>
  </w:footnote>
  <w:footnote w:id="24">
    <w:p w14:paraId="3E261A86" w14:textId="6754F5CA" w:rsidR="00891124" w:rsidRPr="00663ACF" w:rsidRDefault="00891124" w:rsidP="0013128B">
      <w:pPr>
        <w:pStyle w:val="FootnoteText"/>
        <w:spacing w:before="120" w:after="120"/>
        <w:ind w:left="142" w:hanging="142"/>
        <w:jc w:val="both"/>
        <w:rPr>
          <w:rFonts w:asciiTheme="majorHAnsi" w:hAnsiTheme="majorHAnsi" w:cstheme="majorHAnsi"/>
          <w:sz w:val="20"/>
          <w:lang w:val="en-US"/>
        </w:rPr>
      </w:pPr>
      <w:r w:rsidRPr="00663ACF">
        <w:rPr>
          <w:rStyle w:val="FootnoteReference"/>
          <w:rFonts w:asciiTheme="majorHAnsi" w:hAnsiTheme="majorHAnsi" w:cstheme="majorHAnsi"/>
          <w:sz w:val="20"/>
          <w:lang w:val="en"/>
        </w:rPr>
        <w:footnoteRef/>
      </w:r>
      <w:r w:rsidRPr="00663ACF">
        <w:rPr>
          <w:rFonts w:asciiTheme="majorHAnsi" w:hAnsiTheme="majorHAnsi" w:cstheme="majorHAnsi"/>
          <w:sz w:val="20"/>
          <w:lang w:val="en"/>
        </w:rPr>
        <w:t xml:space="preserve"> In the case of Norway this issue is regulated by the Public Procurement </w:t>
      </w:r>
      <w:r>
        <w:rPr>
          <w:rFonts w:asciiTheme="majorHAnsi" w:hAnsiTheme="majorHAnsi" w:cstheme="majorHAnsi"/>
          <w:sz w:val="20"/>
          <w:lang w:val="en"/>
        </w:rPr>
        <w:t>Regulation</w:t>
      </w:r>
      <w:r w:rsidRPr="00663ACF">
        <w:rPr>
          <w:rFonts w:asciiTheme="majorHAnsi" w:hAnsiTheme="majorHAnsi" w:cstheme="majorHAnsi"/>
          <w:sz w:val="20"/>
          <w:lang w:val="en"/>
        </w:rPr>
        <w:t xml:space="preserve"> according to which the contracting authority may exclude a provider, unless the exclusion is out of proportion, if the provider furnished seriously erroneous or misleading information which could have a material impact on decision</w:t>
      </w:r>
      <w:r>
        <w:rPr>
          <w:rFonts w:asciiTheme="majorHAnsi" w:hAnsiTheme="majorHAnsi" w:cstheme="majorHAnsi"/>
          <w:sz w:val="20"/>
          <w:lang w:val="en"/>
        </w:rPr>
        <w:t>s</w:t>
      </w:r>
      <w:r w:rsidRPr="00663ACF">
        <w:rPr>
          <w:rFonts w:asciiTheme="majorHAnsi" w:hAnsiTheme="majorHAnsi" w:cstheme="majorHAnsi"/>
          <w:sz w:val="20"/>
          <w:lang w:val="en"/>
        </w:rPr>
        <w:t xml:space="preserve"> concerning exclusion,</w:t>
      </w:r>
      <w:r>
        <w:rPr>
          <w:rFonts w:asciiTheme="majorHAnsi" w:hAnsiTheme="majorHAnsi" w:cstheme="majorHAnsi"/>
          <w:sz w:val="20"/>
          <w:lang w:val="en"/>
        </w:rPr>
        <w:t xml:space="preserve"> selection or award of contract</w:t>
      </w:r>
      <w:r w:rsidRPr="00663ACF">
        <w:rPr>
          <w:rFonts w:asciiTheme="majorHAnsi" w:hAnsiTheme="majorHAnsi" w:cstheme="majorHAnsi"/>
          <w:sz w:val="20"/>
          <w:lang w:val="en"/>
        </w:rPr>
        <w:t xml:space="preserve"> or if the provider decided to not furnish this information.</w:t>
      </w:r>
    </w:p>
  </w:footnote>
  <w:footnote w:id="25">
    <w:p w14:paraId="29F02682" w14:textId="7D3345B8" w:rsidR="00891124" w:rsidRPr="00663ACF" w:rsidRDefault="00891124" w:rsidP="009E5F78">
      <w:pPr>
        <w:pStyle w:val="FootnoteText"/>
        <w:jc w:val="both"/>
        <w:rPr>
          <w:rFonts w:asciiTheme="majorHAnsi" w:hAnsiTheme="majorHAnsi" w:cstheme="majorHAnsi"/>
          <w:sz w:val="20"/>
        </w:rPr>
      </w:pPr>
      <w:r w:rsidRPr="00663ACF">
        <w:rPr>
          <w:rStyle w:val="FootnoteReference"/>
          <w:rFonts w:asciiTheme="majorHAnsi" w:hAnsiTheme="majorHAnsi" w:cstheme="majorHAnsi"/>
          <w:sz w:val="20"/>
          <w:lang w:val="en"/>
        </w:rPr>
        <w:footnoteRef/>
      </w:r>
      <w:r w:rsidRPr="00663ACF">
        <w:rPr>
          <w:rFonts w:asciiTheme="majorHAnsi" w:hAnsiTheme="majorHAnsi" w:cstheme="majorHAnsi"/>
          <w:sz w:val="20"/>
          <w:lang w:val="en"/>
        </w:rPr>
        <w:t xml:space="preserve"> The above line of reasoning was supported by the Polish National Appeals Chamber in its ruling of 14 June 2018, file no. KIO 1102/18: “the self-cleaning procedure is undertaken upon the initiative of the mere economic operator if it is aware and knows that it is subject to exclusion. The self-cleaning procedure should be completed no later than along with the submission of the ESPD document, i.e. along with the lapse of the deadline for confirming the satisfaction of conditions of participation in the procedure. Completing the self-cleaning procedure at a later stage, that would be an effect of the contracting authority’s summons or that would take place after it made a decision on exclusion, would make the self-cleaning procedure pointless.”</w:t>
      </w:r>
      <w:r w:rsidRPr="00663ACF">
        <w:rPr>
          <w:rFonts w:asciiTheme="majorHAnsi" w:hAnsiTheme="majorHAnsi" w:cstheme="majorHAnsi"/>
          <w:i/>
          <w:iCs/>
          <w:sz w:val="20"/>
          <w:lang w:val="en"/>
        </w:rPr>
        <w:t xml:space="preserve"> </w:t>
      </w:r>
      <w:r w:rsidRPr="00663ACF">
        <w:rPr>
          <w:rFonts w:asciiTheme="majorHAnsi" w:hAnsiTheme="majorHAnsi" w:cstheme="majorHAnsi"/>
          <w:sz w:val="20"/>
          <w:lang w:val="en"/>
        </w:rPr>
        <w:t>In another ruling it was directly pointed out that specifying in more detail the possibility of applying the self-cleaning procedure was necessary (cf. ruling of the National Appeals Chamber of 10 August 2018, file no. KIO 1470/18).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E159" w14:textId="77777777" w:rsidR="00891124" w:rsidRDefault="00891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B693" w14:textId="77777777" w:rsidR="00891124" w:rsidRPr="008F00FF" w:rsidRDefault="00891124" w:rsidP="00ED2863">
    <w:pPr>
      <w:pStyle w:val="Header"/>
    </w:pPr>
    <w:r>
      <w:rPr>
        <w:noProof/>
        <w:lang w:eastAsia="en-GB"/>
      </w:rPr>
      <w:drawing>
        <wp:inline distT="0" distB="0" distL="0" distR="0" wp14:anchorId="07B6EB76" wp14:editId="0F73C77E">
          <wp:extent cx="1182414" cy="80980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87051" cy="812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E7FF" w14:textId="46F12ECA" w:rsidR="00891124" w:rsidRPr="008F00FF" w:rsidRDefault="00891124" w:rsidP="00DF20C0">
    <w:pPr>
      <w:pStyle w:val="Header"/>
      <w:spacing w:line="120" w:lineRule="atLeast"/>
      <w:rPr>
        <w:sz w:val="2"/>
        <w:szCs w:val="2"/>
      </w:rPr>
    </w:pPr>
    <w:r>
      <w:rPr>
        <w:noProof/>
        <w:lang w:eastAsia="en-GB"/>
      </w:rPr>
      <mc:AlternateContent>
        <mc:Choice Requires="wps">
          <w:drawing>
            <wp:anchor distT="0" distB="0" distL="114300" distR="114300" simplePos="0" relativeHeight="251674624" behindDoc="0" locked="0" layoutInCell="1" allowOverlap="1" wp14:anchorId="1C7672F3" wp14:editId="69BE5C8B">
              <wp:simplePos x="0" y="0"/>
              <wp:positionH relativeFrom="column">
                <wp:posOffset>3684270</wp:posOffset>
              </wp:positionH>
              <wp:positionV relativeFrom="paragraph">
                <wp:posOffset>23495</wp:posOffset>
              </wp:positionV>
              <wp:extent cx="2446020" cy="1072515"/>
              <wp:effectExtent l="381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CDE11" w14:textId="77777777" w:rsidR="00891124" w:rsidRPr="00991CD2" w:rsidRDefault="00891124" w:rsidP="007A04DC">
                          <w:pPr>
                            <w:spacing w:after="0"/>
                            <w:jc w:val="right"/>
                            <w:rPr>
                              <w:rFonts w:cs="Arial"/>
                              <w:b/>
                              <w:sz w:val="14"/>
                              <w:szCs w:val="14"/>
                              <w:lang w:val="pl-PL"/>
                            </w:rPr>
                          </w:pPr>
                          <w:r w:rsidRPr="00991CD2">
                            <w:rPr>
                              <w:rFonts w:cs="Arial"/>
                              <w:b/>
                              <w:bCs/>
                              <w:color w:val="548DD4" w:themeColor="text2" w:themeTint="99"/>
                              <w:sz w:val="14"/>
                              <w:szCs w:val="14"/>
                              <w:lang w:val="pl-PL"/>
                            </w:rPr>
                            <w:t xml:space="preserve">Stowarzyszenie Prawa Zamówień Publicznych / Public </w:t>
                          </w:r>
                          <w:proofErr w:type="spellStart"/>
                          <w:r w:rsidRPr="00991CD2">
                            <w:rPr>
                              <w:rFonts w:cs="Arial"/>
                              <w:b/>
                              <w:bCs/>
                              <w:color w:val="548DD4" w:themeColor="text2" w:themeTint="99"/>
                              <w:sz w:val="14"/>
                              <w:szCs w:val="14"/>
                              <w:lang w:val="pl-PL"/>
                            </w:rPr>
                            <w:t>Procurement</w:t>
                          </w:r>
                          <w:proofErr w:type="spellEnd"/>
                          <w:r w:rsidRPr="00991CD2">
                            <w:rPr>
                              <w:rFonts w:cs="Arial"/>
                              <w:b/>
                              <w:bCs/>
                              <w:color w:val="548DD4" w:themeColor="text2" w:themeTint="99"/>
                              <w:sz w:val="14"/>
                              <w:szCs w:val="14"/>
                              <w:lang w:val="pl-PL"/>
                            </w:rPr>
                            <w:t xml:space="preserve"> Law </w:t>
                          </w:r>
                          <w:proofErr w:type="spellStart"/>
                          <w:r w:rsidRPr="00991CD2">
                            <w:rPr>
                              <w:rFonts w:cs="Arial"/>
                              <w:b/>
                              <w:bCs/>
                              <w:color w:val="548DD4" w:themeColor="text2" w:themeTint="99"/>
                              <w:sz w:val="14"/>
                              <w:szCs w:val="14"/>
                              <w:lang w:val="pl-PL"/>
                            </w:rPr>
                            <w:t>Association</w:t>
                          </w:r>
                          <w:proofErr w:type="spellEnd"/>
                        </w:p>
                        <w:p w14:paraId="0E301B01" w14:textId="77777777" w:rsidR="00891124" w:rsidRPr="0061340C" w:rsidRDefault="00891124" w:rsidP="007A04DC">
                          <w:pPr>
                            <w:spacing w:after="0"/>
                            <w:jc w:val="right"/>
                            <w:rPr>
                              <w:rFonts w:cs="Arial"/>
                              <w:sz w:val="14"/>
                              <w:szCs w:val="14"/>
                            </w:rPr>
                          </w:pPr>
                          <w:r>
                            <w:rPr>
                              <w:rFonts w:cs="Arial"/>
                              <w:sz w:val="14"/>
                              <w:szCs w:val="14"/>
                              <w:lang w:val="en"/>
                            </w:rPr>
                            <w:t>Rondo ONZ 1, 30</w:t>
                          </w:r>
                          <w:r>
                            <w:rPr>
                              <w:rFonts w:cs="Arial"/>
                              <w:sz w:val="14"/>
                              <w:szCs w:val="14"/>
                              <w:vertAlign w:val="superscript"/>
                              <w:lang w:val="en"/>
                            </w:rPr>
                            <w:t>th</w:t>
                          </w:r>
                          <w:r>
                            <w:rPr>
                              <w:rFonts w:cs="Arial"/>
                              <w:sz w:val="14"/>
                              <w:szCs w:val="14"/>
                              <w:lang w:val="en"/>
                            </w:rPr>
                            <w:t xml:space="preserve"> floor </w:t>
                          </w:r>
                        </w:p>
                        <w:p w14:paraId="6688AD42" w14:textId="77777777" w:rsidR="00891124" w:rsidRPr="0061340C" w:rsidRDefault="00891124" w:rsidP="007A04DC">
                          <w:pPr>
                            <w:spacing w:after="0"/>
                            <w:jc w:val="right"/>
                            <w:rPr>
                              <w:rFonts w:cs="Arial"/>
                              <w:sz w:val="14"/>
                              <w:szCs w:val="14"/>
                            </w:rPr>
                          </w:pPr>
                          <w:r>
                            <w:rPr>
                              <w:rFonts w:cs="Arial"/>
                              <w:sz w:val="14"/>
                              <w:szCs w:val="14"/>
                              <w:lang w:val="en"/>
                            </w:rPr>
                            <w:t>00-124 Warsaw</w:t>
                          </w:r>
                        </w:p>
                        <w:p w14:paraId="246BAA26" w14:textId="77777777" w:rsidR="00891124" w:rsidRPr="0061340C" w:rsidRDefault="00891124" w:rsidP="007A04DC">
                          <w:pPr>
                            <w:spacing w:after="0"/>
                            <w:jc w:val="right"/>
                            <w:rPr>
                              <w:rFonts w:cs="Arial"/>
                              <w:sz w:val="14"/>
                              <w:szCs w:val="14"/>
                            </w:rPr>
                          </w:pPr>
                          <w:r>
                            <w:rPr>
                              <w:rFonts w:cs="Arial"/>
                              <w:sz w:val="14"/>
                              <w:szCs w:val="14"/>
                              <w:lang w:val="en"/>
                            </w:rPr>
                            <w:t>KRS: 0000673489</w:t>
                          </w:r>
                        </w:p>
                        <w:p w14:paraId="516B403B" w14:textId="77777777" w:rsidR="00891124" w:rsidRPr="00991CD2" w:rsidRDefault="00891124" w:rsidP="007A04DC">
                          <w:pPr>
                            <w:spacing w:after="0"/>
                            <w:jc w:val="right"/>
                            <w:rPr>
                              <w:rFonts w:cs="Arial"/>
                              <w:sz w:val="14"/>
                              <w:szCs w:val="14"/>
                              <w:lang w:val="pl-PL"/>
                            </w:rPr>
                          </w:pPr>
                          <w:r w:rsidRPr="00991CD2">
                            <w:rPr>
                              <w:rFonts w:cs="Arial"/>
                              <w:sz w:val="14"/>
                              <w:szCs w:val="14"/>
                              <w:lang w:val="pl-PL"/>
                            </w:rPr>
                            <w:t>NIP: 5223089494</w:t>
                          </w:r>
                        </w:p>
                        <w:p w14:paraId="1A8BFBC4" w14:textId="77777777" w:rsidR="00891124" w:rsidRPr="00991CD2" w:rsidRDefault="00891124" w:rsidP="007A04DC">
                          <w:pPr>
                            <w:spacing w:after="0"/>
                            <w:jc w:val="right"/>
                            <w:rPr>
                              <w:rFonts w:cs="Arial"/>
                              <w:sz w:val="14"/>
                              <w:szCs w:val="14"/>
                              <w:lang w:val="pl-PL"/>
                            </w:rPr>
                          </w:pPr>
                          <w:r w:rsidRPr="00991CD2">
                            <w:rPr>
                              <w:rFonts w:cs="Arial"/>
                              <w:sz w:val="14"/>
                              <w:szCs w:val="14"/>
                              <w:lang w:val="pl-PL"/>
                            </w:rPr>
                            <w:t>REGON: 367079566</w:t>
                          </w:r>
                        </w:p>
                        <w:p w14:paraId="07464A00" w14:textId="77777777" w:rsidR="00891124" w:rsidRPr="00991CD2" w:rsidRDefault="00891124" w:rsidP="007A04DC">
                          <w:pPr>
                            <w:spacing w:after="0"/>
                            <w:jc w:val="right"/>
                            <w:rPr>
                              <w:rFonts w:cs="Arial"/>
                              <w:color w:val="548DD4" w:themeColor="text2" w:themeTint="99"/>
                              <w:sz w:val="14"/>
                              <w:szCs w:val="14"/>
                              <w:lang w:val="pl-PL"/>
                            </w:rPr>
                          </w:pPr>
                          <w:r w:rsidRPr="00991CD2">
                            <w:rPr>
                              <w:rFonts w:cs="Arial"/>
                              <w:color w:val="548DD4" w:themeColor="text2" w:themeTint="99"/>
                              <w:sz w:val="14"/>
                              <w:szCs w:val="14"/>
                              <w:lang w:val="pl-PL"/>
                            </w:rPr>
                            <w:t>kontakt@stowarzyszeniepzp.pl</w:t>
                          </w:r>
                        </w:p>
                        <w:p w14:paraId="2E919387" w14:textId="77777777" w:rsidR="00891124" w:rsidRPr="00991CD2" w:rsidRDefault="00891124" w:rsidP="007A04DC">
                          <w:pPr>
                            <w:spacing w:after="0"/>
                            <w:jc w:val="right"/>
                            <w:rPr>
                              <w:rFonts w:cs="Arial"/>
                              <w:color w:val="548DD4" w:themeColor="text2" w:themeTint="99"/>
                              <w:sz w:val="14"/>
                              <w:szCs w:val="14"/>
                              <w:lang w:val="pl-PL"/>
                            </w:rPr>
                          </w:pPr>
                          <w:r w:rsidRPr="00991CD2">
                            <w:rPr>
                              <w:rFonts w:cs="Arial"/>
                              <w:color w:val="548DD4" w:themeColor="text2" w:themeTint="99"/>
                              <w:sz w:val="14"/>
                              <w:szCs w:val="14"/>
                              <w:lang w:val="pl-PL"/>
                            </w:rPr>
                            <w:t>www.stowarzyszeniepzp.pl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C7672F3" id="_x0000_t202" coordsize="21600,21600" o:spt="202" path="m,l,21600r21600,l21600,xe">
              <v:stroke joinstyle="miter"/>
              <v:path gradientshapeok="t" o:connecttype="rect"/>
            </v:shapetype>
            <v:shape id="Text Box 2" o:spid="_x0000_s1026" type="#_x0000_t202" style="position:absolute;left:0;text-align:left;margin-left:290.1pt;margin-top:1.85pt;width:192.6pt;height:84.4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7nDagQIAABEFAAAOAAAAZHJzL2Uyb0RvYy54bWysVNtu3CAQfa/Uf0C8b3yR92Ir3qhJ6qpS epGSfgALeI2KgQK7dlr13zvg3c2mF6mq6gcMzHCYmXOGy6uxl2jPrRNa1Ti7SDHiimom1LbGnx6a 2Qoj54liRGrFa/zIHb5av3xxOZiK57rTknGLAES5ajA17rw3VZI42vGeuAttuAJjq21PPCztNmGW DIDeyyRP00UyaMuM1ZQ7B7u3kxGvI37bcuo/tK3jHskaQ2w+jjaOmzAm60tSbS0xnaCHMMg/RNET oeDSE9Qt8QTtrPgFqhfUaqdbf0F1n+i2FZTHHCCbLP0pm/uOGB5zgeI4cyqT+3+w9P3+o0WCAXcL jBTpgaMHPnp0rUeUh/IMxlXgdW/Az4+wDa4xVWfuNP3skNI3HVFb/spaPXScMAgvCyeTs6MTjgsg m+GdZnAN2XkdgcbW9qF2UA0E6EDT44maEAqFzbwoFmkOJgq2LF3m82we7yDV8bixzr/hukdhUmML 3Ed4sr9zPoRDqqNLuM1pKVgjpIwLu93cSIv2BHTSxO+A/sxNquCsdDg2IU47ECXcEWwh3sj7tzLL i/Q6L2fNYrWcFU0xn5XLdDVLs/K6XKRFWdw230OAWVF1gjGu7oTiRw1mxd9xfOiGST1RhWiocTnP 5xNHf0wyjd/vkuyFh5aUoq/x6uREqsDsa8UgbVJ5IuQ0T56HH6sMNTj+Y1WiDgL1kwj8uBkBJYhj o9kjKMJq4Au4hXcEJp22XzEaoCdr7L7siOUYybcKVFVmRRGaOC6K+TLowZ5bNucWoihA1dhjNE1v /NT4O2PFtoObjjp+BUpsRNTIU1QH/ULfxWQOb0Ro7PN19Hp6ydY/AAAA//8DAFBLAwQUAAYACAAA ACEAGlFRo+AAAAAJAQAADwAAAGRycy9kb3ducmV2LnhtbEyPy07DMBBF90j8gzVIbBB1amhaQpyq PLph1xIklm48TQLxOIrdNvD1DCtYju7RvWfy5eg6ccQhtJ40TCcJCKTK25ZqDeXr+noBIkRD1nSe UMMXBlgW52e5yaw/0QaP21gLLqGQGQ1NjH0mZagadCZMfI/E2d4PzkQ+h1rawZy43HVSJUkqnWmJ FxrT42OD1ef24DR8P5RPq+erON2r+K7eNu6lrD6M1pcX4+oeRMQx/sHwq8/qULDTzh/IBtFpmC0S xaiGmzkIzu/S2S2IHYNzlYIscvn/g+IHAAD//wMAUEsBAi0AFAAGAAgAAAAhALaDOJL+AAAA4QEA ABMAAAAAAAAAAAAAAAAAAAAAAFtDb250ZW50X1R5cGVzXS54bWxQSwECLQAUAAYACAAAACEAOP0h /9YAAACUAQAACwAAAAAAAAAAAAAAAAAvAQAAX3JlbHMvLnJlbHNQSwECLQAUAAYACAAAACEAI+5w 2oECAAARBQAADgAAAAAAAAAAAAAAAAAuAgAAZHJzL2Uyb0RvYy54bWxQSwECLQAUAAYACAAAACEA GlFRo+AAAAAJAQAADwAAAAAAAAAAAAAAAADbBAAAZHJzL2Rvd25yZXYueG1sUEsFBgAAAAAEAAQA 8wAAAOgFAAAAAA== " stroked="f">
              <v:textbox style="mso-fit-shape-to-text:t">
                <w:txbxContent>
                  <w:p w14:paraId="438CDE11" w14:textId="77777777" w:rsidR="00891124" w:rsidRPr="00991CD2" w:rsidRDefault="00891124" w:rsidP="007A04DC">
                    <w:pPr>
                      <w:spacing w:after="0"/>
                      <w:jc w:val="right"/>
                      <w:rPr>
                        <w:rFonts w:cs="Arial"/>
                        <w:b/>
                        <w:sz w:val="14"/>
                        <w:szCs w:val="14"/>
                        <w:lang w:val="pl-PL"/>
                      </w:rPr>
                    </w:pPr>
                    <w:r w:rsidRPr="00991CD2">
                      <w:rPr>
                        <w:rFonts w:cs="Arial"/>
                        <w:b/>
                        <w:bCs/>
                        <w:color w:val="548DD4" w:themeColor="text2" w:themeTint="99"/>
                        <w:sz w:val="14"/>
                        <w:szCs w:val="14"/>
                        <w:lang w:val="pl-PL"/>
                      </w:rPr>
                      <w:t xml:space="preserve">Stowarzyszenie Prawa Zamówień Publicznych / Public </w:t>
                    </w:r>
                    <w:proofErr w:type="spellStart"/>
                    <w:r w:rsidRPr="00991CD2">
                      <w:rPr>
                        <w:rFonts w:cs="Arial"/>
                        <w:b/>
                        <w:bCs/>
                        <w:color w:val="548DD4" w:themeColor="text2" w:themeTint="99"/>
                        <w:sz w:val="14"/>
                        <w:szCs w:val="14"/>
                        <w:lang w:val="pl-PL"/>
                      </w:rPr>
                      <w:t>Procurement</w:t>
                    </w:r>
                    <w:proofErr w:type="spellEnd"/>
                    <w:r w:rsidRPr="00991CD2">
                      <w:rPr>
                        <w:rFonts w:cs="Arial"/>
                        <w:b/>
                        <w:bCs/>
                        <w:color w:val="548DD4" w:themeColor="text2" w:themeTint="99"/>
                        <w:sz w:val="14"/>
                        <w:szCs w:val="14"/>
                        <w:lang w:val="pl-PL"/>
                      </w:rPr>
                      <w:t xml:space="preserve"> Law </w:t>
                    </w:r>
                    <w:proofErr w:type="spellStart"/>
                    <w:r w:rsidRPr="00991CD2">
                      <w:rPr>
                        <w:rFonts w:cs="Arial"/>
                        <w:b/>
                        <w:bCs/>
                        <w:color w:val="548DD4" w:themeColor="text2" w:themeTint="99"/>
                        <w:sz w:val="14"/>
                        <w:szCs w:val="14"/>
                        <w:lang w:val="pl-PL"/>
                      </w:rPr>
                      <w:t>Association</w:t>
                    </w:r>
                    <w:proofErr w:type="spellEnd"/>
                  </w:p>
                  <w:p w14:paraId="0E301B01" w14:textId="77777777" w:rsidR="00891124" w:rsidRPr="0061340C" w:rsidRDefault="00891124" w:rsidP="007A04DC">
                    <w:pPr>
                      <w:spacing w:after="0"/>
                      <w:jc w:val="right"/>
                      <w:rPr>
                        <w:rFonts w:cs="Arial"/>
                        <w:sz w:val="14"/>
                        <w:szCs w:val="14"/>
                      </w:rPr>
                    </w:pPr>
                    <w:r>
                      <w:rPr>
                        <w:rFonts w:cs="Arial"/>
                        <w:sz w:val="14"/>
                        <w:szCs w:val="14"/>
                        <w:lang w:val="en"/>
                      </w:rPr>
                      <w:t>Rondo ONZ 1, 30</w:t>
                    </w:r>
                    <w:r>
                      <w:rPr>
                        <w:rFonts w:cs="Arial"/>
                        <w:sz w:val="14"/>
                        <w:szCs w:val="14"/>
                        <w:vertAlign w:val="superscript"/>
                        <w:lang w:val="en"/>
                      </w:rPr>
                      <w:t>th</w:t>
                    </w:r>
                    <w:r>
                      <w:rPr>
                        <w:rFonts w:cs="Arial"/>
                        <w:sz w:val="14"/>
                        <w:szCs w:val="14"/>
                        <w:lang w:val="en"/>
                      </w:rPr>
                      <w:t xml:space="preserve"> floor </w:t>
                    </w:r>
                  </w:p>
                  <w:p w14:paraId="6688AD42" w14:textId="77777777" w:rsidR="00891124" w:rsidRPr="0061340C" w:rsidRDefault="00891124" w:rsidP="007A04DC">
                    <w:pPr>
                      <w:spacing w:after="0"/>
                      <w:jc w:val="right"/>
                      <w:rPr>
                        <w:rFonts w:cs="Arial"/>
                        <w:sz w:val="14"/>
                        <w:szCs w:val="14"/>
                      </w:rPr>
                    </w:pPr>
                    <w:r>
                      <w:rPr>
                        <w:rFonts w:cs="Arial"/>
                        <w:sz w:val="14"/>
                        <w:szCs w:val="14"/>
                        <w:lang w:val="en"/>
                      </w:rPr>
                      <w:t>00-124 Warsaw</w:t>
                    </w:r>
                  </w:p>
                  <w:p w14:paraId="246BAA26" w14:textId="77777777" w:rsidR="00891124" w:rsidRPr="0061340C" w:rsidRDefault="00891124" w:rsidP="007A04DC">
                    <w:pPr>
                      <w:spacing w:after="0"/>
                      <w:jc w:val="right"/>
                      <w:rPr>
                        <w:rFonts w:cs="Arial"/>
                        <w:sz w:val="14"/>
                        <w:szCs w:val="14"/>
                      </w:rPr>
                    </w:pPr>
                    <w:r>
                      <w:rPr>
                        <w:rFonts w:cs="Arial"/>
                        <w:sz w:val="14"/>
                        <w:szCs w:val="14"/>
                        <w:lang w:val="en"/>
                      </w:rPr>
                      <w:t>KRS: 0000673489</w:t>
                    </w:r>
                  </w:p>
                  <w:p w14:paraId="516B403B" w14:textId="77777777" w:rsidR="00891124" w:rsidRPr="00991CD2" w:rsidRDefault="00891124" w:rsidP="007A04DC">
                    <w:pPr>
                      <w:spacing w:after="0"/>
                      <w:jc w:val="right"/>
                      <w:rPr>
                        <w:rFonts w:cs="Arial"/>
                        <w:sz w:val="14"/>
                        <w:szCs w:val="14"/>
                        <w:lang w:val="pl-PL"/>
                      </w:rPr>
                    </w:pPr>
                    <w:r w:rsidRPr="00991CD2">
                      <w:rPr>
                        <w:rFonts w:cs="Arial"/>
                        <w:sz w:val="14"/>
                        <w:szCs w:val="14"/>
                        <w:lang w:val="pl-PL"/>
                      </w:rPr>
                      <w:t>NIP: 5223089494</w:t>
                    </w:r>
                  </w:p>
                  <w:p w14:paraId="1A8BFBC4" w14:textId="77777777" w:rsidR="00891124" w:rsidRPr="00991CD2" w:rsidRDefault="00891124" w:rsidP="007A04DC">
                    <w:pPr>
                      <w:spacing w:after="0"/>
                      <w:jc w:val="right"/>
                      <w:rPr>
                        <w:rFonts w:cs="Arial"/>
                        <w:sz w:val="14"/>
                        <w:szCs w:val="14"/>
                        <w:lang w:val="pl-PL"/>
                      </w:rPr>
                    </w:pPr>
                    <w:r w:rsidRPr="00991CD2">
                      <w:rPr>
                        <w:rFonts w:cs="Arial"/>
                        <w:sz w:val="14"/>
                        <w:szCs w:val="14"/>
                        <w:lang w:val="pl-PL"/>
                      </w:rPr>
                      <w:t>REGON: 367079566</w:t>
                    </w:r>
                  </w:p>
                  <w:p w14:paraId="07464A00" w14:textId="77777777" w:rsidR="00891124" w:rsidRPr="00991CD2" w:rsidRDefault="00891124" w:rsidP="007A04DC">
                    <w:pPr>
                      <w:spacing w:after="0"/>
                      <w:jc w:val="right"/>
                      <w:rPr>
                        <w:rFonts w:cs="Arial"/>
                        <w:color w:val="548DD4" w:themeColor="text2" w:themeTint="99"/>
                        <w:sz w:val="14"/>
                        <w:szCs w:val="14"/>
                        <w:lang w:val="pl-PL"/>
                      </w:rPr>
                    </w:pPr>
                    <w:r w:rsidRPr="00991CD2">
                      <w:rPr>
                        <w:rFonts w:cs="Arial"/>
                        <w:color w:val="548DD4" w:themeColor="text2" w:themeTint="99"/>
                        <w:sz w:val="14"/>
                        <w:szCs w:val="14"/>
                        <w:lang w:val="pl-PL"/>
                      </w:rPr>
                      <w:t>kontakt@stowarzyszeniepzp.pl</w:t>
                    </w:r>
                  </w:p>
                  <w:p w14:paraId="2E919387" w14:textId="77777777" w:rsidR="00891124" w:rsidRPr="00991CD2" w:rsidRDefault="00891124" w:rsidP="007A04DC">
                    <w:pPr>
                      <w:spacing w:after="0"/>
                      <w:jc w:val="right"/>
                      <w:rPr>
                        <w:rFonts w:cs="Arial"/>
                        <w:color w:val="548DD4" w:themeColor="text2" w:themeTint="99"/>
                        <w:sz w:val="14"/>
                        <w:szCs w:val="14"/>
                        <w:lang w:val="pl-PL"/>
                      </w:rPr>
                    </w:pPr>
                    <w:r w:rsidRPr="00991CD2">
                      <w:rPr>
                        <w:rFonts w:cs="Arial"/>
                        <w:color w:val="548DD4" w:themeColor="text2" w:themeTint="99"/>
                        <w:sz w:val="14"/>
                        <w:szCs w:val="14"/>
                        <w:lang w:val="pl-PL"/>
                      </w:rPr>
                      <w:t>www.stowarzyszeniepzp.pl</w:t>
                    </w:r>
                  </w:p>
                </w:txbxContent>
              </v:textbox>
            </v:shape>
          </w:pict>
        </mc:Fallback>
      </mc:AlternateContent>
    </w:r>
    <w:r>
      <w:rPr>
        <w:noProof/>
        <w:lang w:eastAsia="en-GB"/>
      </w:rPr>
      <w:drawing>
        <wp:inline distT="0" distB="0" distL="0" distR="0" wp14:anchorId="07248BCE" wp14:editId="201401CE">
          <wp:extent cx="1462259" cy="1001464"/>
          <wp:effectExtent l="0" t="0" r="508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64029" cy="100267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7BC8" w14:textId="77777777" w:rsidR="00891124" w:rsidRPr="00F061B2" w:rsidRDefault="00891124" w:rsidP="00F061B2">
    <w:pPr>
      <w:pStyle w:val="Header"/>
      <w:rPr>
        <w:szCs w:val="2"/>
      </w:rPr>
    </w:pPr>
    <w:r>
      <w:rPr>
        <w:noProof/>
        <w:sz w:val="2"/>
        <w:szCs w:val="2"/>
        <w:lang w:eastAsia="en-GB"/>
      </w:rPr>
      <w:drawing>
        <wp:inline distT="0" distB="0" distL="0" distR="0" wp14:anchorId="7E533830" wp14:editId="599F7BA1">
          <wp:extent cx="1182414" cy="809805"/>
          <wp:effectExtent l="0" t="0" r="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87051" cy="812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003A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9280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9259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9A9E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3C046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0E8D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9AD0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44B4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664E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14D5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339D9"/>
    <w:multiLevelType w:val="hybridMultilevel"/>
    <w:tmpl w:val="FC2228E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6CE4013"/>
    <w:multiLevelType w:val="hybridMultilevel"/>
    <w:tmpl w:val="D8C0D0C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 w15:restartNumberingAfterBreak="0">
    <w:nsid w:val="140A6E66"/>
    <w:multiLevelType w:val="hybridMultilevel"/>
    <w:tmpl w:val="40FC6E5E"/>
    <w:lvl w:ilvl="0" w:tplc="95D0F32C">
      <w:start w:val="1"/>
      <w:numFmt w:val="lowerRoman"/>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6B7B21"/>
    <w:multiLevelType w:val="hybridMultilevel"/>
    <w:tmpl w:val="E82472DC"/>
    <w:lvl w:ilvl="0" w:tplc="B4001228">
      <w:start w:val="1"/>
      <w:numFmt w:val="lowerRoman"/>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BB6C21"/>
    <w:multiLevelType w:val="hybridMultilevel"/>
    <w:tmpl w:val="C2A606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FC47A9"/>
    <w:multiLevelType w:val="hybridMultilevel"/>
    <w:tmpl w:val="FDA89F28"/>
    <w:lvl w:ilvl="0" w:tplc="AF524A9C">
      <w:start w:val="1"/>
      <w:numFmt w:val="bullet"/>
      <w:lvlText w:val=""/>
      <w:lvlJc w:val="left"/>
      <w:pPr>
        <w:ind w:left="1080" w:hanging="720"/>
      </w:pPr>
      <w:rPr>
        <w:rFonts w:ascii="Symbol" w:hAnsi="Symbol" w:hint="default"/>
        <w:b/>
        <w:i w:val="0"/>
        <w:color w:val="333399"/>
        <w:sz w:val="20"/>
      </w:rPr>
    </w:lvl>
    <w:lvl w:ilvl="1" w:tplc="84F070DC">
      <w:numFmt w:val="bullet"/>
      <w:lvlText w:val="-"/>
      <w:lvlJc w:val="left"/>
      <w:pPr>
        <w:ind w:left="1440" w:hanging="360"/>
      </w:pPr>
      <w:rPr>
        <w:rFonts w:ascii="Calibri" w:eastAsiaTheme="minorHAnsi" w:hAnsi="Calibri"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C81C2C"/>
    <w:multiLevelType w:val="hybridMultilevel"/>
    <w:tmpl w:val="40FC6E5E"/>
    <w:lvl w:ilvl="0" w:tplc="95D0F32C">
      <w:start w:val="1"/>
      <w:numFmt w:val="lowerRoman"/>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121E0A"/>
    <w:multiLevelType w:val="multilevel"/>
    <w:tmpl w:val="82D6C7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0447D9A"/>
    <w:multiLevelType w:val="hybridMultilevel"/>
    <w:tmpl w:val="56DA66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1A299D"/>
    <w:multiLevelType w:val="hybridMultilevel"/>
    <w:tmpl w:val="558690D2"/>
    <w:lvl w:ilvl="0" w:tplc="4938631C">
      <w:start w:val="1"/>
      <w:numFmt w:val="decimal"/>
      <w:lvlText w:val="%1."/>
      <w:lvlJc w:val="left"/>
      <w:pPr>
        <w:ind w:left="360" w:hanging="360"/>
      </w:pPr>
      <w:rPr>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461BE0"/>
    <w:multiLevelType w:val="multilevel"/>
    <w:tmpl w:val="9F9839E2"/>
    <w:name w:val="Simple List"/>
    <w:lvl w:ilvl="0">
      <w:start w:val="1"/>
      <w:numFmt w:val="decimal"/>
      <w:lvlRestart w:val="0"/>
      <w:lvlText w:val="%1."/>
      <w:lvlJc w:val="left"/>
      <w:pPr>
        <w:tabs>
          <w:tab w:val="num" w:pos="720"/>
        </w:tabs>
        <w:ind w:left="720" w:hanging="720"/>
      </w:pPr>
      <w:rPr>
        <w:b w:val="0"/>
        <w:i w:val="0"/>
        <w:caps w:val="0"/>
        <w:strike w:val="0"/>
        <w:dstrike w:val="0"/>
        <w:vanish w:val="0"/>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1" w15:restartNumberingAfterBreak="0">
    <w:nsid w:val="23FA7677"/>
    <w:multiLevelType w:val="hybridMultilevel"/>
    <w:tmpl w:val="40FC6E5E"/>
    <w:lvl w:ilvl="0" w:tplc="95D0F32C">
      <w:start w:val="1"/>
      <w:numFmt w:val="lowerRoman"/>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6F46F5"/>
    <w:multiLevelType w:val="hybridMultilevel"/>
    <w:tmpl w:val="D436A9EC"/>
    <w:lvl w:ilvl="0" w:tplc="355ED172">
      <w:start w:val="1"/>
      <w:numFmt w:val="lowerRoman"/>
      <w:lvlText w:val="(%1)"/>
      <w:lvlJc w:val="left"/>
      <w:pPr>
        <w:ind w:left="360" w:hanging="360"/>
      </w:pPr>
      <w:rPr>
        <w:rFonts w:hint="default"/>
        <w:b w:val="0"/>
        <w:bCs/>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D3F041F"/>
    <w:multiLevelType w:val="hybridMultilevel"/>
    <w:tmpl w:val="40FC6E5E"/>
    <w:lvl w:ilvl="0" w:tplc="95D0F32C">
      <w:start w:val="1"/>
      <w:numFmt w:val="lowerRoman"/>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EAF3C8C"/>
    <w:multiLevelType w:val="hybridMultilevel"/>
    <w:tmpl w:val="3376B6C4"/>
    <w:lvl w:ilvl="0" w:tplc="13DE6C38">
      <w:start w:val="1"/>
      <w:numFmt w:val="lowerRoman"/>
      <w:lvlText w:val="%1."/>
      <w:lvlJc w:val="right"/>
      <w:pPr>
        <w:ind w:left="2862" w:hanging="360"/>
      </w:pPr>
      <w:rPr>
        <w:i w:val="0"/>
        <w:iCs/>
      </w:rPr>
    </w:lvl>
    <w:lvl w:ilvl="1" w:tplc="04150019" w:tentative="1">
      <w:start w:val="1"/>
      <w:numFmt w:val="lowerLetter"/>
      <w:lvlText w:val="%2."/>
      <w:lvlJc w:val="left"/>
      <w:pPr>
        <w:ind w:left="3582" w:hanging="360"/>
      </w:pPr>
    </w:lvl>
    <w:lvl w:ilvl="2" w:tplc="0415001B" w:tentative="1">
      <w:start w:val="1"/>
      <w:numFmt w:val="lowerRoman"/>
      <w:lvlText w:val="%3."/>
      <w:lvlJc w:val="right"/>
      <w:pPr>
        <w:ind w:left="4302" w:hanging="180"/>
      </w:pPr>
    </w:lvl>
    <w:lvl w:ilvl="3" w:tplc="0415000F" w:tentative="1">
      <w:start w:val="1"/>
      <w:numFmt w:val="decimal"/>
      <w:lvlText w:val="%4."/>
      <w:lvlJc w:val="left"/>
      <w:pPr>
        <w:ind w:left="5022" w:hanging="360"/>
      </w:pPr>
    </w:lvl>
    <w:lvl w:ilvl="4" w:tplc="04150019" w:tentative="1">
      <w:start w:val="1"/>
      <w:numFmt w:val="lowerLetter"/>
      <w:lvlText w:val="%5."/>
      <w:lvlJc w:val="left"/>
      <w:pPr>
        <w:ind w:left="5742" w:hanging="360"/>
      </w:pPr>
    </w:lvl>
    <w:lvl w:ilvl="5" w:tplc="0415001B" w:tentative="1">
      <w:start w:val="1"/>
      <w:numFmt w:val="lowerRoman"/>
      <w:lvlText w:val="%6."/>
      <w:lvlJc w:val="right"/>
      <w:pPr>
        <w:ind w:left="6462" w:hanging="180"/>
      </w:pPr>
    </w:lvl>
    <w:lvl w:ilvl="6" w:tplc="0415000F" w:tentative="1">
      <w:start w:val="1"/>
      <w:numFmt w:val="decimal"/>
      <w:lvlText w:val="%7."/>
      <w:lvlJc w:val="left"/>
      <w:pPr>
        <w:ind w:left="7182" w:hanging="360"/>
      </w:pPr>
    </w:lvl>
    <w:lvl w:ilvl="7" w:tplc="04150019" w:tentative="1">
      <w:start w:val="1"/>
      <w:numFmt w:val="lowerLetter"/>
      <w:lvlText w:val="%8."/>
      <w:lvlJc w:val="left"/>
      <w:pPr>
        <w:ind w:left="7902" w:hanging="360"/>
      </w:pPr>
    </w:lvl>
    <w:lvl w:ilvl="8" w:tplc="0415001B" w:tentative="1">
      <w:start w:val="1"/>
      <w:numFmt w:val="lowerRoman"/>
      <w:lvlText w:val="%9."/>
      <w:lvlJc w:val="right"/>
      <w:pPr>
        <w:ind w:left="8622" w:hanging="180"/>
      </w:pPr>
    </w:lvl>
  </w:abstractNum>
  <w:abstractNum w:abstractNumId="25" w15:restartNumberingAfterBreak="0">
    <w:nsid w:val="3EA80010"/>
    <w:multiLevelType w:val="hybridMultilevel"/>
    <w:tmpl w:val="2FE492B2"/>
    <w:name w:val="Standard2"/>
    <w:lvl w:ilvl="0" w:tplc="3110A10E">
      <w:start w:val="1"/>
      <w:numFmt w:val="decimal"/>
      <w:pStyle w:val="StandardL2"/>
      <w:lvlText w:val="%1."/>
      <w:lvlJc w:val="left"/>
      <w:pPr>
        <w:ind w:left="720" w:hanging="360"/>
      </w:pPr>
      <w:rPr>
        <w:rFonts w:ascii="Arial" w:hAnsi="Arial" w:cs="Arial" w:hint="default"/>
        <w:color w:val="17365D" w:themeColor="text2"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C42EB0"/>
    <w:multiLevelType w:val="hybridMultilevel"/>
    <w:tmpl w:val="18FE4D98"/>
    <w:lvl w:ilvl="0" w:tplc="54C0B16A">
      <w:start w:val="1"/>
      <w:numFmt w:val="decimal"/>
      <w:lvlText w:val="%1."/>
      <w:lvlJc w:val="left"/>
      <w:pPr>
        <w:ind w:left="360" w:hanging="360"/>
      </w:pPr>
      <w:rPr>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863E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DE67F5"/>
    <w:multiLevelType w:val="hybridMultilevel"/>
    <w:tmpl w:val="40FC6E5E"/>
    <w:lvl w:ilvl="0" w:tplc="95D0F32C">
      <w:start w:val="1"/>
      <w:numFmt w:val="lowerRoman"/>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6D0A99"/>
    <w:multiLevelType w:val="hybridMultilevel"/>
    <w:tmpl w:val="561AA084"/>
    <w:lvl w:ilvl="0" w:tplc="6D42E424">
      <w:start w:val="1"/>
      <w:numFmt w:val="decimal"/>
      <w:lvlText w:val="%1."/>
      <w:lvlJc w:val="left"/>
      <w:pPr>
        <w:ind w:left="360" w:hanging="360"/>
      </w:pPr>
      <w:rPr>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3D11C6"/>
    <w:multiLevelType w:val="hybridMultilevel"/>
    <w:tmpl w:val="1752F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940C6C"/>
    <w:multiLevelType w:val="hybridMultilevel"/>
    <w:tmpl w:val="40FC6E5E"/>
    <w:lvl w:ilvl="0" w:tplc="95D0F32C">
      <w:start w:val="1"/>
      <w:numFmt w:val="lowerRoman"/>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9E1E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9F7F2A"/>
    <w:multiLevelType w:val="hybridMultilevel"/>
    <w:tmpl w:val="40FC6E5E"/>
    <w:lvl w:ilvl="0" w:tplc="95D0F32C">
      <w:start w:val="1"/>
      <w:numFmt w:val="lowerRoman"/>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78E25C3"/>
    <w:multiLevelType w:val="hybridMultilevel"/>
    <w:tmpl w:val="D76625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FC7947"/>
    <w:multiLevelType w:val="hybridMultilevel"/>
    <w:tmpl w:val="BCD24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A96597"/>
    <w:multiLevelType w:val="hybridMultilevel"/>
    <w:tmpl w:val="40FC6E5E"/>
    <w:lvl w:ilvl="0" w:tplc="95D0F32C">
      <w:start w:val="1"/>
      <w:numFmt w:val="lowerRoman"/>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5EF3E10"/>
    <w:multiLevelType w:val="hybridMultilevel"/>
    <w:tmpl w:val="40FC6E5E"/>
    <w:lvl w:ilvl="0" w:tplc="95D0F32C">
      <w:start w:val="1"/>
      <w:numFmt w:val="lowerRoman"/>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E61F92"/>
    <w:multiLevelType w:val="multilevel"/>
    <w:tmpl w:val="85DCCDC2"/>
    <w:name w:val="Standard"/>
    <w:lvl w:ilvl="0">
      <w:start w:val="1"/>
      <w:numFmt w:val="none"/>
      <w:lvlRestart w:val="0"/>
      <w:pStyle w:val="StandardL1"/>
      <w:suff w:val="nothing"/>
      <w:lvlText w:val="%1"/>
      <w:lvlJc w:val="left"/>
      <w:pPr>
        <w:tabs>
          <w:tab w:val="num" w:pos="720"/>
        </w:tabs>
        <w:ind w:left="720" w:hanging="720"/>
      </w:pPr>
      <w:rPr>
        <w:rFonts w:hint="default"/>
        <w:b/>
        <w:i w:val="0"/>
        <w:caps/>
        <w:smallCaps w:val="0"/>
        <w:strike w:val="0"/>
        <w:dstrike w:val="0"/>
        <w:vanish w:val="0"/>
        <w:color w:val="auto"/>
        <w:sz w:val="36"/>
        <w:u w:val="none"/>
        <w:vertAlign w:val="baseline"/>
      </w:rPr>
    </w:lvl>
    <w:lvl w:ilvl="1">
      <w:start w:val="1"/>
      <w:numFmt w:val="decimal"/>
      <w:isLgl/>
      <w:lvlText w:val="%2"/>
      <w:lvlJc w:val="left"/>
      <w:pPr>
        <w:tabs>
          <w:tab w:val="num" w:pos="720"/>
        </w:tabs>
        <w:ind w:left="720" w:hanging="720"/>
      </w:pPr>
      <w:rPr>
        <w:rFonts w:ascii="Arial" w:hAnsi="Arial" w:cs="Arial"/>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Arial" w:hAnsi="Arial" w:cs="Arial"/>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Arial" w:hAnsi="Arial" w:cs="Arial"/>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tandardL9"/>
      <w:lvlText w:val="(%9)"/>
      <w:lvlJc w:val="left"/>
      <w:pPr>
        <w:tabs>
          <w:tab w:val="num" w:pos="2160"/>
        </w:tabs>
        <w:ind w:left="2160" w:hanging="720"/>
      </w:pPr>
      <w:rPr>
        <w:rFonts w:ascii="Arial" w:hAnsi="Arial" w:cs="Arial"/>
        <w:b w:val="0"/>
        <w:i w:val="0"/>
        <w:caps w:val="0"/>
        <w:strike w:val="0"/>
        <w:dstrike w:val="0"/>
        <w:vanish w:val="0"/>
        <w:color w:val="auto"/>
        <w:sz w:val="24"/>
        <w:u w:val="none"/>
        <w:vertAlign w:val="baseline"/>
      </w:rPr>
    </w:lvl>
  </w:abstractNum>
  <w:abstractNum w:abstractNumId="39" w15:restartNumberingAfterBreak="0">
    <w:nsid w:val="6D5825E3"/>
    <w:multiLevelType w:val="hybridMultilevel"/>
    <w:tmpl w:val="2D6CDAA6"/>
    <w:lvl w:ilvl="0" w:tplc="CFF0E8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1BE477B"/>
    <w:multiLevelType w:val="hybridMultilevel"/>
    <w:tmpl w:val="40FC6E5E"/>
    <w:lvl w:ilvl="0" w:tplc="95D0F32C">
      <w:start w:val="1"/>
      <w:numFmt w:val="lowerRoman"/>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1CA23B8"/>
    <w:multiLevelType w:val="hybridMultilevel"/>
    <w:tmpl w:val="7596564C"/>
    <w:name w:val="171bedba-c3fd-447c-996f-4c21d8657961"/>
    <w:lvl w:ilvl="0" w:tplc="977A9F58">
      <w:start w:val="1"/>
      <w:numFmt w:val="decimal"/>
      <w:lvlText w:val="%1."/>
      <w:lvlJc w:val="left"/>
      <w:pPr>
        <w:ind w:left="720" w:hanging="360"/>
      </w:pPr>
      <w:rPr>
        <w:rFonts w:hint="default"/>
      </w:rPr>
    </w:lvl>
    <w:lvl w:ilvl="1" w:tplc="7B72589E" w:tentative="1">
      <w:start w:val="1"/>
      <w:numFmt w:val="lowerLetter"/>
      <w:lvlText w:val="%2."/>
      <w:lvlJc w:val="left"/>
      <w:pPr>
        <w:ind w:left="1440" w:hanging="360"/>
      </w:pPr>
    </w:lvl>
    <w:lvl w:ilvl="2" w:tplc="1CD0ACBA" w:tentative="1">
      <w:start w:val="1"/>
      <w:numFmt w:val="lowerRoman"/>
      <w:lvlText w:val="%3."/>
      <w:lvlJc w:val="right"/>
      <w:pPr>
        <w:ind w:left="2160" w:hanging="180"/>
      </w:pPr>
    </w:lvl>
    <w:lvl w:ilvl="3" w:tplc="0BE4A75A" w:tentative="1">
      <w:start w:val="1"/>
      <w:numFmt w:val="decimal"/>
      <w:lvlText w:val="%4."/>
      <w:lvlJc w:val="left"/>
      <w:pPr>
        <w:ind w:left="2880" w:hanging="360"/>
      </w:pPr>
    </w:lvl>
    <w:lvl w:ilvl="4" w:tplc="C066C324" w:tentative="1">
      <w:start w:val="1"/>
      <w:numFmt w:val="lowerLetter"/>
      <w:lvlText w:val="%5."/>
      <w:lvlJc w:val="left"/>
      <w:pPr>
        <w:ind w:left="3600" w:hanging="360"/>
      </w:pPr>
    </w:lvl>
    <w:lvl w:ilvl="5" w:tplc="DA44069E" w:tentative="1">
      <w:start w:val="1"/>
      <w:numFmt w:val="lowerRoman"/>
      <w:lvlText w:val="%6."/>
      <w:lvlJc w:val="right"/>
      <w:pPr>
        <w:ind w:left="4320" w:hanging="180"/>
      </w:pPr>
    </w:lvl>
    <w:lvl w:ilvl="6" w:tplc="5AE80BFE" w:tentative="1">
      <w:start w:val="1"/>
      <w:numFmt w:val="decimal"/>
      <w:lvlText w:val="%7."/>
      <w:lvlJc w:val="left"/>
      <w:pPr>
        <w:ind w:left="5040" w:hanging="360"/>
      </w:pPr>
    </w:lvl>
    <w:lvl w:ilvl="7" w:tplc="92DC7988" w:tentative="1">
      <w:start w:val="1"/>
      <w:numFmt w:val="lowerLetter"/>
      <w:lvlText w:val="%8."/>
      <w:lvlJc w:val="left"/>
      <w:pPr>
        <w:ind w:left="5760" w:hanging="360"/>
      </w:pPr>
    </w:lvl>
    <w:lvl w:ilvl="8" w:tplc="E05266A6" w:tentative="1">
      <w:start w:val="1"/>
      <w:numFmt w:val="lowerRoman"/>
      <w:lvlText w:val="%9."/>
      <w:lvlJc w:val="right"/>
      <w:pPr>
        <w:ind w:left="6480" w:hanging="180"/>
      </w:pPr>
    </w:lvl>
  </w:abstractNum>
  <w:abstractNum w:abstractNumId="42" w15:restartNumberingAfterBreak="0">
    <w:nsid w:val="73BC4756"/>
    <w:multiLevelType w:val="hybridMultilevel"/>
    <w:tmpl w:val="40FC6E5E"/>
    <w:lvl w:ilvl="0" w:tplc="95D0F32C">
      <w:start w:val="1"/>
      <w:numFmt w:val="lowerRoman"/>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3F374E4"/>
    <w:multiLevelType w:val="multilevel"/>
    <w:tmpl w:val="80502248"/>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0A79BB"/>
    <w:multiLevelType w:val="hybridMultilevel"/>
    <w:tmpl w:val="40FC6E5E"/>
    <w:lvl w:ilvl="0" w:tplc="95D0F32C">
      <w:start w:val="1"/>
      <w:numFmt w:val="lowerRoman"/>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8"/>
  </w:num>
  <w:num w:numId="2">
    <w:abstractNumId w:val="20"/>
  </w:num>
  <w:num w:numId="3">
    <w:abstractNumId w:val="25"/>
  </w:num>
  <w:num w:numId="4">
    <w:abstractNumId w:val="4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24"/>
  </w:num>
  <w:num w:numId="17">
    <w:abstractNumId w:val="19"/>
  </w:num>
  <w:num w:numId="18">
    <w:abstractNumId w:val="15"/>
  </w:num>
  <w:num w:numId="19">
    <w:abstractNumId w:val="21"/>
  </w:num>
  <w:num w:numId="20">
    <w:abstractNumId w:val="28"/>
  </w:num>
  <w:num w:numId="21">
    <w:abstractNumId w:val="37"/>
  </w:num>
  <w:num w:numId="22">
    <w:abstractNumId w:val="29"/>
  </w:num>
  <w:num w:numId="23">
    <w:abstractNumId w:val="12"/>
  </w:num>
  <w:num w:numId="24">
    <w:abstractNumId w:val="40"/>
  </w:num>
  <w:num w:numId="25">
    <w:abstractNumId w:val="42"/>
  </w:num>
  <w:num w:numId="26">
    <w:abstractNumId w:val="16"/>
  </w:num>
  <w:num w:numId="27">
    <w:abstractNumId w:val="33"/>
  </w:num>
  <w:num w:numId="28">
    <w:abstractNumId w:val="44"/>
  </w:num>
  <w:num w:numId="29">
    <w:abstractNumId w:val="36"/>
  </w:num>
  <w:num w:numId="30">
    <w:abstractNumId w:val="23"/>
  </w:num>
  <w:num w:numId="31">
    <w:abstractNumId w:val="26"/>
  </w:num>
  <w:num w:numId="32">
    <w:abstractNumId w:val="31"/>
  </w:num>
  <w:num w:numId="33">
    <w:abstractNumId w:val="17"/>
  </w:num>
  <w:num w:numId="34">
    <w:abstractNumId w:val="39"/>
  </w:num>
  <w:num w:numId="35">
    <w:abstractNumId w:val="43"/>
  </w:num>
  <w:num w:numId="36">
    <w:abstractNumId w:val="32"/>
  </w:num>
  <w:num w:numId="37">
    <w:abstractNumId w:val="27"/>
  </w:num>
  <w:num w:numId="38">
    <w:abstractNumId w:val="10"/>
  </w:num>
  <w:num w:numId="39">
    <w:abstractNumId w:val="11"/>
  </w:num>
  <w:num w:numId="40">
    <w:abstractNumId w:val="14"/>
  </w:num>
  <w:num w:numId="41">
    <w:abstractNumId w:val="30"/>
  </w:num>
  <w:num w:numId="42">
    <w:abstractNumId w:val="35"/>
  </w:num>
  <w:num w:numId="43">
    <w:abstractNumId w:val="18"/>
  </w:num>
  <w:num w:numId="44">
    <w:abstractNumId w:val="13"/>
  </w:num>
  <w:num w:numId="45">
    <w:abstractNumId w:val="22"/>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DC"/>
    <w:rsid w:val="000048C7"/>
    <w:rsid w:val="00006B09"/>
    <w:rsid w:val="00007332"/>
    <w:rsid w:val="00010391"/>
    <w:rsid w:val="00013AE7"/>
    <w:rsid w:val="0001595F"/>
    <w:rsid w:val="00017CBC"/>
    <w:rsid w:val="00020B26"/>
    <w:rsid w:val="000224EE"/>
    <w:rsid w:val="00031D37"/>
    <w:rsid w:val="0003287F"/>
    <w:rsid w:val="00032ABD"/>
    <w:rsid w:val="00035C3B"/>
    <w:rsid w:val="00040228"/>
    <w:rsid w:val="0004543F"/>
    <w:rsid w:val="00045A26"/>
    <w:rsid w:val="00047629"/>
    <w:rsid w:val="000515DC"/>
    <w:rsid w:val="00074BA6"/>
    <w:rsid w:val="00074E56"/>
    <w:rsid w:val="00076A51"/>
    <w:rsid w:val="00080456"/>
    <w:rsid w:val="0008389A"/>
    <w:rsid w:val="000873FC"/>
    <w:rsid w:val="00087E25"/>
    <w:rsid w:val="00092DF5"/>
    <w:rsid w:val="00094311"/>
    <w:rsid w:val="000A1165"/>
    <w:rsid w:val="000A206A"/>
    <w:rsid w:val="000A3126"/>
    <w:rsid w:val="000B0CE4"/>
    <w:rsid w:val="000B6074"/>
    <w:rsid w:val="000B64C6"/>
    <w:rsid w:val="000B6F92"/>
    <w:rsid w:val="000B7C8D"/>
    <w:rsid w:val="000C178F"/>
    <w:rsid w:val="000C3008"/>
    <w:rsid w:val="000C3B9C"/>
    <w:rsid w:val="000C4E78"/>
    <w:rsid w:val="000C58BC"/>
    <w:rsid w:val="000C593D"/>
    <w:rsid w:val="000C637F"/>
    <w:rsid w:val="000C70DD"/>
    <w:rsid w:val="000D35C0"/>
    <w:rsid w:val="000D42F3"/>
    <w:rsid w:val="000D5B89"/>
    <w:rsid w:val="000D73CF"/>
    <w:rsid w:val="000E18FB"/>
    <w:rsid w:val="000E33FC"/>
    <w:rsid w:val="000E5DE1"/>
    <w:rsid w:val="000E6FC9"/>
    <w:rsid w:val="000F5282"/>
    <w:rsid w:val="000F5446"/>
    <w:rsid w:val="000F7558"/>
    <w:rsid w:val="0010235C"/>
    <w:rsid w:val="0010328D"/>
    <w:rsid w:val="00103A96"/>
    <w:rsid w:val="00103E85"/>
    <w:rsid w:val="00104E23"/>
    <w:rsid w:val="00105CDB"/>
    <w:rsid w:val="00106C66"/>
    <w:rsid w:val="00110CD4"/>
    <w:rsid w:val="0011337A"/>
    <w:rsid w:val="001170A0"/>
    <w:rsid w:val="00117976"/>
    <w:rsid w:val="00117C03"/>
    <w:rsid w:val="001210DE"/>
    <w:rsid w:val="00122887"/>
    <w:rsid w:val="001247F7"/>
    <w:rsid w:val="00124EA4"/>
    <w:rsid w:val="00125164"/>
    <w:rsid w:val="001260D6"/>
    <w:rsid w:val="0013128B"/>
    <w:rsid w:val="00133864"/>
    <w:rsid w:val="0013400E"/>
    <w:rsid w:val="001400EB"/>
    <w:rsid w:val="00140978"/>
    <w:rsid w:val="001415A9"/>
    <w:rsid w:val="00141AE6"/>
    <w:rsid w:val="0014296B"/>
    <w:rsid w:val="00143357"/>
    <w:rsid w:val="00143E86"/>
    <w:rsid w:val="0014501D"/>
    <w:rsid w:val="00145C23"/>
    <w:rsid w:val="00146E42"/>
    <w:rsid w:val="001626C4"/>
    <w:rsid w:val="00165106"/>
    <w:rsid w:val="00166BBC"/>
    <w:rsid w:val="00177130"/>
    <w:rsid w:val="00182658"/>
    <w:rsid w:val="00182674"/>
    <w:rsid w:val="00184199"/>
    <w:rsid w:val="00186B97"/>
    <w:rsid w:val="00186BDA"/>
    <w:rsid w:val="001871FD"/>
    <w:rsid w:val="0019353D"/>
    <w:rsid w:val="00194114"/>
    <w:rsid w:val="00196951"/>
    <w:rsid w:val="00197572"/>
    <w:rsid w:val="001A19E1"/>
    <w:rsid w:val="001A3869"/>
    <w:rsid w:val="001A47CA"/>
    <w:rsid w:val="001A57DA"/>
    <w:rsid w:val="001B1729"/>
    <w:rsid w:val="001B3C2D"/>
    <w:rsid w:val="001B581B"/>
    <w:rsid w:val="001C1797"/>
    <w:rsid w:val="001C57C2"/>
    <w:rsid w:val="001C5867"/>
    <w:rsid w:val="001D0226"/>
    <w:rsid w:val="001D180E"/>
    <w:rsid w:val="001D19F0"/>
    <w:rsid w:val="001D2C0D"/>
    <w:rsid w:val="001D38A3"/>
    <w:rsid w:val="001D3E3B"/>
    <w:rsid w:val="001D4F21"/>
    <w:rsid w:val="001D750A"/>
    <w:rsid w:val="001E0C94"/>
    <w:rsid w:val="001E17DA"/>
    <w:rsid w:val="001E403E"/>
    <w:rsid w:val="001E5B9C"/>
    <w:rsid w:val="001E6595"/>
    <w:rsid w:val="001F2647"/>
    <w:rsid w:val="001F4EAE"/>
    <w:rsid w:val="001F642C"/>
    <w:rsid w:val="001F6736"/>
    <w:rsid w:val="001F6887"/>
    <w:rsid w:val="0020226A"/>
    <w:rsid w:val="00203FDA"/>
    <w:rsid w:val="00207940"/>
    <w:rsid w:val="002126F2"/>
    <w:rsid w:val="00213933"/>
    <w:rsid w:val="002144C8"/>
    <w:rsid w:val="002158EB"/>
    <w:rsid w:val="00216278"/>
    <w:rsid w:val="00217355"/>
    <w:rsid w:val="00220F43"/>
    <w:rsid w:val="00223648"/>
    <w:rsid w:val="002248F1"/>
    <w:rsid w:val="00224B8D"/>
    <w:rsid w:val="00226012"/>
    <w:rsid w:val="00226CBC"/>
    <w:rsid w:val="00227FB5"/>
    <w:rsid w:val="00231491"/>
    <w:rsid w:val="00232381"/>
    <w:rsid w:val="00232880"/>
    <w:rsid w:val="00235DEE"/>
    <w:rsid w:val="002419B4"/>
    <w:rsid w:val="00242105"/>
    <w:rsid w:val="00242EDF"/>
    <w:rsid w:val="00243293"/>
    <w:rsid w:val="00244CEB"/>
    <w:rsid w:val="00244CF4"/>
    <w:rsid w:val="00244D5F"/>
    <w:rsid w:val="00250D03"/>
    <w:rsid w:val="0025237E"/>
    <w:rsid w:val="0025486D"/>
    <w:rsid w:val="00255118"/>
    <w:rsid w:val="0026293C"/>
    <w:rsid w:val="00264667"/>
    <w:rsid w:val="00265654"/>
    <w:rsid w:val="00270CC1"/>
    <w:rsid w:val="00275AC2"/>
    <w:rsid w:val="002767D8"/>
    <w:rsid w:val="002771DA"/>
    <w:rsid w:val="00284568"/>
    <w:rsid w:val="00284FF9"/>
    <w:rsid w:val="00285A1F"/>
    <w:rsid w:val="00285A39"/>
    <w:rsid w:val="00285C34"/>
    <w:rsid w:val="00285DAD"/>
    <w:rsid w:val="002947B6"/>
    <w:rsid w:val="00295BFC"/>
    <w:rsid w:val="002A06CA"/>
    <w:rsid w:val="002A0DFA"/>
    <w:rsid w:val="002A241D"/>
    <w:rsid w:val="002A2B1A"/>
    <w:rsid w:val="002A5949"/>
    <w:rsid w:val="002A5E59"/>
    <w:rsid w:val="002B1704"/>
    <w:rsid w:val="002B1833"/>
    <w:rsid w:val="002B3CEC"/>
    <w:rsid w:val="002B40FD"/>
    <w:rsid w:val="002B6117"/>
    <w:rsid w:val="002C2172"/>
    <w:rsid w:val="002E427C"/>
    <w:rsid w:val="002E4D96"/>
    <w:rsid w:val="002E54C9"/>
    <w:rsid w:val="002E6FA4"/>
    <w:rsid w:val="002F08B6"/>
    <w:rsid w:val="002F0997"/>
    <w:rsid w:val="002F1F1F"/>
    <w:rsid w:val="002F2178"/>
    <w:rsid w:val="002F3686"/>
    <w:rsid w:val="002F5453"/>
    <w:rsid w:val="002F6989"/>
    <w:rsid w:val="00301802"/>
    <w:rsid w:val="00301C62"/>
    <w:rsid w:val="00302D10"/>
    <w:rsid w:val="00307F83"/>
    <w:rsid w:val="00311453"/>
    <w:rsid w:val="00311B42"/>
    <w:rsid w:val="00311B67"/>
    <w:rsid w:val="00312D6D"/>
    <w:rsid w:val="00317D34"/>
    <w:rsid w:val="00321D3F"/>
    <w:rsid w:val="00321DC4"/>
    <w:rsid w:val="003229D5"/>
    <w:rsid w:val="00322C2F"/>
    <w:rsid w:val="003240CC"/>
    <w:rsid w:val="003247A4"/>
    <w:rsid w:val="00326A51"/>
    <w:rsid w:val="00336DAF"/>
    <w:rsid w:val="00346264"/>
    <w:rsid w:val="00347329"/>
    <w:rsid w:val="00350203"/>
    <w:rsid w:val="0035440C"/>
    <w:rsid w:val="003627E2"/>
    <w:rsid w:val="00362C5C"/>
    <w:rsid w:val="003649B1"/>
    <w:rsid w:val="0036577C"/>
    <w:rsid w:val="00370041"/>
    <w:rsid w:val="00370DB2"/>
    <w:rsid w:val="00372504"/>
    <w:rsid w:val="00372FAC"/>
    <w:rsid w:val="00381819"/>
    <w:rsid w:val="003874BF"/>
    <w:rsid w:val="00387736"/>
    <w:rsid w:val="00390108"/>
    <w:rsid w:val="003901DD"/>
    <w:rsid w:val="0039087D"/>
    <w:rsid w:val="00392220"/>
    <w:rsid w:val="00392CF3"/>
    <w:rsid w:val="00396DD9"/>
    <w:rsid w:val="003A21AC"/>
    <w:rsid w:val="003A23E9"/>
    <w:rsid w:val="003A4DBF"/>
    <w:rsid w:val="003A6DC5"/>
    <w:rsid w:val="003B228E"/>
    <w:rsid w:val="003B3AAC"/>
    <w:rsid w:val="003B3DBB"/>
    <w:rsid w:val="003C238E"/>
    <w:rsid w:val="003C5FB7"/>
    <w:rsid w:val="003C64DB"/>
    <w:rsid w:val="003C79AA"/>
    <w:rsid w:val="003F0525"/>
    <w:rsid w:val="003F4106"/>
    <w:rsid w:val="003F5109"/>
    <w:rsid w:val="00400382"/>
    <w:rsid w:val="004043C2"/>
    <w:rsid w:val="0040473C"/>
    <w:rsid w:val="00411595"/>
    <w:rsid w:val="00411DB8"/>
    <w:rsid w:val="00414726"/>
    <w:rsid w:val="004148AF"/>
    <w:rsid w:val="00417FC4"/>
    <w:rsid w:val="00425C8D"/>
    <w:rsid w:val="004313B4"/>
    <w:rsid w:val="004317FA"/>
    <w:rsid w:val="00435625"/>
    <w:rsid w:val="00435FD5"/>
    <w:rsid w:val="00436F3F"/>
    <w:rsid w:val="00440F02"/>
    <w:rsid w:val="0044165C"/>
    <w:rsid w:val="00441943"/>
    <w:rsid w:val="00442898"/>
    <w:rsid w:val="00443FC6"/>
    <w:rsid w:val="0044527F"/>
    <w:rsid w:val="004540BB"/>
    <w:rsid w:val="00454228"/>
    <w:rsid w:val="0045438F"/>
    <w:rsid w:val="00455003"/>
    <w:rsid w:val="004572CE"/>
    <w:rsid w:val="0046043D"/>
    <w:rsid w:val="004625BB"/>
    <w:rsid w:val="00462EAD"/>
    <w:rsid w:val="0046557F"/>
    <w:rsid w:val="00470AEF"/>
    <w:rsid w:val="00470DAC"/>
    <w:rsid w:val="00471047"/>
    <w:rsid w:val="00472297"/>
    <w:rsid w:val="00480138"/>
    <w:rsid w:val="004811FA"/>
    <w:rsid w:val="00483AAA"/>
    <w:rsid w:val="00484791"/>
    <w:rsid w:val="00486237"/>
    <w:rsid w:val="0049309C"/>
    <w:rsid w:val="004A1B4E"/>
    <w:rsid w:val="004A53F3"/>
    <w:rsid w:val="004A78B9"/>
    <w:rsid w:val="004B655A"/>
    <w:rsid w:val="004B7A1F"/>
    <w:rsid w:val="004C41EF"/>
    <w:rsid w:val="004C5CB9"/>
    <w:rsid w:val="004D3BC7"/>
    <w:rsid w:val="004D415E"/>
    <w:rsid w:val="004D45A5"/>
    <w:rsid w:val="004E24DD"/>
    <w:rsid w:val="004E394C"/>
    <w:rsid w:val="004E704C"/>
    <w:rsid w:val="004E7666"/>
    <w:rsid w:val="004F3483"/>
    <w:rsid w:val="004F5C17"/>
    <w:rsid w:val="004F6653"/>
    <w:rsid w:val="0050111A"/>
    <w:rsid w:val="00502087"/>
    <w:rsid w:val="00503ABE"/>
    <w:rsid w:val="00506E93"/>
    <w:rsid w:val="00507C70"/>
    <w:rsid w:val="00525B41"/>
    <w:rsid w:val="00533DA5"/>
    <w:rsid w:val="00537204"/>
    <w:rsid w:val="00537ACF"/>
    <w:rsid w:val="00537BA1"/>
    <w:rsid w:val="00541857"/>
    <w:rsid w:val="00545444"/>
    <w:rsid w:val="005474FD"/>
    <w:rsid w:val="00550BB5"/>
    <w:rsid w:val="00552EF9"/>
    <w:rsid w:val="0055323B"/>
    <w:rsid w:val="005568EA"/>
    <w:rsid w:val="00557852"/>
    <w:rsid w:val="005619E6"/>
    <w:rsid w:val="005625A6"/>
    <w:rsid w:val="00564A04"/>
    <w:rsid w:val="0056601E"/>
    <w:rsid w:val="00566453"/>
    <w:rsid w:val="0057019B"/>
    <w:rsid w:val="00570995"/>
    <w:rsid w:val="00571D76"/>
    <w:rsid w:val="00572308"/>
    <w:rsid w:val="00572310"/>
    <w:rsid w:val="00573590"/>
    <w:rsid w:val="00576767"/>
    <w:rsid w:val="00577D1E"/>
    <w:rsid w:val="0058249A"/>
    <w:rsid w:val="00582CE0"/>
    <w:rsid w:val="005862D7"/>
    <w:rsid w:val="00586878"/>
    <w:rsid w:val="0059149F"/>
    <w:rsid w:val="00592702"/>
    <w:rsid w:val="00592DF7"/>
    <w:rsid w:val="00593728"/>
    <w:rsid w:val="00595041"/>
    <w:rsid w:val="00595144"/>
    <w:rsid w:val="005963CB"/>
    <w:rsid w:val="00597B8B"/>
    <w:rsid w:val="005A0CAD"/>
    <w:rsid w:val="005A3B36"/>
    <w:rsid w:val="005B15E2"/>
    <w:rsid w:val="005C04F3"/>
    <w:rsid w:val="005C09C5"/>
    <w:rsid w:val="005C0BFF"/>
    <w:rsid w:val="005C22C7"/>
    <w:rsid w:val="005C328D"/>
    <w:rsid w:val="005C51FB"/>
    <w:rsid w:val="005D0E0B"/>
    <w:rsid w:val="005D0FB6"/>
    <w:rsid w:val="005D22A9"/>
    <w:rsid w:val="005D3B39"/>
    <w:rsid w:val="005D564E"/>
    <w:rsid w:val="005D5687"/>
    <w:rsid w:val="005D7A00"/>
    <w:rsid w:val="005E103C"/>
    <w:rsid w:val="005E41F4"/>
    <w:rsid w:val="005E4C01"/>
    <w:rsid w:val="005E6DD7"/>
    <w:rsid w:val="005E783A"/>
    <w:rsid w:val="005E7BA3"/>
    <w:rsid w:val="005F365A"/>
    <w:rsid w:val="005F5708"/>
    <w:rsid w:val="006024C6"/>
    <w:rsid w:val="006037F1"/>
    <w:rsid w:val="0060427C"/>
    <w:rsid w:val="00604867"/>
    <w:rsid w:val="006105E3"/>
    <w:rsid w:val="00611EFD"/>
    <w:rsid w:val="006166A9"/>
    <w:rsid w:val="00616C15"/>
    <w:rsid w:val="00621AB2"/>
    <w:rsid w:val="00625656"/>
    <w:rsid w:val="00625F5E"/>
    <w:rsid w:val="0062709B"/>
    <w:rsid w:val="00630D77"/>
    <w:rsid w:val="0063280A"/>
    <w:rsid w:val="0064074D"/>
    <w:rsid w:val="00640DDA"/>
    <w:rsid w:val="00653300"/>
    <w:rsid w:val="00655132"/>
    <w:rsid w:val="00655A61"/>
    <w:rsid w:val="0065734A"/>
    <w:rsid w:val="00660525"/>
    <w:rsid w:val="0066079C"/>
    <w:rsid w:val="00662D68"/>
    <w:rsid w:val="00663ACF"/>
    <w:rsid w:val="0066610C"/>
    <w:rsid w:val="00673549"/>
    <w:rsid w:val="00675B18"/>
    <w:rsid w:val="006770F6"/>
    <w:rsid w:val="0068053A"/>
    <w:rsid w:val="00686152"/>
    <w:rsid w:val="00690B4A"/>
    <w:rsid w:val="006910CF"/>
    <w:rsid w:val="00693157"/>
    <w:rsid w:val="00693FAE"/>
    <w:rsid w:val="006A3636"/>
    <w:rsid w:val="006A4AF7"/>
    <w:rsid w:val="006A6F1B"/>
    <w:rsid w:val="006B0FD8"/>
    <w:rsid w:val="006B123E"/>
    <w:rsid w:val="006B2BDF"/>
    <w:rsid w:val="006B4047"/>
    <w:rsid w:val="006B75A0"/>
    <w:rsid w:val="006C67B1"/>
    <w:rsid w:val="006C7AC5"/>
    <w:rsid w:val="006D0DE6"/>
    <w:rsid w:val="006D1E98"/>
    <w:rsid w:val="006D2B4B"/>
    <w:rsid w:val="006D7AAC"/>
    <w:rsid w:val="006E13C1"/>
    <w:rsid w:val="006E3660"/>
    <w:rsid w:val="006E5704"/>
    <w:rsid w:val="006F1C3A"/>
    <w:rsid w:val="006F260B"/>
    <w:rsid w:val="006F6C69"/>
    <w:rsid w:val="006F7523"/>
    <w:rsid w:val="006F7A0C"/>
    <w:rsid w:val="006F7B71"/>
    <w:rsid w:val="007008CE"/>
    <w:rsid w:val="00702BCF"/>
    <w:rsid w:val="00702DB5"/>
    <w:rsid w:val="0070649E"/>
    <w:rsid w:val="0071005E"/>
    <w:rsid w:val="0071187C"/>
    <w:rsid w:val="00712244"/>
    <w:rsid w:val="0072304E"/>
    <w:rsid w:val="0072499D"/>
    <w:rsid w:val="00725A9C"/>
    <w:rsid w:val="00727E0D"/>
    <w:rsid w:val="00735ADB"/>
    <w:rsid w:val="007410D1"/>
    <w:rsid w:val="00741647"/>
    <w:rsid w:val="00741B60"/>
    <w:rsid w:val="00742297"/>
    <w:rsid w:val="00742662"/>
    <w:rsid w:val="00743338"/>
    <w:rsid w:val="00744E9D"/>
    <w:rsid w:val="00746DA4"/>
    <w:rsid w:val="00753FD9"/>
    <w:rsid w:val="007556EE"/>
    <w:rsid w:val="00755E9C"/>
    <w:rsid w:val="00756883"/>
    <w:rsid w:val="0075777F"/>
    <w:rsid w:val="00761F29"/>
    <w:rsid w:val="00762E31"/>
    <w:rsid w:val="00763849"/>
    <w:rsid w:val="0077065E"/>
    <w:rsid w:val="0077130D"/>
    <w:rsid w:val="00771333"/>
    <w:rsid w:val="00775112"/>
    <w:rsid w:val="0077561B"/>
    <w:rsid w:val="00782915"/>
    <w:rsid w:val="00782DF4"/>
    <w:rsid w:val="007872C0"/>
    <w:rsid w:val="00787D5B"/>
    <w:rsid w:val="00791077"/>
    <w:rsid w:val="00793ADB"/>
    <w:rsid w:val="00794200"/>
    <w:rsid w:val="007A04DC"/>
    <w:rsid w:val="007A2AAB"/>
    <w:rsid w:val="007A2F4E"/>
    <w:rsid w:val="007A45D0"/>
    <w:rsid w:val="007A6018"/>
    <w:rsid w:val="007B44C3"/>
    <w:rsid w:val="007B4E9A"/>
    <w:rsid w:val="007B5BEB"/>
    <w:rsid w:val="007B6A43"/>
    <w:rsid w:val="007C0E6D"/>
    <w:rsid w:val="007C1AC7"/>
    <w:rsid w:val="007C2273"/>
    <w:rsid w:val="007C5A2D"/>
    <w:rsid w:val="007C7D13"/>
    <w:rsid w:val="007D439C"/>
    <w:rsid w:val="007D6A76"/>
    <w:rsid w:val="007D6B5E"/>
    <w:rsid w:val="007E32DA"/>
    <w:rsid w:val="007E60B3"/>
    <w:rsid w:val="007E68C8"/>
    <w:rsid w:val="007E732C"/>
    <w:rsid w:val="007E7AF9"/>
    <w:rsid w:val="007F0D15"/>
    <w:rsid w:val="007F2CD7"/>
    <w:rsid w:val="007F3106"/>
    <w:rsid w:val="007F3838"/>
    <w:rsid w:val="007F49DA"/>
    <w:rsid w:val="007F5192"/>
    <w:rsid w:val="007F6E71"/>
    <w:rsid w:val="007F7077"/>
    <w:rsid w:val="008049B0"/>
    <w:rsid w:val="00807CC7"/>
    <w:rsid w:val="00813851"/>
    <w:rsid w:val="0081681F"/>
    <w:rsid w:val="00821D74"/>
    <w:rsid w:val="0082246D"/>
    <w:rsid w:val="008231E8"/>
    <w:rsid w:val="00824570"/>
    <w:rsid w:val="00825AFB"/>
    <w:rsid w:val="00826936"/>
    <w:rsid w:val="00827775"/>
    <w:rsid w:val="00827F56"/>
    <w:rsid w:val="00831BC7"/>
    <w:rsid w:val="00833C61"/>
    <w:rsid w:val="00837218"/>
    <w:rsid w:val="00840222"/>
    <w:rsid w:val="00840D51"/>
    <w:rsid w:val="008435D4"/>
    <w:rsid w:val="00843B1A"/>
    <w:rsid w:val="00845F23"/>
    <w:rsid w:val="00847BBA"/>
    <w:rsid w:val="00847CB5"/>
    <w:rsid w:val="00851906"/>
    <w:rsid w:val="0085206D"/>
    <w:rsid w:val="00857C57"/>
    <w:rsid w:val="008615BF"/>
    <w:rsid w:val="0086233F"/>
    <w:rsid w:val="008658EF"/>
    <w:rsid w:val="00867777"/>
    <w:rsid w:val="0087232B"/>
    <w:rsid w:val="008771D6"/>
    <w:rsid w:val="008772E2"/>
    <w:rsid w:val="00880418"/>
    <w:rsid w:val="00880AA4"/>
    <w:rsid w:val="008833B1"/>
    <w:rsid w:val="00884925"/>
    <w:rsid w:val="00891124"/>
    <w:rsid w:val="00891A87"/>
    <w:rsid w:val="008935B1"/>
    <w:rsid w:val="00895405"/>
    <w:rsid w:val="00895841"/>
    <w:rsid w:val="008A060F"/>
    <w:rsid w:val="008A13A2"/>
    <w:rsid w:val="008A2C74"/>
    <w:rsid w:val="008A4018"/>
    <w:rsid w:val="008B15F8"/>
    <w:rsid w:val="008B180D"/>
    <w:rsid w:val="008B58C3"/>
    <w:rsid w:val="008C0894"/>
    <w:rsid w:val="008C2027"/>
    <w:rsid w:val="008C231F"/>
    <w:rsid w:val="008C2532"/>
    <w:rsid w:val="008C3D2C"/>
    <w:rsid w:val="008C4101"/>
    <w:rsid w:val="008C4115"/>
    <w:rsid w:val="008C441B"/>
    <w:rsid w:val="008C5EF3"/>
    <w:rsid w:val="008D07F3"/>
    <w:rsid w:val="008D66AC"/>
    <w:rsid w:val="008E09EE"/>
    <w:rsid w:val="008E2304"/>
    <w:rsid w:val="008E54B8"/>
    <w:rsid w:val="008E6853"/>
    <w:rsid w:val="008F00FF"/>
    <w:rsid w:val="008F19C0"/>
    <w:rsid w:val="008F2523"/>
    <w:rsid w:val="008F2EA1"/>
    <w:rsid w:val="008F3E88"/>
    <w:rsid w:val="008F5B73"/>
    <w:rsid w:val="00902FC0"/>
    <w:rsid w:val="009039DB"/>
    <w:rsid w:val="009049F6"/>
    <w:rsid w:val="00906019"/>
    <w:rsid w:val="009062A3"/>
    <w:rsid w:val="0090668C"/>
    <w:rsid w:val="00911487"/>
    <w:rsid w:val="00915F2D"/>
    <w:rsid w:val="00923C9F"/>
    <w:rsid w:val="00924B98"/>
    <w:rsid w:val="00933935"/>
    <w:rsid w:val="00933E97"/>
    <w:rsid w:val="00934532"/>
    <w:rsid w:val="00935179"/>
    <w:rsid w:val="009372E4"/>
    <w:rsid w:val="00942A7A"/>
    <w:rsid w:val="009437D3"/>
    <w:rsid w:val="00945C79"/>
    <w:rsid w:val="00946578"/>
    <w:rsid w:val="00946919"/>
    <w:rsid w:val="009471FB"/>
    <w:rsid w:val="0095309C"/>
    <w:rsid w:val="009573E7"/>
    <w:rsid w:val="00961207"/>
    <w:rsid w:val="009619FD"/>
    <w:rsid w:val="009628C5"/>
    <w:rsid w:val="00962F7A"/>
    <w:rsid w:val="0096409A"/>
    <w:rsid w:val="00964BA8"/>
    <w:rsid w:val="00965787"/>
    <w:rsid w:val="009660D7"/>
    <w:rsid w:val="00966DE8"/>
    <w:rsid w:val="009676C4"/>
    <w:rsid w:val="00972894"/>
    <w:rsid w:val="00972C90"/>
    <w:rsid w:val="0097385A"/>
    <w:rsid w:val="00974164"/>
    <w:rsid w:val="0097777A"/>
    <w:rsid w:val="009809F4"/>
    <w:rsid w:val="00980BFA"/>
    <w:rsid w:val="00984C33"/>
    <w:rsid w:val="009855C8"/>
    <w:rsid w:val="00987271"/>
    <w:rsid w:val="00987D75"/>
    <w:rsid w:val="00991019"/>
    <w:rsid w:val="00991CD2"/>
    <w:rsid w:val="0099373C"/>
    <w:rsid w:val="009963A4"/>
    <w:rsid w:val="00996B2B"/>
    <w:rsid w:val="009B03B1"/>
    <w:rsid w:val="009B1FDE"/>
    <w:rsid w:val="009B234B"/>
    <w:rsid w:val="009B5A44"/>
    <w:rsid w:val="009B5C9A"/>
    <w:rsid w:val="009B69F2"/>
    <w:rsid w:val="009B6C93"/>
    <w:rsid w:val="009C1207"/>
    <w:rsid w:val="009C16B2"/>
    <w:rsid w:val="009C550E"/>
    <w:rsid w:val="009D04D1"/>
    <w:rsid w:val="009D2936"/>
    <w:rsid w:val="009D37C6"/>
    <w:rsid w:val="009D4725"/>
    <w:rsid w:val="009D5B11"/>
    <w:rsid w:val="009D6C0C"/>
    <w:rsid w:val="009D7E9B"/>
    <w:rsid w:val="009E033C"/>
    <w:rsid w:val="009E1CA1"/>
    <w:rsid w:val="009E3BB3"/>
    <w:rsid w:val="009E3E93"/>
    <w:rsid w:val="009E4659"/>
    <w:rsid w:val="009E5F78"/>
    <w:rsid w:val="009F4AE4"/>
    <w:rsid w:val="00A004BF"/>
    <w:rsid w:val="00A02045"/>
    <w:rsid w:val="00A03DB7"/>
    <w:rsid w:val="00A0431A"/>
    <w:rsid w:val="00A05BA7"/>
    <w:rsid w:val="00A11073"/>
    <w:rsid w:val="00A123C4"/>
    <w:rsid w:val="00A154EC"/>
    <w:rsid w:val="00A15E4D"/>
    <w:rsid w:val="00A1655F"/>
    <w:rsid w:val="00A17A98"/>
    <w:rsid w:val="00A207E0"/>
    <w:rsid w:val="00A213B4"/>
    <w:rsid w:val="00A22132"/>
    <w:rsid w:val="00A24797"/>
    <w:rsid w:val="00A24C09"/>
    <w:rsid w:val="00A356C3"/>
    <w:rsid w:val="00A3601B"/>
    <w:rsid w:val="00A423D0"/>
    <w:rsid w:val="00A4409A"/>
    <w:rsid w:val="00A4487A"/>
    <w:rsid w:val="00A47016"/>
    <w:rsid w:val="00A47B36"/>
    <w:rsid w:val="00A47CFF"/>
    <w:rsid w:val="00A51E74"/>
    <w:rsid w:val="00A52255"/>
    <w:rsid w:val="00A5292B"/>
    <w:rsid w:val="00A5615C"/>
    <w:rsid w:val="00A564D2"/>
    <w:rsid w:val="00A56921"/>
    <w:rsid w:val="00A60DC6"/>
    <w:rsid w:val="00A62188"/>
    <w:rsid w:val="00A63DC3"/>
    <w:rsid w:val="00A64139"/>
    <w:rsid w:val="00A7040B"/>
    <w:rsid w:val="00A7108A"/>
    <w:rsid w:val="00A72C43"/>
    <w:rsid w:val="00A732BB"/>
    <w:rsid w:val="00A749E2"/>
    <w:rsid w:val="00A759ED"/>
    <w:rsid w:val="00A77A8D"/>
    <w:rsid w:val="00A806C0"/>
    <w:rsid w:val="00A807B2"/>
    <w:rsid w:val="00A80BC4"/>
    <w:rsid w:val="00A82121"/>
    <w:rsid w:val="00A82889"/>
    <w:rsid w:val="00A83C44"/>
    <w:rsid w:val="00A83E01"/>
    <w:rsid w:val="00A8420D"/>
    <w:rsid w:val="00A87A54"/>
    <w:rsid w:val="00A87C08"/>
    <w:rsid w:val="00A87D5B"/>
    <w:rsid w:val="00A90D6A"/>
    <w:rsid w:val="00A91341"/>
    <w:rsid w:val="00A92DBC"/>
    <w:rsid w:val="00A939F6"/>
    <w:rsid w:val="00A96191"/>
    <w:rsid w:val="00A9712E"/>
    <w:rsid w:val="00AA186F"/>
    <w:rsid w:val="00AA2E45"/>
    <w:rsid w:val="00AA3FE7"/>
    <w:rsid w:val="00AA5532"/>
    <w:rsid w:val="00AA6AB8"/>
    <w:rsid w:val="00AA77A2"/>
    <w:rsid w:val="00AB000D"/>
    <w:rsid w:val="00AB0017"/>
    <w:rsid w:val="00AB112B"/>
    <w:rsid w:val="00AB2060"/>
    <w:rsid w:val="00AB325E"/>
    <w:rsid w:val="00AB4860"/>
    <w:rsid w:val="00AC490B"/>
    <w:rsid w:val="00AC6002"/>
    <w:rsid w:val="00AC6490"/>
    <w:rsid w:val="00AC6723"/>
    <w:rsid w:val="00AD117B"/>
    <w:rsid w:val="00AD2BC0"/>
    <w:rsid w:val="00AD3B80"/>
    <w:rsid w:val="00AD6B6E"/>
    <w:rsid w:val="00AE0891"/>
    <w:rsid w:val="00AE19D5"/>
    <w:rsid w:val="00AE2EB6"/>
    <w:rsid w:val="00AE4C59"/>
    <w:rsid w:val="00AE712D"/>
    <w:rsid w:val="00AF0C17"/>
    <w:rsid w:val="00AF0C79"/>
    <w:rsid w:val="00AF17A1"/>
    <w:rsid w:val="00AF1E31"/>
    <w:rsid w:val="00AF3860"/>
    <w:rsid w:val="00AF593B"/>
    <w:rsid w:val="00AF5EB1"/>
    <w:rsid w:val="00AF7EA8"/>
    <w:rsid w:val="00B03206"/>
    <w:rsid w:val="00B03B51"/>
    <w:rsid w:val="00B05766"/>
    <w:rsid w:val="00B062CA"/>
    <w:rsid w:val="00B0745D"/>
    <w:rsid w:val="00B1162F"/>
    <w:rsid w:val="00B156B9"/>
    <w:rsid w:val="00B20A1E"/>
    <w:rsid w:val="00B24202"/>
    <w:rsid w:val="00B26CCC"/>
    <w:rsid w:val="00B332F3"/>
    <w:rsid w:val="00B3398A"/>
    <w:rsid w:val="00B346C1"/>
    <w:rsid w:val="00B370CD"/>
    <w:rsid w:val="00B42091"/>
    <w:rsid w:val="00B43BDB"/>
    <w:rsid w:val="00B43D54"/>
    <w:rsid w:val="00B45508"/>
    <w:rsid w:val="00B462AD"/>
    <w:rsid w:val="00B47DF7"/>
    <w:rsid w:val="00B51484"/>
    <w:rsid w:val="00B5397D"/>
    <w:rsid w:val="00B53C95"/>
    <w:rsid w:val="00B55BE2"/>
    <w:rsid w:val="00B60437"/>
    <w:rsid w:val="00B62D11"/>
    <w:rsid w:val="00B64757"/>
    <w:rsid w:val="00B64F82"/>
    <w:rsid w:val="00B66030"/>
    <w:rsid w:val="00B72169"/>
    <w:rsid w:val="00B72466"/>
    <w:rsid w:val="00B7777C"/>
    <w:rsid w:val="00B8727E"/>
    <w:rsid w:val="00B8793B"/>
    <w:rsid w:val="00B9046A"/>
    <w:rsid w:val="00B9107B"/>
    <w:rsid w:val="00B91B14"/>
    <w:rsid w:val="00B92957"/>
    <w:rsid w:val="00B93679"/>
    <w:rsid w:val="00B93E30"/>
    <w:rsid w:val="00B949FA"/>
    <w:rsid w:val="00B958A9"/>
    <w:rsid w:val="00BA74E4"/>
    <w:rsid w:val="00BB00B1"/>
    <w:rsid w:val="00BB0C0D"/>
    <w:rsid w:val="00BB482A"/>
    <w:rsid w:val="00BB53EF"/>
    <w:rsid w:val="00BB6D43"/>
    <w:rsid w:val="00BC1905"/>
    <w:rsid w:val="00BC62AB"/>
    <w:rsid w:val="00BC6E94"/>
    <w:rsid w:val="00BD0821"/>
    <w:rsid w:val="00BD47E7"/>
    <w:rsid w:val="00BD690D"/>
    <w:rsid w:val="00BD7C81"/>
    <w:rsid w:val="00BE0C93"/>
    <w:rsid w:val="00BE1038"/>
    <w:rsid w:val="00BE31F3"/>
    <w:rsid w:val="00BE4491"/>
    <w:rsid w:val="00BE51FC"/>
    <w:rsid w:val="00BE5E2A"/>
    <w:rsid w:val="00BE7DF2"/>
    <w:rsid w:val="00BF0B7F"/>
    <w:rsid w:val="00BF1DFC"/>
    <w:rsid w:val="00BF25FE"/>
    <w:rsid w:val="00BF35B0"/>
    <w:rsid w:val="00BF43AB"/>
    <w:rsid w:val="00BF5A6A"/>
    <w:rsid w:val="00BF6611"/>
    <w:rsid w:val="00BF7AAC"/>
    <w:rsid w:val="00C01821"/>
    <w:rsid w:val="00C020DE"/>
    <w:rsid w:val="00C0501C"/>
    <w:rsid w:val="00C068DB"/>
    <w:rsid w:val="00C079FA"/>
    <w:rsid w:val="00C1327D"/>
    <w:rsid w:val="00C13F5C"/>
    <w:rsid w:val="00C22D32"/>
    <w:rsid w:val="00C23361"/>
    <w:rsid w:val="00C23F00"/>
    <w:rsid w:val="00C27506"/>
    <w:rsid w:val="00C32B1B"/>
    <w:rsid w:val="00C33223"/>
    <w:rsid w:val="00C347C2"/>
    <w:rsid w:val="00C34CAE"/>
    <w:rsid w:val="00C40D81"/>
    <w:rsid w:val="00C449EA"/>
    <w:rsid w:val="00C45A68"/>
    <w:rsid w:val="00C472FF"/>
    <w:rsid w:val="00C47348"/>
    <w:rsid w:val="00C5096A"/>
    <w:rsid w:val="00C50FFE"/>
    <w:rsid w:val="00C5320D"/>
    <w:rsid w:val="00C53827"/>
    <w:rsid w:val="00C54218"/>
    <w:rsid w:val="00C55181"/>
    <w:rsid w:val="00C55B58"/>
    <w:rsid w:val="00C55D7F"/>
    <w:rsid w:val="00C5615C"/>
    <w:rsid w:val="00C566C3"/>
    <w:rsid w:val="00C57775"/>
    <w:rsid w:val="00C64B54"/>
    <w:rsid w:val="00C70361"/>
    <w:rsid w:val="00C712CA"/>
    <w:rsid w:val="00C74BBD"/>
    <w:rsid w:val="00C80A52"/>
    <w:rsid w:val="00C86C3A"/>
    <w:rsid w:val="00C90B19"/>
    <w:rsid w:val="00C91307"/>
    <w:rsid w:val="00C918B5"/>
    <w:rsid w:val="00C923E5"/>
    <w:rsid w:val="00C95306"/>
    <w:rsid w:val="00CA21C9"/>
    <w:rsid w:val="00CA29F7"/>
    <w:rsid w:val="00CA3105"/>
    <w:rsid w:val="00CA43AE"/>
    <w:rsid w:val="00CA79B0"/>
    <w:rsid w:val="00CB45C2"/>
    <w:rsid w:val="00CB66E0"/>
    <w:rsid w:val="00CC1281"/>
    <w:rsid w:val="00CC76FE"/>
    <w:rsid w:val="00CD2D60"/>
    <w:rsid w:val="00CD4BA0"/>
    <w:rsid w:val="00CD6D6A"/>
    <w:rsid w:val="00CD7BE0"/>
    <w:rsid w:val="00CE298D"/>
    <w:rsid w:val="00CE2A52"/>
    <w:rsid w:val="00CE4CE5"/>
    <w:rsid w:val="00CE6EAC"/>
    <w:rsid w:val="00CF194A"/>
    <w:rsid w:val="00CF1989"/>
    <w:rsid w:val="00CF311B"/>
    <w:rsid w:val="00CF5B29"/>
    <w:rsid w:val="00CF7784"/>
    <w:rsid w:val="00D01F2F"/>
    <w:rsid w:val="00D02E56"/>
    <w:rsid w:val="00D037F1"/>
    <w:rsid w:val="00D055FD"/>
    <w:rsid w:val="00D0608C"/>
    <w:rsid w:val="00D12A7C"/>
    <w:rsid w:val="00D1553D"/>
    <w:rsid w:val="00D167E1"/>
    <w:rsid w:val="00D17A8C"/>
    <w:rsid w:val="00D21DE3"/>
    <w:rsid w:val="00D25F7A"/>
    <w:rsid w:val="00D278D6"/>
    <w:rsid w:val="00D311BB"/>
    <w:rsid w:val="00D343A1"/>
    <w:rsid w:val="00D40340"/>
    <w:rsid w:val="00D423CC"/>
    <w:rsid w:val="00D42445"/>
    <w:rsid w:val="00D4272D"/>
    <w:rsid w:val="00D42DC9"/>
    <w:rsid w:val="00D42E31"/>
    <w:rsid w:val="00D438A9"/>
    <w:rsid w:val="00D476A8"/>
    <w:rsid w:val="00D52CC5"/>
    <w:rsid w:val="00D53FA7"/>
    <w:rsid w:val="00D540C5"/>
    <w:rsid w:val="00D602EF"/>
    <w:rsid w:val="00D6035D"/>
    <w:rsid w:val="00D60DA5"/>
    <w:rsid w:val="00D60E80"/>
    <w:rsid w:val="00D61B45"/>
    <w:rsid w:val="00D64907"/>
    <w:rsid w:val="00D65F2E"/>
    <w:rsid w:val="00D72CE9"/>
    <w:rsid w:val="00D73764"/>
    <w:rsid w:val="00D73B11"/>
    <w:rsid w:val="00D7754F"/>
    <w:rsid w:val="00D806A5"/>
    <w:rsid w:val="00D82110"/>
    <w:rsid w:val="00D83327"/>
    <w:rsid w:val="00D8617C"/>
    <w:rsid w:val="00D873A4"/>
    <w:rsid w:val="00D877F5"/>
    <w:rsid w:val="00D903F0"/>
    <w:rsid w:val="00D92CBE"/>
    <w:rsid w:val="00D9316A"/>
    <w:rsid w:val="00D93C0C"/>
    <w:rsid w:val="00D94515"/>
    <w:rsid w:val="00D95BDF"/>
    <w:rsid w:val="00D9626A"/>
    <w:rsid w:val="00D962D7"/>
    <w:rsid w:val="00DA2C04"/>
    <w:rsid w:val="00DA2D94"/>
    <w:rsid w:val="00DA5145"/>
    <w:rsid w:val="00DA60B5"/>
    <w:rsid w:val="00DA648F"/>
    <w:rsid w:val="00DB266D"/>
    <w:rsid w:val="00DB566F"/>
    <w:rsid w:val="00DC0E29"/>
    <w:rsid w:val="00DC1253"/>
    <w:rsid w:val="00DC4E1D"/>
    <w:rsid w:val="00DD06E2"/>
    <w:rsid w:val="00DD29B2"/>
    <w:rsid w:val="00DD4E6E"/>
    <w:rsid w:val="00DD5715"/>
    <w:rsid w:val="00DD6FAE"/>
    <w:rsid w:val="00DE062D"/>
    <w:rsid w:val="00DE16CB"/>
    <w:rsid w:val="00DE564F"/>
    <w:rsid w:val="00DF04FB"/>
    <w:rsid w:val="00DF0582"/>
    <w:rsid w:val="00DF12A6"/>
    <w:rsid w:val="00DF20C0"/>
    <w:rsid w:val="00DF290E"/>
    <w:rsid w:val="00DF3B66"/>
    <w:rsid w:val="00E009CA"/>
    <w:rsid w:val="00E01E3E"/>
    <w:rsid w:val="00E0223F"/>
    <w:rsid w:val="00E026C6"/>
    <w:rsid w:val="00E03796"/>
    <w:rsid w:val="00E0619E"/>
    <w:rsid w:val="00E0663D"/>
    <w:rsid w:val="00E10831"/>
    <w:rsid w:val="00E113BD"/>
    <w:rsid w:val="00E12493"/>
    <w:rsid w:val="00E139CD"/>
    <w:rsid w:val="00E142C0"/>
    <w:rsid w:val="00E158EC"/>
    <w:rsid w:val="00E172D1"/>
    <w:rsid w:val="00E23226"/>
    <w:rsid w:val="00E235AB"/>
    <w:rsid w:val="00E246AD"/>
    <w:rsid w:val="00E24DCD"/>
    <w:rsid w:val="00E25303"/>
    <w:rsid w:val="00E31D43"/>
    <w:rsid w:val="00E332BF"/>
    <w:rsid w:val="00E34686"/>
    <w:rsid w:val="00E40F97"/>
    <w:rsid w:val="00E41CA5"/>
    <w:rsid w:val="00E46F79"/>
    <w:rsid w:val="00E47D85"/>
    <w:rsid w:val="00E52625"/>
    <w:rsid w:val="00E5579A"/>
    <w:rsid w:val="00E55A79"/>
    <w:rsid w:val="00E608EB"/>
    <w:rsid w:val="00E61141"/>
    <w:rsid w:val="00E63CCC"/>
    <w:rsid w:val="00E63F8A"/>
    <w:rsid w:val="00E649D6"/>
    <w:rsid w:val="00E71DD3"/>
    <w:rsid w:val="00E73505"/>
    <w:rsid w:val="00E75887"/>
    <w:rsid w:val="00E7777A"/>
    <w:rsid w:val="00E82CE4"/>
    <w:rsid w:val="00E84261"/>
    <w:rsid w:val="00E90D81"/>
    <w:rsid w:val="00E92E75"/>
    <w:rsid w:val="00E93E2E"/>
    <w:rsid w:val="00E9576D"/>
    <w:rsid w:val="00EA0FA7"/>
    <w:rsid w:val="00EA20A8"/>
    <w:rsid w:val="00EA7BCE"/>
    <w:rsid w:val="00EB1565"/>
    <w:rsid w:val="00EB317A"/>
    <w:rsid w:val="00EB3613"/>
    <w:rsid w:val="00EC6225"/>
    <w:rsid w:val="00EC7307"/>
    <w:rsid w:val="00ED0253"/>
    <w:rsid w:val="00ED0DC4"/>
    <w:rsid w:val="00ED244D"/>
    <w:rsid w:val="00ED26BD"/>
    <w:rsid w:val="00ED2863"/>
    <w:rsid w:val="00ED3572"/>
    <w:rsid w:val="00ED3FE7"/>
    <w:rsid w:val="00ED5E05"/>
    <w:rsid w:val="00ED68AE"/>
    <w:rsid w:val="00EE1096"/>
    <w:rsid w:val="00EE12B0"/>
    <w:rsid w:val="00EE2057"/>
    <w:rsid w:val="00EF1DC0"/>
    <w:rsid w:val="00EF4192"/>
    <w:rsid w:val="00F022FE"/>
    <w:rsid w:val="00F047B9"/>
    <w:rsid w:val="00F05FCA"/>
    <w:rsid w:val="00F061B2"/>
    <w:rsid w:val="00F06AEE"/>
    <w:rsid w:val="00F1769A"/>
    <w:rsid w:val="00F2160D"/>
    <w:rsid w:val="00F24A05"/>
    <w:rsid w:val="00F24A34"/>
    <w:rsid w:val="00F31F95"/>
    <w:rsid w:val="00F3316D"/>
    <w:rsid w:val="00F34A85"/>
    <w:rsid w:val="00F35331"/>
    <w:rsid w:val="00F3787E"/>
    <w:rsid w:val="00F37C80"/>
    <w:rsid w:val="00F42719"/>
    <w:rsid w:val="00F429B5"/>
    <w:rsid w:val="00F42AE2"/>
    <w:rsid w:val="00F431C3"/>
    <w:rsid w:val="00F44DE9"/>
    <w:rsid w:val="00F46BC2"/>
    <w:rsid w:val="00F47E1A"/>
    <w:rsid w:val="00F510D4"/>
    <w:rsid w:val="00F52168"/>
    <w:rsid w:val="00F526EF"/>
    <w:rsid w:val="00F52D10"/>
    <w:rsid w:val="00F52D9F"/>
    <w:rsid w:val="00F55F31"/>
    <w:rsid w:val="00F610D9"/>
    <w:rsid w:val="00F6277E"/>
    <w:rsid w:val="00F672E3"/>
    <w:rsid w:val="00F718FA"/>
    <w:rsid w:val="00F71FD7"/>
    <w:rsid w:val="00F75829"/>
    <w:rsid w:val="00F76F7E"/>
    <w:rsid w:val="00F839BA"/>
    <w:rsid w:val="00F86788"/>
    <w:rsid w:val="00F96C37"/>
    <w:rsid w:val="00FA07B3"/>
    <w:rsid w:val="00FA58DB"/>
    <w:rsid w:val="00FA77B4"/>
    <w:rsid w:val="00FB0119"/>
    <w:rsid w:val="00FB35BB"/>
    <w:rsid w:val="00FB371F"/>
    <w:rsid w:val="00FB4AA1"/>
    <w:rsid w:val="00FB699A"/>
    <w:rsid w:val="00FB6D4B"/>
    <w:rsid w:val="00FB71A7"/>
    <w:rsid w:val="00FB7A50"/>
    <w:rsid w:val="00FC333F"/>
    <w:rsid w:val="00FC33AC"/>
    <w:rsid w:val="00FC34B0"/>
    <w:rsid w:val="00FD3098"/>
    <w:rsid w:val="00FD66D4"/>
    <w:rsid w:val="00FD7E84"/>
    <w:rsid w:val="00FE13C9"/>
    <w:rsid w:val="00FE72F5"/>
    <w:rsid w:val="00FF0C4E"/>
    <w:rsid w:val="00FF1009"/>
    <w:rsid w:val="00FF3C59"/>
    <w:rsid w:val="00FF3F0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91B017"/>
  <w15:docId w15:val="{8C96E3ED-2B25-4361-AD03-2635DCA2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A4"/>
    <w:pPr>
      <w:spacing w:after="240" w:line="288" w:lineRule="auto"/>
      <w:jc w:val="both"/>
    </w:pPr>
    <w:rPr>
      <w:color w:val="17365D" w:themeColor="text2" w:themeShade="BF"/>
      <w:sz w:val="24"/>
    </w:rPr>
  </w:style>
  <w:style w:type="paragraph" w:styleId="Heading1">
    <w:name w:val="heading 1"/>
    <w:basedOn w:val="Normal"/>
    <w:next w:val="Normal"/>
    <w:link w:val="Heading1Char"/>
    <w:uiPriority w:val="9"/>
    <w:qFormat/>
    <w:rsid w:val="006E366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6E366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6E366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E3660"/>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E3660"/>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E3660"/>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6E3660"/>
    <w:pPr>
      <w:spacing w:before="240" w:after="60"/>
      <w:outlineLvl w:val="6"/>
    </w:pPr>
    <w:rPr>
      <w:rFonts w:cstheme="majorBidi"/>
      <w:szCs w:val="24"/>
    </w:rPr>
  </w:style>
  <w:style w:type="paragraph" w:styleId="Heading8">
    <w:name w:val="heading 8"/>
    <w:basedOn w:val="Normal"/>
    <w:next w:val="Normal"/>
    <w:link w:val="Heading8Char"/>
    <w:uiPriority w:val="9"/>
    <w:semiHidden/>
    <w:unhideWhenUsed/>
    <w:qFormat/>
    <w:rsid w:val="006E3660"/>
    <w:pPr>
      <w:spacing w:before="240" w:after="60"/>
      <w:outlineLvl w:val="7"/>
    </w:pPr>
    <w:rPr>
      <w:rFonts w:cstheme="majorBidi"/>
      <w:i/>
      <w:iCs/>
      <w:szCs w:val="24"/>
    </w:rPr>
  </w:style>
  <w:style w:type="paragraph" w:styleId="Heading9">
    <w:name w:val="heading 9"/>
    <w:basedOn w:val="Normal"/>
    <w:next w:val="Normal"/>
    <w:link w:val="Heading9Char"/>
    <w:uiPriority w:val="9"/>
    <w:semiHidden/>
    <w:unhideWhenUsed/>
    <w:qFormat/>
    <w:rsid w:val="006E3660"/>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43"/>
    <w:pPr>
      <w:spacing w:line="200" w:lineRule="atLeast"/>
    </w:pPr>
    <w:rPr>
      <w:sz w:val="16"/>
    </w:rPr>
  </w:style>
  <w:style w:type="character" w:customStyle="1" w:styleId="HeaderChar">
    <w:name w:val="Header Char"/>
    <w:basedOn w:val="DefaultParagraphFont"/>
    <w:link w:val="Header"/>
    <w:uiPriority w:val="99"/>
    <w:rsid w:val="00E31D43"/>
    <w:rPr>
      <w:sz w:val="16"/>
    </w:rPr>
  </w:style>
  <w:style w:type="paragraph" w:styleId="Footer">
    <w:name w:val="footer"/>
    <w:basedOn w:val="Normal"/>
    <w:link w:val="FooterChar"/>
    <w:uiPriority w:val="99"/>
    <w:unhideWhenUsed/>
    <w:rsid w:val="0072499D"/>
    <w:pPr>
      <w:spacing w:line="200" w:lineRule="atLeast"/>
    </w:pPr>
    <w:rPr>
      <w:sz w:val="16"/>
    </w:rPr>
  </w:style>
  <w:style w:type="character" w:customStyle="1" w:styleId="FooterChar">
    <w:name w:val="Footer Char"/>
    <w:basedOn w:val="DefaultParagraphFont"/>
    <w:link w:val="Footer"/>
    <w:uiPriority w:val="99"/>
    <w:rsid w:val="0072499D"/>
    <w:rPr>
      <w:sz w:val="16"/>
    </w:rPr>
  </w:style>
  <w:style w:type="character" w:customStyle="1" w:styleId="Heading1Char">
    <w:name w:val="Heading 1 Char"/>
    <w:basedOn w:val="DefaultParagraphFont"/>
    <w:link w:val="Heading1"/>
    <w:uiPriority w:val="9"/>
    <w:rsid w:val="006E366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6E366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6E366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E3660"/>
    <w:rPr>
      <w:rFonts w:cstheme="majorBidi"/>
      <w:b/>
      <w:bCs/>
      <w:sz w:val="28"/>
      <w:szCs w:val="28"/>
    </w:rPr>
  </w:style>
  <w:style w:type="character" w:customStyle="1" w:styleId="Heading5Char">
    <w:name w:val="Heading 5 Char"/>
    <w:basedOn w:val="DefaultParagraphFont"/>
    <w:link w:val="Heading5"/>
    <w:uiPriority w:val="9"/>
    <w:semiHidden/>
    <w:rsid w:val="006E3660"/>
    <w:rPr>
      <w:rFonts w:cstheme="majorBidi"/>
      <w:b/>
      <w:bCs/>
      <w:i/>
      <w:iCs/>
      <w:sz w:val="26"/>
      <w:szCs w:val="26"/>
    </w:rPr>
  </w:style>
  <w:style w:type="character" w:customStyle="1" w:styleId="Heading6Char">
    <w:name w:val="Heading 6 Char"/>
    <w:basedOn w:val="DefaultParagraphFont"/>
    <w:link w:val="Heading6"/>
    <w:uiPriority w:val="9"/>
    <w:semiHidden/>
    <w:rsid w:val="006E3660"/>
    <w:rPr>
      <w:rFonts w:cstheme="majorBidi"/>
      <w:b/>
      <w:bCs/>
    </w:rPr>
  </w:style>
  <w:style w:type="character" w:customStyle="1" w:styleId="Heading7Char">
    <w:name w:val="Heading 7 Char"/>
    <w:basedOn w:val="DefaultParagraphFont"/>
    <w:link w:val="Heading7"/>
    <w:uiPriority w:val="9"/>
    <w:semiHidden/>
    <w:rsid w:val="006E3660"/>
    <w:rPr>
      <w:rFonts w:cstheme="majorBidi"/>
      <w:sz w:val="24"/>
      <w:szCs w:val="24"/>
    </w:rPr>
  </w:style>
  <w:style w:type="character" w:customStyle="1" w:styleId="Heading8Char">
    <w:name w:val="Heading 8 Char"/>
    <w:basedOn w:val="DefaultParagraphFont"/>
    <w:link w:val="Heading8"/>
    <w:uiPriority w:val="9"/>
    <w:semiHidden/>
    <w:rsid w:val="006E3660"/>
    <w:rPr>
      <w:rFonts w:cstheme="majorBidi"/>
      <w:i/>
      <w:iCs/>
      <w:sz w:val="24"/>
      <w:szCs w:val="24"/>
    </w:rPr>
  </w:style>
  <w:style w:type="character" w:customStyle="1" w:styleId="Heading9Char">
    <w:name w:val="Heading 9 Char"/>
    <w:basedOn w:val="DefaultParagraphFont"/>
    <w:link w:val="Heading9"/>
    <w:uiPriority w:val="9"/>
    <w:semiHidden/>
    <w:rsid w:val="006E3660"/>
    <w:rPr>
      <w:rFonts w:asciiTheme="majorHAnsi" w:eastAsiaTheme="majorEastAsia" w:hAnsiTheme="majorHAnsi" w:cstheme="majorBidi"/>
    </w:rPr>
  </w:style>
  <w:style w:type="paragraph" w:styleId="Caption">
    <w:name w:val="caption"/>
    <w:basedOn w:val="Normal"/>
    <w:next w:val="Normal"/>
    <w:uiPriority w:val="35"/>
    <w:semiHidden/>
    <w:unhideWhenUsed/>
    <w:rsid w:val="00E31D43"/>
    <w:pPr>
      <w:spacing w:after="200" w:line="240" w:lineRule="auto"/>
    </w:pPr>
    <w:rPr>
      <w:b/>
      <w:bCs/>
      <w:color w:val="4F81BD" w:themeColor="accent1"/>
      <w:sz w:val="18"/>
      <w:szCs w:val="18"/>
    </w:rPr>
  </w:style>
  <w:style w:type="paragraph" w:styleId="Title">
    <w:name w:val="Title"/>
    <w:basedOn w:val="Normal"/>
    <w:next w:val="Normal"/>
    <w:link w:val="TitleChar"/>
    <w:uiPriority w:val="10"/>
    <w:qFormat/>
    <w:rsid w:val="006E366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E366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E3660"/>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6E3660"/>
    <w:rPr>
      <w:rFonts w:asciiTheme="majorHAnsi" w:eastAsiaTheme="majorEastAsia" w:hAnsiTheme="majorHAnsi" w:cstheme="majorBidi"/>
      <w:sz w:val="24"/>
      <w:szCs w:val="24"/>
    </w:rPr>
  </w:style>
  <w:style w:type="character" w:styleId="Strong">
    <w:name w:val="Strong"/>
    <w:basedOn w:val="DefaultParagraphFont"/>
    <w:uiPriority w:val="22"/>
    <w:qFormat/>
    <w:rsid w:val="006E3660"/>
    <w:rPr>
      <w:b/>
      <w:bCs/>
    </w:rPr>
  </w:style>
  <w:style w:type="character" w:styleId="Emphasis">
    <w:name w:val="Emphasis"/>
    <w:basedOn w:val="DefaultParagraphFont"/>
    <w:uiPriority w:val="20"/>
    <w:qFormat/>
    <w:rsid w:val="006E3660"/>
    <w:rPr>
      <w:rFonts w:asciiTheme="minorHAnsi" w:hAnsiTheme="minorHAnsi"/>
      <w:b/>
      <w:i/>
      <w:iCs/>
    </w:rPr>
  </w:style>
  <w:style w:type="paragraph" w:styleId="NoSpacing">
    <w:name w:val="No Spacing"/>
    <w:basedOn w:val="Normal"/>
    <w:uiPriority w:val="1"/>
    <w:qFormat/>
    <w:rsid w:val="006E3660"/>
    <w:rPr>
      <w:szCs w:val="32"/>
    </w:rPr>
  </w:style>
  <w:style w:type="paragraph" w:styleId="ListParagraph">
    <w:name w:val="List Paragraph"/>
    <w:basedOn w:val="Normal"/>
    <w:uiPriority w:val="34"/>
    <w:qFormat/>
    <w:rsid w:val="006E3660"/>
    <w:pPr>
      <w:ind w:left="720"/>
      <w:contextualSpacing/>
    </w:pPr>
  </w:style>
  <w:style w:type="paragraph" w:styleId="Quote">
    <w:name w:val="Quote"/>
    <w:basedOn w:val="Normal"/>
    <w:next w:val="Normal"/>
    <w:link w:val="QuoteChar"/>
    <w:uiPriority w:val="29"/>
    <w:qFormat/>
    <w:rsid w:val="006E3660"/>
    <w:rPr>
      <w:i/>
      <w:szCs w:val="24"/>
    </w:rPr>
  </w:style>
  <w:style w:type="character" w:customStyle="1" w:styleId="QuoteChar">
    <w:name w:val="Quote Char"/>
    <w:basedOn w:val="DefaultParagraphFont"/>
    <w:link w:val="Quote"/>
    <w:uiPriority w:val="29"/>
    <w:rsid w:val="006E3660"/>
    <w:rPr>
      <w:i/>
      <w:sz w:val="24"/>
      <w:szCs w:val="24"/>
    </w:rPr>
  </w:style>
  <w:style w:type="paragraph" w:styleId="IntenseQuote">
    <w:name w:val="Intense Quote"/>
    <w:basedOn w:val="Normal"/>
    <w:next w:val="Normal"/>
    <w:link w:val="IntenseQuoteChar"/>
    <w:uiPriority w:val="30"/>
    <w:qFormat/>
    <w:rsid w:val="006E3660"/>
    <w:pPr>
      <w:ind w:left="720" w:right="720"/>
    </w:pPr>
    <w:rPr>
      <w:b/>
      <w:i/>
    </w:rPr>
  </w:style>
  <w:style w:type="character" w:customStyle="1" w:styleId="IntenseQuoteChar">
    <w:name w:val="Intense Quote Char"/>
    <w:basedOn w:val="DefaultParagraphFont"/>
    <w:link w:val="IntenseQuote"/>
    <w:uiPriority w:val="30"/>
    <w:rsid w:val="006E3660"/>
    <w:rPr>
      <w:b/>
      <w:i/>
      <w:sz w:val="24"/>
    </w:rPr>
  </w:style>
  <w:style w:type="character" w:styleId="SubtleEmphasis">
    <w:name w:val="Subtle Emphasis"/>
    <w:uiPriority w:val="19"/>
    <w:qFormat/>
    <w:rsid w:val="006E3660"/>
    <w:rPr>
      <w:i/>
      <w:color w:val="5A5A5A" w:themeColor="text1" w:themeTint="A5"/>
    </w:rPr>
  </w:style>
  <w:style w:type="character" w:styleId="IntenseEmphasis">
    <w:name w:val="Intense Emphasis"/>
    <w:basedOn w:val="DefaultParagraphFont"/>
    <w:uiPriority w:val="21"/>
    <w:qFormat/>
    <w:rsid w:val="006E3660"/>
    <w:rPr>
      <w:b/>
      <w:i/>
      <w:sz w:val="24"/>
      <w:szCs w:val="24"/>
      <w:u w:val="single"/>
    </w:rPr>
  </w:style>
  <w:style w:type="character" w:styleId="SubtleReference">
    <w:name w:val="Subtle Reference"/>
    <w:basedOn w:val="DefaultParagraphFont"/>
    <w:uiPriority w:val="31"/>
    <w:qFormat/>
    <w:rsid w:val="006E3660"/>
    <w:rPr>
      <w:sz w:val="24"/>
      <w:szCs w:val="24"/>
      <w:u w:val="single"/>
    </w:rPr>
  </w:style>
  <w:style w:type="character" w:styleId="IntenseReference">
    <w:name w:val="Intense Reference"/>
    <w:basedOn w:val="DefaultParagraphFont"/>
    <w:uiPriority w:val="32"/>
    <w:qFormat/>
    <w:rsid w:val="006E3660"/>
    <w:rPr>
      <w:b/>
      <w:sz w:val="24"/>
      <w:u w:val="single"/>
    </w:rPr>
  </w:style>
  <w:style w:type="character" w:styleId="BookTitle">
    <w:name w:val="Book Title"/>
    <w:basedOn w:val="DefaultParagraphFont"/>
    <w:uiPriority w:val="33"/>
    <w:qFormat/>
    <w:rsid w:val="006E366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3660"/>
    <w:pPr>
      <w:outlineLvl w:val="9"/>
    </w:pPr>
  </w:style>
  <w:style w:type="table" w:styleId="TableGrid">
    <w:name w:val="Table Grid"/>
    <w:basedOn w:val="TableNormal"/>
    <w:uiPriority w:val="59"/>
    <w:rsid w:val="00CA29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rsid w:val="0097385A"/>
    <w:pPr>
      <w:spacing w:line="240" w:lineRule="auto"/>
    </w:pPr>
    <w:tblPr>
      <w:tblCellMar>
        <w:left w:w="0" w:type="dxa"/>
        <w:right w:w="0" w:type="dxa"/>
      </w:tblCellMar>
    </w:tblPr>
  </w:style>
  <w:style w:type="paragraph" w:styleId="BalloonText">
    <w:name w:val="Balloon Text"/>
    <w:basedOn w:val="Normal"/>
    <w:link w:val="BalloonTextChar"/>
    <w:uiPriority w:val="99"/>
    <w:semiHidden/>
    <w:unhideWhenUsed/>
    <w:rsid w:val="008954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405"/>
    <w:rPr>
      <w:rFonts w:ascii="Tahoma" w:hAnsi="Tahoma" w:cs="Tahoma"/>
      <w:sz w:val="16"/>
      <w:szCs w:val="16"/>
    </w:rPr>
  </w:style>
  <w:style w:type="paragraph" w:customStyle="1" w:styleId="DentonsAddress">
    <w:name w:val="Dentons Address"/>
    <w:basedOn w:val="Normal"/>
    <w:link w:val="DentonsAddressChar"/>
    <w:rsid w:val="007F5192"/>
    <w:pPr>
      <w:spacing w:after="90" w:line="180" w:lineRule="atLeast"/>
    </w:pPr>
    <w:rPr>
      <w:sz w:val="14"/>
    </w:rPr>
  </w:style>
  <w:style w:type="paragraph" w:customStyle="1" w:styleId="DentonsSender">
    <w:name w:val="Dentons Sender"/>
    <w:basedOn w:val="DentonsAddress"/>
    <w:qFormat/>
    <w:rsid w:val="00F47E1A"/>
    <w:pPr>
      <w:spacing w:after="0"/>
    </w:pPr>
    <w:rPr>
      <w:b/>
    </w:rPr>
  </w:style>
  <w:style w:type="character" w:styleId="PlaceholderText">
    <w:name w:val="Placeholder Text"/>
    <w:basedOn w:val="DefaultParagraphFont"/>
    <w:uiPriority w:val="99"/>
    <w:semiHidden/>
    <w:rsid w:val="00D9626A"/>
    <w:rPr>
      <w:color w:val="808080"/>
    </w:rPr>
  </w:style>
  <w:style w:type="character" w:customStyle="1" w:styleId="DentonsAddressChar">
    <w:name w:val="Dentons Address Char"/>
    <w:basedOn w:val="DefaultParagraphFont"/>
    <w:link w:val="DentonsAddress"/>
    <w:rsid w:val="007F5192"/>
    <w:rPr>
      <w:sz w:val="14"/>
    </w:rPr>
  </w:style>
  <w:style w:type="paragraph" w:customStyle="1" w:styleId="Subject">
    <w:name w:val="Subject"/>
    <w:basedOn w:val="Normal"/>
    <w:qFormat/>
    <w:rsid w:val="00B8793B"/>
    <w:rPr>
      <w:b/>
    </w:rPr>
  </w:style>
  <w:style w:type="paragraph" w:styleId="Closing">
    <w:name w:val="Closing"/>
    <w:basedOn w:val="Normal"/>
    <w:next w:val="Normal"/>
    <w:link w:val="ClosingChar"/>
    <w:uiPriority w:val="99"/>
    <w:unhideWhenUsed/>
    <w:rsid w:val="00AA186F"/>
    <w:pPr>
      <w:spacing w:after="960" w:line="240" w:lineRule="auto"/>
    </w:pPr>
  </w:style>
  <w:style w:type="character" w:customStyle="1" w:styleId="ClosingChar">
    <w:name w:val="Closing Char"/>
    <w:basedOn w:val="DefaultParagraphFont"/>
    <w:link w:val="Closing"/>
    <w:uiPriority w:val="99"/>
    <w:rsid w:val="00AA186F"/>
  </w:style>
  <w:style w:type="paragraph" w:customStyle="1" w:styleId="DeliveryInstructions">
    <w:name w:val="Delivery Instructions"/>
    <w:basedOn w:val="Normal"/>
    <w:link w:val="DeliveryInstructionsChar"/>
    <w:qFormat/>
    <w:rsid w:val="0010235C"/>
    <w:rPr>
      <w:b/>
      <w:caps/>
    </w:rPr>
  </w:style>
  <w:style w:type="paragraph" w:customStyle="1" w:styleId="Disclaimer">
    <w:name w:val="Disclaimer"/>
    <w:basedOn w:val="Normal"/>
    <w:link w:val="DisclaimerChar"/>
    <w:rsid w:val="00C923E5"/>
    <w:pPr>
      <w:spacing w:line="140" w:lineRule="atLeast"/>
    </w:pPr>
    <w:rPr>
      <w:sz w:val="12"/>
    </w:rPr>
  </w:style>
  <w:style w:type="character" w:customStyle="1" w:styleId="DeliveryInstructionsChar">
    <w:name w:val="Delivery Instructions Char"/>
    <w:basedOn w:val="DefaultParagraphFont"/>
    <w:link w:val="DeliveryInstructions"/>
    <w:rsid w:val="0010235C"/>
    <w:rPr>
      <w:b/>
      <w:caps/>
    </w:rPr>
  </w:style>
  <w:style w:type="character" w:customStyle="1" w:styleId="DisclaimerChar">
    <w:name w:val="Disclaimer Char"/>
    <w:basedOn w:val="DefaultParagraphFont"/>
    <w:link w:val="Disclaimer"/>
    <w:rsid w:val="00C923E5"/>
    <w:rPr>
      <w:sz w:val="12"/>
    </w:rPr>
  </w:style>
  <w:style w:type="paragraph" w:styleId="BodyText">
    <w:name w:val="Body Text"/>
    <w:basedOn w:val="Normal"/>
    <w:link w:val="BodyTextChar"/>
    <w:uiPriority w:val="99"/>
    <w:unhideWhenUsed/>
    <w:rsid w:val="00255118"/>
  </w:style>
  <w:style w:type="character" w:customStyle="1" w:styleId="BodyTextChar">
    <w:name w:val="Body Text Char"/>
    <w:basedOn w:val="DefaultParagraphFont"/>
    <w:link w:val="BodyText"/>
    <w:uiPriority w:val="99"/>
    <w:rsid w:val="00255118"/>
  </w:style>
  <w:style w:type="paragraph" w:styleId="BodyTextIndent">
    <w:name w:val="Body Text Indent"/>
    <w:basedOn w:val="Normal"/>
    <w:link w:val="BodyTextIndentChar"/>
    <w:uiPriority w:val="99"/>
    <w:semiHidden/>
    <w:unhideWhenUsed/>
    <w:rsid w:val="00255118"/>
    <w:pPr>
      <w:ind w:left="357"/>
    </w:pPr>
  </w:style>
  <w:style w:type="character" w:customStyle="1" w:styleId="BodyTextIndentChar">
    <w:name w:val="Body Text Indent Char"/>
    <w:basedOn w:val="DefaultParagraphFont"/>
    <w:link w:val="BodyTextIndent"/>
    <w:uiPriority w:val="99"/>
    <w:semiHidden/>
    <w:rsid w:val="00255118"/>
  </w:style>
  <w:style w:type="paragraph" w:customStyle="1" w:styleId="Strapline">
    <w:name w:val="Strapline"/>
    <w:basedOn w:val="Normal"/>
    <w:qFormat/>
    <w:rsid w:val="00ED2863"/>
    <w:pPr>
      <w:spacing w:line="180" w:lineRule="atLeast"/>
    </w:pPr>
    <w:rPr>
      <w:color w:val="6E2D91"/>
      <w:sz w:val="14"/>
    </w:rPr>
  </w:style>
  <w:style w:type="paragraph" w:customStyle="1" w:styleId="StandardL9">
    <w:name w:val="Standard L9"/>
    <w:basedOn w:val="Normal"/>
    <w:next w:val="BodyText3"/>
    <w:link w:val="StandardL9Char"/>
    <w:rsid w:val="00BF35B0"/>
    <w:pPr>
      <w:numPr>
        <w:ilvl w:val="8"/>
        <w:numId w:val="1"/>
      </w:numPr>
      <w:outlineLvl w:val="8"/>
    </w:pPr>
    <w:rPr>
      <w:lang w:val="pl-PL"/>
    </w:rPr>
  </w:style>
  <w:style w:type="character" w:customStyle="1" w:styleId="StandardL9Char">
    <w:name w:val="Standard L9 Char"/>
    <w:basedOn w:val="DefaultParagraphFont"/>
    <w:link w:val="StandardL9"/>
    <w:rsid w:val="00BF35B0"/>
    <w:rPr>
      <w:color w:val="17365D" w:themeColor="text2" w:themeShade="BF"/>
      <w:sz w:val="24"/>
      <w:lang w:val="pl-PL"/>
    </w:rPr>
  </w:style>
  <w:style w:type="paragraph" w:styleId="BodyText3">
    <w:name w:val="Body Text 3"/>
    <w:basedOn w:val="Normal"/>
    <w:link w:val="BodyText3Char"/>
    <w:uiPriority w:val="99"/>
    <w:semiHidden/>
    <w:unhideWhenUsed/>
    <w:rsid w:val="00BF35B0"/>
    <w:rPr>
      <w:sz w:val="16"/>
      <w:szCs w:val="16"/>
    </w:rPr>
  </w:style>
  <w:style w:type="character" w:customStyle="1" w:styleId="BodyText3Char">
    <w:name w:val="Body Text 3 Char"/>
    <w:basedOn w:val="DefaultParagraphFont"/>
    <w:link w:val="BodyText3"/>
    <w:uiPriority w:val="99"/>
    <w:semiHidden/>
    <w:rsid w:val="00BF35B0"/>
    <w:rPr>
      <w:sz w:val="16"/>
      <w:szCs w:val="16"/>
    </w:rPr>
  </w:style>
  <w:style w:type="paragraph" w:customStyle="1" w:styleId="StandardL8">
    <w:name w:val="Standard L8"/>
    <w:basedOn w:val="Normal"/>
    <w:next w:val="BodyText2"/>
    <w:link w:val="StandardL8Char"/>
    <w:rsid w:val="00BF35B0"/>
    <w:pPr>
      <w:numPr>
        <w:ilvl w:val="7"/>
        <w:numId w:val="1"/>
      </w:numPr>
      <w:outlineLvl w:val="7"/>
    </w:pPr>
    <w:rPr>
      <w:rFonts w:ascii="Times New Roman"/>
      <w:lang w:val="pl-PL"/>
    </w:rPr>
  </w:style>
  <w:style w:type="character" w:customStyle="1" w:styleId="StandardL8Char">
    <w:name w:val="Standard L8 Char"/>
    <w:basedOn w:val="DefaultParagraphFont"/>
    <w:link w:val="StandardL8"/>
    <w:rsid w:val="00BF35B0"/>
    <w:rPr>
      <w:rFonts w:ascii="Times New Roman"/>
      <w:color w:val="17365D" w:themeColor="text2" w:themeShade="BF"/>
      <w:sz w:val="24"/>
      <w:lang w:val="pl-PL"/>
    </w:rPr>
  </w:style>
  <w:style w:type="paragraph" w:styleId="BodyText2">
    <w:name w:val="Body Text 2"/>
    <w:basedOn w:val="Normal"/>
    <w:link w:val="BodyText2Char"/>
    <w:uiPriority w:val="99"/>
    <w:semiHidden/>
    <w:unhideWhenUsed/>
    <w:rsid w:val="00BF35B0"/>
    <w:pPr>
      <w:spacing w:line="480" w:lineRule="auto"/>
    </w:pPr>
  </w:style>
  <w:style w:type="character" w:customStyle="1" w:styleId="BodyText2Char">
    <w:name w:val="Body Text 2 Char"/>
    <w:basedOn w:val="DefaultParagraphFont"/>
    <w:link w:val="BodyText2"/>
    <w:uiPriority w:val="99"/>
    <w:semiHidden/>
    <w:rsid w:val="00BF35B0"/>
  </w:style>
  <w:style w:type="paragraph" w:customStyle="1" w:styleId="StandardL7">
    <w:name w:val="Standard L7"/>
    <w:basedOn w:val="Normal"/>
    <w:next w:val="Normal"/>
    <w:link w:val="StandardL7Char"/>
    <w:rsid w:val="00BF35B0"/>
    <w:pPr>
      <w:numPr>
        <w:ilvl w:val="6"/>
        <w:numId w:val="1"/>
      </w:numPr>
      <w:outlineLvl w:val="6"/>
    </w:pPr>
    <w:rPr>
      <w:rFonts w:ascii="Times New Roman"/>
      <w:lang w:val="pl-PL"/>
    </w:rPr>
  </w:style>
  <w:style w:type="character" w:customStyle="1" w:styleId="StandardL7Char">
    <w:name w:val="Standard L7 Char"/>
    <w:basedOn w:val="DefaultParagraphFont"/>
    <w:link w:val="StandardL7"/>
    <w:rsid w:val="00BF35B0"/>
    <w:rPr>
      <w:rFonts w:ascii="Times New Roman"/>
      <w:color w:val="17365D" w:themeColor="text2" w:themeShade="BF"/>
      <w:sz w:val="24"/>
      <w:lang w:val="pl-PL"/>
    </w:rPr>
  </w:style>
  <w:style w:type="paragraph" w:customStyle="1" w:styleId="StandardL6">
    <w:name w:val="Standard L6"/>
    <w:basedOn w:val="Normal"/>
    <w:next w:val="Normal"/>
    <w:link w:val="StandardL6Char"/>
    <w:rsid w:val="00BF35B0"/>
    <w:pPr>
      <w:numPr>
        <w:ilvl w:val="5"/>
        <w:numId w:val="1"/>
      </w:numPr>
      <w:outlineLvl w:val="5"/>
    </w:pPr>
    <w:rPr>
      <w:rFonts w:ascii="Times New Roman"/>
      <w:lang w:val="pl-PL"/>
    </w:rPr>
  </w:style>
  <w:style w:type="character" w:customStyle="1" w:styleId="StandardL6Char">
    <w:name w:val="Standard L6 Char"/>
    <w:basedOn w:val="DefaultParagraphFont"/>
    <w:link w:val="StandardL6"/>
    <w:rsid w:val="00BF35B0"/>
    <w:rPr>
      <w:rFonts w:ascii="Times New Roman"/>
      <w:color w:val="17365D" w:themeColor="text2" w:themeShade="BF"/>
      <w:sz w:val="24"/>
      <w:lang w:val="pl-PL"/>
    </w:rPr>
  </w:style>
  <w:style w:type="paragraph" w:customStyle="1" w:styleId="StandardL5">
    <w:name w:val="Standard L5"/>
    <w:basedOn w:val="Normal"/>
    <w:next w:val="Normal"/>
    <w:link w:val="StandardL5Char"/>
    <w:rsid w:val="00BF35B0"/>
    <w:pPr>
      <w:numPr>
        <w:ilvl w:val="4"/>
        <w:numId w:val="1"/>
      </w:numPr>
      <w:outlineLvl w:val="4"/>
    </w:pPr>
    <w:rPr>
      <w:lang w:val="pl-PL"/>
    </w:rPr>
  </w:style>
  <w:style w:type="character" w:customStyle="1" w:styleId="StandardL5Char">
    <w:name w:val="Standard L5 Char"/>
    <w:basedOn w:val="DefaultParagraphFont"/>
    <w:link w:val="StandardL5"/>
    <w:rsid w:val="00BF35B0"/>
    <w:rPr>
      <w:color w:val="17365D" w:themeColor="text2" w:themeShade="BF"/>
      <w:sz w:val="24"/>
      <w:lang w:val="pl-PL"/>
    </w:rPr>
  </w:style>
  <w:style w:type="paragraph" w:customStyle="1" w:styleId="StandardL4">
    <w:name w:val="Standard L4"/>
    <w:basedOn w:val="Normal"/>
    <w:next w:val="BodyText3"/>
    <w:link w:val="StandardL4Char"/>
    <w:rsid w:val="00BF35B0"/>
    <w:pPr>
      <w:numPr>
        <w:ilvl w:val="3"/>
        <w:numId w:val="1"/>
      </w:numPr>
      <w:outlineLvl w:val="3"/>
    </w:pPr>
    <w:rPr>
      <w:lang w:val="pl-PL"/>
    </w:rPr>
  </w:style>
  <w:style w:type="character" w:customStyle="1" w:styleId="StandardL4Char">
    <w:name w:val="Standard L4 Char"/>
    <w:basedOn w:val="DefaultParagraphFont"/>
    <w:link w:val="StandardL4"/>
    <w:rsid w:val="00BF35B0"/>
    <w:rPr>
      <w:color w:val="17365D" w:themeColor="text2" w:themeShade="BF"/>
      <w:sz w:val="24"/>
      <w:lang w:val="pl-PL"/>
    </w:rPr>
  </w:style>
  <w:style w:type="paragraph" w:customStyle="1" w:styleId="StandardL3">
    <w:name w:val="Standard L3"/>
    <w:basedOn w:val="Normal"/>
    <w:next w:val="BodyText2"/>
    <w:link w:val="StandardL3Char"/>
    <w:rsid w:val="00BF35B0"/>
    <w:pPr>
      <w:widowControl w:val="0"/>
      <w:numPr>
        <w:ilvl w:val="2"/>
        <w:numId w:val="1"/>
      </w:numPr>
      <w:outlineLvl w:val="2"/>
    </w:pPr>
    <w:rPr>
      <w:lang w:val="pl-PL"/>
    </w:rPr>
  </w:style>
  <w:style w:type="character" w:customStyle="1" w:styleId="StandardL3Char">
    <w:name w:val="Standard L3 Char"/>
    <w:basedOn w:val="DefaultParagraphFont"/>
    <w:link w:val="StandardL3"/>
    <w:rsid w:val="00BF35B0"/>
    <w:rPr>
      <w:color w:val="17365D" w:themeColor="text2" w:themeShade="BF"/>
      <w:sz w:val="24"/>
      <w:lang w:val="pl-PL"/>
    </w:rPr>
  </w:style>
  <w:style w:type="paragraph" w:customStyle="1" w:styleId="StandardL2">
    <w:name w:val="Standard L2"/>
    <w:basedOn w:val="Normal"/>
    <w:next w:val="Normal"/>
    <w:link w:val="StandardL2Char"/>
    <w:rsid w:val="008E2304"/>
    <w:pPr>
      <w:numPr>
        <w:numId w:val="3"/>
      </w:numPr>
      <w:ind w:hanging="720"/>
      <w:outlineLvl w:val="1"/>
    </w:pPr>
    <w:rPr>
      <w:b/>
      <w:lang w:val="pl-PL"/>
    </w:rPr>
  </w:style>
  <w:style w:type="character" w:customStyle="1" w:styleId="StandardL2Char">
    <w:name w:val="Standard L2 Char"/>
    <w:basedOn w:val="DefaultParagraphFont"/>
    <w:link w:val="StandardL2"/>
    <w:rsid w:val="008E2304"/>
    <w:rPr>
      <w:b/>
      <w:color w:val="17365D" w:themeColor="text2" w:themeShade="BF"/>
      <w:sz w:val="24"/>
      <w:lang w:val="pl-PL"/>
    </w:rPr>
  </w:style>
  <w:style w:type="paragraph" w:customStyle="1" w:styleId="StandardL1">
    <w:name w:val="Standard L1"/>
    <w:basedOn w:val="Normal"/>
    <w:next w:val="Normal"/>
    <w:link w:val="StandardL1Char"/>
    <w:rsid w:val="000E6FC9"/>
    <w:pPr>
      <w:keepNext/>
      <w:numPr>
        <w:numId w:val="1"/>
      </w:numPr>
      <w:suppressAutoHyphens/>
      <w:jc w:val="center"/>
      <w:outlineLvl w:val="0"/>
    </w:pPr>
    <w:rPr>
      <w:b/>
      <w:caps/>
      <w:color w:val="7C4451"/>
      <w:sz w:val="36"/>
      <w:lang w:val="pl-PL"/>
    </w:rPr>
  </w:style>
  <w:style w:type="character" w:customStyle="1" w:styleId="StandardL1Char">
    <w:name w:val="Standard L1 Char"/>
    <w:basedOn w:val="DefaultParagraphFont"/>
    <w:link w:val="StandardL1"/>
    <w:rsid w:val="000E6FC9"/>
    <w:rPr>
      <w:b/>
      <w:caps/>
      <w:color w:val="7C4451"/>
      <w:sz w:val="36"/>
      <w:lang w:val="pl-PL"/>
    </w:rPr>
  </w:style>
  <w:style w:type="paragraph" w:customStyle="1" w:styleId="SimpleL9">
    <w:name w:val="Simple L9"/>
    <w:basedOn w:val="Normal"/>
    <w:link w:val="SimpleL9Char"/>
    <w:rsid w:val="00BF35B0"/>
    <w:pPr>
      <w:numPr>
        <w:ilvl w:val="8"/>
        <w:numId w:val="2"/>
      </w:numPr>
    </w:pPr>
    <w:rPr>
      <w:rFonts w:ascii="Times New Roman"/>
      <w:lang w:val="pl-PL"/>
    </w:rPr>
  </w:style>
  <w:style w:type="character" w:customStyle="1" w:styleId="SimpleL9Char">
    <w:name w:val="Simple L9 Char"/>
    <w:basedOn w:val="DefaultParagraphFont"/>
    <w:link w:val="SimpleL9"/>
    <w:rsid w:val="00BF35B0"/>
    <w:rPr>
      <w:rFonts w:ascii="Times New Roman"/>
      <w:color w:val="17365D" w:themeColor="text2" w:themeShade="BF"/>
      <w:sz w:val="24"/>
      <w:lang w:val="pl-PL"/>
    </w:rPr>
  </w:style>
  <w:style w:type="paragraph" w:customStyle="1" w:styleId="SimpleL8">
    <w:name w:val="Simple L8"/>
    <w:basedOn w:val="Normal"/>
    <w:link w:val="SimpleL8Char"/>
    <w:rsid w:val="00BF35B0"/>
    <w:pPr>
      <w:numPr>
        <w:ilvl w:val="7"/>
        <w:numId w:val="2"/>
      </w:numPr>
    </w:pPr>
    <w:rPr>
      <w:rFonts w:ascii="Times New Roman"/>
      <w:lang w:val="pl-PL"/>
    </w:rPr>
  </w:style>
  <w:style w:type="character" w:customStyle="1" w:styleId="SimpleL8Char">
    <w:name w:val="Simple L8 Char"/>
    <w:basedOn w:val="DefaultParagraphFont"/>
    <w:link w:val="SimpleL8"/>
    <w:rsid w:val="00BF35B0"/>
    <w:rPr>
      <w:rFonts w:ascii="Times New Roman"/>
      <w:color w:val="17365D" w:themeColor="text2" w:themeShade="BF"/>
      <w:sz w:val="24"/>
      <w:lang w:val="pl-PL"/>
    </w:rPr>
  </w:style>
  <w:style w:type="paragraph" w:customStyle="1" w:styleId="SimpleL7">
    <w:name w:val="Simple L7"/>
    <w:basedOn w:val="Normal"/>
    <w:link w:val="SimpleL7Char"/>
    <w:rsid w:val="00BF35B0"/>
    <w:pPr>
      <w:numPr>
        <w:ilvl w:val="6"/>
        <w:numId w:val="2"/>
      </w:numPr>
      <w:outlineLvl w:val="6"/>
    </w:pPr>
    <w:rPr>
      <w:rFonts w:ascii="Times New Roman"/>
      <w:lang w:val="pl-PL"/>
    </w:rPr>
  </w:style>
  <w:style w:type="character" w:customStyle="1" w:styleId="SimpleL7Char">
    <w:name w:val="Simple L7 Char"/>
    <w:basedOn w:val="DefaultParagraphFont"/>
    <w:link w:val="SimpleL7"/>
    <w:rsid w:val="00BF35B0"/>
    <w:rPr>
      <w:rFonts w:ascii="Times New Roman"/>
      <w:color w:val="17365D" w:themeColor="text2" w:themeShade="BF"/>
      <w:sz w:val="24"/>
      <w:lang w:val="pl-PL"/>
    </w:rPr>
  </w:style>
  <w:style w:type="paragraph" w:customStyle="1" w:styleId="SimpleL6">
    <w:name w:val="Simple L6"/>
    <w:basedOn w:val="Normal"/>
    <w:link w:val="SimpleL6Char"/>
    <w:rsid w:val="00BF35B0"/>
    <w:pPr>
      <w:numPr>
        <w:ilvl w:val="5"/>
        <w:numId w:val="2"/>
      </w:numPr>
      <w:outlineLvl w:val="5"/>
    </w:pPr>
    <w:rPr>
      <w:rFonts w:ascii="Times New Roman"/>
      <w:lang w:val="pl-PL"/>
    </w:rPr>
  </w:style>
  <w:style w:type="character" w:customStyle="1" w:styleId="SimpleL6Char">
    <w:name w:val="Simple L6 Char"/>
    <w:basedOn w:val="DefaultParagraphFont"/>
    <w:link w:val="SimpleL6"/>
    <w:rsid w:val="00BF35B0"/>
    <w:rPr>
      <w:rFonts w:ascii="Times New Roman"/>
      <w:color w:val="17365D" w:themeColor="text2" w:themeShade="BF"/>
      <w:sz w:val="24"/>
      <w:lang w:val="pl-PL"/>
    </w:rPr>
  </w:style>
  <w:style w:type="paragraph" w:customStyle="1" w:styleId="SimpleL5">
    <w:name w:val="Simple L5"/>
    <w:basedOn w:val="Normal"/>
    <w:link w:val="SimpleL5Char"/>
    <w:rsid w:val="00BF35B0"/>
    <w:pPr>
      <w:numPr>
        <w:ilvl w:val="4"/>
        <w:numId w:val="2"/>
      </w:numPr>
      <w:outlineLvl w:val="4"/>
    </w:pPr>
    <w:rPr>
      <w:rFonts w:ascii="Times New Roman"/>
      <w:lang w:val="pl-PL"/>
    </w:rPr>
  </w:style>
  <w:style w:type="character" w:customStyle="1" w:styleId="SimpleL5Char">
    <w:name w:val="Simple L5 Char"/>
    <w:basedOn w:val="DefaultParagraphFont"/>
    <w:link w:val="SimpleL5"/>
    <w:rsid w:val="00BF35B0"/>
    <w:rPr>
      <w:rFonts w:ascii="Times New Roman"/>
      <w:color w:val="17365D" w:themeColor="text2" w:themeShade="BF"/>
      <w:sz w:val="24"/>
      <w:lang w:val="pl-PL"/>
    </w:rPr>
  </w:style>
  <w:style w:type="paragraph" w:customStyle="1" w:styleId="SimpleL4">
    <w:name w:val="Simple L4"/>
    <w:basedOn w:val="Normal"/>
    <w:link w:val="SimpleL4Char"/>
    <w:rsid w:val="00BF35B0"/>
    <w:pPr>
      <w:numPr>
        <w:ilvl w:val="3"/>
        <w:numId w:val="2"/>
      </w:numPr>
      <w:outlineLvl w:val="3"/>
    </w:pPr>
    <w:rPr>
      <w:rFonts w:ascii="Times New Roman"/>
      <w:lang w:val="pl-PL"/>
    </w:rPr>
  </w:style>
  <w:style w:type="character" w:customStyle="1" w:styleId="SimpleL4Char">
    <w:name w:val="Simple L4 Char"/>
    <w:basedOn w:val="DefaultParagraphFont"/>
    <w:link w:val="SimpleL4"/>
    <w:rsid w:val="00BF35B0"/>
    <w:rPr>
      <w:rFonts w:ascii="Times New Roman"/>
      <w:color w:val="17365D" w:themeColor="text2" w:themeShade="BF"/>
      <w:sz w:val="24"/>
      <w:lang w:val="pl-PL"/>
    </w:rPr>
  </w:style>
  <w:style w:type="paragraph" w:customStyle="1" w:styleId="SimpleL3">
    <w:name w:val="Simple L3"/>
    <w:basedOn w:val="Normal"/>
    <w:link w:val="SimpleL3Char"/>
    <w:rsid w:val="00BF35B0"/>
    <w:pPr>
      <w:numPr>
        <w:ilvl w:val="2"/>
        <w:numId w:val="2"/>
      </w:numPr>
      <w:outlineLvl w:val="2"/>
    </w:pPr>
    <w:rPr>
      <w:rFonts w:ascii="Times New Roman"/>
      <w:lang w:val="pl-PL"/>
    </w:rPr>
  </w:style>
  <w:style w:type="character" w:customStyle="1" w:styleId="SimpleL3Char">
    <w:name w:val="Simple L3 Char"/>
    <w:basedOn w:val="DefaultParagraphFont"/>
    <w:link w:val="SimpleL3"/>
    <w:rsid w:val="00BF35B0"/>
    <w:rPr>
      <w:rFonts w:ascii="Times New Roman"/>
      <w:color w:val="17365D" w:themeColor="text2" w:themeShade="BF"/>
      <w:sz w:val="24"/>
      <w:lang w:val="pl-PL"/>
    </w:rPr>
  </w:style>
  <w:style w:type="paragraph" w:customStyle="1" w:styleId="SimpleL2">
    <w:name w:val="Simple L2"/>
    <w:basedOn w:val="Normal"/>
    <w:link w:val="SimpleL2Char"/>
    <w:rsid w:val="00BF35B0"/>
    <w:pPr>
      <w:numPr>
        <w:ilvl w:val="1"/>
        <w:numId w:val="2"/>
      </w:numPr>
      <w:outlineLvl w:val="1"/>
    </w:pPr>
    <w:rPr>
      <w:rFonts w:ascii="Times New Roman"/>
      <w:lang w:val="pl-PL"/>
    </w:rPr>
  </w:style>
  <w:style w:type="character" w:customStyle="1" w:styleId="SimpleL2Char">
    <w:name w:val="Simple L2 Char"/>
    <w:basedOn w:val="DefaultParagraphFont"/>
    <w:link w:val="SimpleL2"/>
    <w:rsid w:val="00BF35B0"/>
    <w:rPr>
      <w:rFonts w:ascii="Times New Roman"/>
      <w:color w:val="17365D" w:themeColor="text2" w:themeShade="BF"/>
      <w:sz w:val="24"/>
      <w:lang w:val="pl-PL"/>
    </w:rPr>
  </w:style>
  <w:style w:type="paragraph" w:customStyle="1" w:styleId="SimpleL1">
    <w:name w:val="Simple L1"/>
    <w:basedOn w:val="Normal"/>
    <w:link w:val="SimpleL1Char"/>
    <w:rsid w:val="00BF35B0"/>
    <w:pPr>
      <w:ind w:left="720" w:hanging="720"/>
      <w:outlineLvl w:val="0"/>
    </w:pPr>
    <w:rPr>
      <w:rFonts w:ascii="Times New Roman"/>
      <w:lang w:val="pl-PL"/>
    </w:rPr>
  </w:style>
  <w:style w:type="character" w:customStyle="1" w:styleId="SimpleL1Char">
    <w:name w:val="Simple L1 Char"/>
    <w:basedOn w:val="DefaultParagraphFont"/>
    <w:link w:val="SimpleL1"/>
    <w:rsid w:val="00BF35B0"/>
    <w:rPr>
      <w:rFonts w:ascii="Times New Roman"/>
      <w:sz w:val="24"/>
      <w:lang w:val="pl-PL"/>
    </w:rPr>
  </w:style>
  <w:style w:type="paragraph" w:customStyle="1" w:styleId="ColorfulList-Accent11">
    <w:name w:val="Colorful List - Accent 11"/>
    <w:basedOn w:val="Normal"/>
    <w:uiPriority w:val="34"/>
    <w:qFormat/>
    <w:rsid w:val="000E6FC9"/>
    <w:pPr>
      <w:spacing w:after="200"/>
      <w:ind w:left="720"/>
      <w:contextualSpacing/>
      <w:jc w:val="left"/>
    </w:pPr>
    <w:rPr>
      <w:rFonts w:ascii="Calibri" w:eastAsia="Calibri" w:hAnsi="Calibri"/>
      <w:sz w:val="22"/>
      <w:szCs w:val="22"/>
      <w:lang w:val="pl-PL"/>
    </w:rPr>
  </w:style>
  <w:style w:type="paragraph" w:styleId="FootnoteText">
    <w:name w:val="footnote text"/>
    <w:basedOn w:val="Normal"/>
    <w:link w:val="FootnoteTextChar"/>
    <w:uiPriority w:val="99"/>
    <w:semiHidden/>
    <w:unhideWhenUsed/>
    <w:rsid w:val="00572310"/>
    <w:pPr>
      <w:spacing w:after="0" w:line="240" w:lineRule="auto"/>
      <w:jc w:val="left"/>
    </w:pPr>
    <w:rPr>
      <w:rFonts w:asciiTheme="minorHAnsi" w:eastAsiaTheme="minorHAnsi" w:hAnsiTheme="minorHAnsi" w:cstheme="minorBidi"/>
      <w:lang w:val="pl-PL"/>
    </w:rPr>
  </w:style>
  <w:style w:type="character" w:customStyle="1" w:styleId="FootnoteTextChar">
    <w:name w:val="Footnote Text Char"/>
    <w:basedOn w:val="DefaultParagraphFont"/>
    <w:link w:val="FootnoteText"/>
    <w:uiPriority w:val="99"/>
    <w:semiHidden/>
    <w:rsid w:val="00572310"/>
    <w:rPr>
      <w:rFonts w:asciiTheme="minorHAnsi" w:eastAsiaTheme="minorHAnsi" w:hAnsiTheme="minorHAnsi" w:cstheme="minorBidi"/>
      <w:lang w:val="pl-PL"/>
    </w:rPr>
  </w:style>
  <w:style w:type="character" w:styleId="FootnoteReference">
    <w:name w:val="footnote reference"/>
    <w:aliases w:val="Footnote Reference Number,Odwo³anie przypisu,Odwołanie przypisu,EN Footnote Reference,Times 10 Point,Exposant 3 Point,Footnote symbol,Footnote reference number,note TESI,fr"/>
    <w:basedOn w:val="DefaultParagraphFont"/>
    <w:uiPriority w:val="99"/>
    <w:semiHidden/>
    <w:unhideWhenUsed/>
    <w:rsid w:val="00572310"/>
    <w:rPr>
      <w:vertAlign w:val="superscript"/>
    </w:rPr>
  </w:style>
  <w:style w:type="character" w:styleId="CommentReference">
    <w:name w:val="annotation reference"/>
    <w:basedOn w:val="DefaultParagraphFont"/>
    <w:uiPriority w:val="99"/>
    <w:semiHidden/>
    <w:unhideWhenUsed/>
    <w:rsid w:val="008E2304"/>
    <w:rPr>
      <w:sz w:val="16"/>
      <w:szCs w:val="16"/>
    </w:rPr>
  </w:style>
  <w:style w:type="paragraph" w:styleId="CommentText">
    <w:name w:val="annotation text"/>
    <w:basedOn w:val="Normal"/>
    <w:link w:val="CommentTextChar"/>
    <w:uiPriority w:val="99"/>
    <w:semiHidden/>
    <w:unhideWhenUsed/>
    <w:rsid w:val="008E2304"/>
    <w:pPr>
      <w:spacing w:after="200" w:line="240" w:lineRule="auto"/>
      <w:jc w:val="left"/>
    </w:pPr>
    <w:rPr>
      <w:rFonts w:asciiTheme="minorHAnsi" w:eastAsiaTheme="minorHAnsi" w:hAnsiTheme="minorHAnsi" w:cstheme="minorBidi"/>
      <w:color w:val="auto"/>
      <w:sz w:val="20"/>
      <w:lang w:val="pl-PL"/>
    </w:rPr>
  </w:style>
  <w:style w:type="character" w:customStyle="1" w:styleId="CommentTextChar">
    <w:name w:val="Comment Text Char"/>
    <w:basedOn w:val="DefaultParagraphFont"/>
    <w:link w:val="CommentText"/>
    <w:uiPriority w:val="99"/>
    <w:semiHidden/>
    <w:rsid w:val="008E2304"/>
    <w:rPr>
      <w:rFonts w:asciiTheme="minorHAnsi" w:eastAsiaTheme="minorHAnsi" w:hAnsiTheme="minorHAnsi" w:cstheme="minorBidi"/>
      <w:lang w:val="pl-PL"/>
    </w:rPr>
  </w:style>
  <w:style w:type="paragraph" w:customStyle="1" w:styleId="c01pointnumerotealtn">
    <w:name w:val="c01pointnumerotealtn"/>
    <w:basedOn w:val="Normal"/>
    <w:rsid w:val="008E2304"/>
    <w:pPr>
      <w:spacing w:before="100" w:beforeAutospacing="1" w:line="240" w:lineRule="auto"/>
      <w:ind w:left="567" w:hanging="539"/>
    </w:pPr>
    <w:rPr>
      <w:rFonts w:ascii="Times New Roman" w:eastAsia="Times New Roman" w:hAnsi="Times New Roman"/>
      <w:color w:val="auto"/>
      <w:szCs w:val="24"/>
      <w:lang w:val="pl-PL" w:eastAsia="pl-PL"/>
    </w:rPr>
  </w:style>
  <w:style w:type="paragraph" w:styleId="CommentSubject">
    <w:name w:val="annotation subject"/>
    <w:basedOn w:val="CommentText"/>
    <w:next w:val="CommentText"/>
    <w:link w:val="CommentSubjectChar"/>
    <w:uiPriority w:val="99"/>
    <w:semiHidden/>
    <w:unhideWhenUsed/>
    <w:rsid w:val="002F6989"/>
    <w:pPr>
      <w:spacing w:after="240"/>
      <w:jc w:val="both"/>
    </w:pPr>
    <w:rPr>
      <w:rFonts w:ascii="Arial" w:eastAsiaTheme="minorEastAsia" w:hAnsi="Arial" w:cs="Times New Roman"/>
      <w:b/>
      <w:bCs/>
      <w:color w:val="17365D" w:themeColor="text2" w:themeShade="BF"/>
      <w:lang w:val="en-GB"/>
    </w:rPr>
  </w:style>
  <w:style w:type="character" w:customStyle="1" w:styleId="CommentSubjectChar">
    <w:name w:val="Comment Subject Char"/>
    <w:basedOn w:val="CommentTextChar"/>
    <w:link w:val="CommentSubject"/>
    <w:uiPriority w:val="99"/>
    <w:semiHidden/>
    <w:rsid w:val="002F6989"/>
    <w:rPr>
      <w:rFonts w:asciiTheme="minorHAnsi" w:eastAsiaTheme="minorHAnsi" w:hAnsiTheme="minorHAnsi" w:cstheme="minorBidi"/>
      <w:b/>
      <w:bCs/>
      <w:color w:val="17365D" w:themeColor="text2" w:themeShade="BF"/>
      <w:lang w:val="pl-PL"/>
    </w:rPr>
  </w:style>
  <w:style w:type="paragraph" w:customStyle="1" w:styleId="Default">
    <w:name w:val="Default"/>
    <w:rsid w:val="00BD7C81"/>
    <w:pPr>
      <w:autoSpaceDE w:val="0"/>
      <w:autoSpaceDN w:val="0"/>
      <w:adjustRightInd w:val="0"/>
      <w:spacing w:line="240" w:lineRule="auto"/>
    </w:pPr>
    <w:rPr>
      <w:rFonts w:cs="Arial"/>
      <w:color w:val="000000"/>
      <w:sz w:val="24"/>
      <w:szCs w:val="24"/>
      <w:lang w:val="pl-PL"/>
    </w:rPr>
  </w:style>
  <w:style w:type="character" w:styleId="Hyperlink">
    <w:name w:val="Hyperlink"/>
    <w:basedOn w:val="DefaultParagraphFont"/>
    <w:uiPriority w:val="99"/>
    <w:semiHidden/>
    <w:unhideWhenUsed/>
    <w:rsid w:val="00611EFD"/>
    <w:rPr>
      <w:color w:val="0000FF"/>
      <w:u w:val="single"/>
    </w:rPr>
  </w:style>
  <w:style w:type="paragraph" w:styleId="Revision">
    <w:name w:val="Revision"/>
    <w:hidden/>
    <w:uiPriority w:val="99"/>
    <w:semiHidden/>
    <w:rsid w:val="00F42AE2"/>
    <w:pPr>
      <w:spacing w:line="240" w:lineRule="auto"/>
    </w:pPr>
    <w:rPr>
      <w:color w:val="17365D" w:themeColor="text2" w:themeShade="BF"/>
      <w:sz w:val="24"/>
    </w:rPr>
  </w:style>
  <w:style w:type="paragraph" w:styleId="Bibliography">
    <w:name w:val="Bibliography"/>
    <w:basedOn w:val="Normal"/>
    <w:next w:val="Normal"/>
    <w:uiPriority w:val="37"/>
    <w:semiHidden/>
    <w:unhideWhenUsed/>
    <w:rsid w:val="005D7A00"/>
  </w:style>
  <w:style w:type="paragraph" w:styleId="BlockText">
    <w:name w:val="Block Text"/>
    <w:basedOn w:val="Normal"/>
    <w:uiPriority w:val="99"/>
    <w:semiHidden/>
    <w:unhideWhenUsed/>
    <w:rsid w:val="005D7A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5D7A00"/>
    <w:pPr>
      <w:ind w:firstLine="360"/>
    </w:pPr>
  </w:style>
  <w:style w:type="character" w:customStyle="1" w:styleId="BodyTextFirstIndentChar">
    <w:name w:val="Body Text First Indent Char"/>
    <w:basedOn w:val="BodyTextChar"/>
    <w:link w:val="BodyTextFirstIndent"/>
    <w:uiPriority w:val="99"/>
    <w:semiHidden/>
    <w:rsid w:val="005D7A00"/>
    <w:rPr>
      <w:color w:val="17365D" w:themeColor="text2" w:themeShade="BF"/>
      <w:sz w:val="24"/>
    </w:rPr>
  </w:style>
  <w:style w:type="paragraph" w:styleId="BodyTextFirstIndent2">
    <w:name w:val="Body Text First Indent 2"/>
    <w:basedOn w:val="BodyTextIndent"/>
    <w:link w:val="BodyTextFirstIndent2Char"/>
    <w:uiPriority w:val="99"/>
    <w:semiHidden/>
    <w:unhideWhenUsed/>
    <w:rsid w:val="005D7A00"/>
    <w:pPr>
      <w:ind w:left="360" w:firstLine="360"/>
    </w:pPr>
  </w:style>
  <w:style w:type="character" w:customStyle="1" w:styleId="BodyTextFirstIndent2Char">
    <w:name w:val="Body Text First Indent 2 Char"/>
    <w:basedOn w:val="BodyTextIndentChar"/>
    <w:link w:val="BodyTextFirstIndent2"/>
    <w:uiPriority w:val="99"/>
    <w:semiHidden/>
    <w:rsid w:val="005D7A00"/>
    <w:rPr>
      <w:color w:val="17365D" w:themeColor="text2" w:themeShade="BF"/>
      <w:sz w:val="24"/>
    </w:rPr>
  </w:style>
  <w:style w:type="paragraph" w:styleId="BodyTextIndent2">
    <w:name w:val="Body Text Indent 2"/>
    <w:basedOn w:val="Normal"/>
    <w:link w:val="BodyTextIndent2Char"/>
    <w:uiPriority w:val="99"/>
    <w:semiHidden/>
    <w:unhideWhenUsed/>
    <w:rsid w:val="005D7A00"/>
    <w:pPr>
      <w:spacing w:after="120" w:line="480" w:lineRule="auto"/>
      <w:ind w:left="283"/>
    </w:pPr>
  </w:style>
  <w:style w:type="character" w:customStyle="1" w:styleId="BodyTextIndent2Char">
    <w:name w:val="Body Text Indent 2 Char"/>
    <w:basedOn w:val="DefaultParagraphFont"/>
    <w:link w:val="BodyTextIndent2"/>
    <w:uiPriority w:val="99"/>
    <w:semiHidden/>
    <w:rsid w:val="005D7A00"/>
    <w:rPr>
      <w:color w:val="17365D" w:themeColor="text2" w:themeShade="BF"/>
      <w:sz w:val="24"/>
    </w:rPr>
  </w:style>
  <w:style w:type="paragraph" w:styleId="BodyTextIndent3">
    <w:name w:val="Body Text Indent 3"/>
    <w:basedOn w:val="Normal"/>
    <w:link w:val="BodyTextIndent3Char"/>
    <w:uiPriority w:val="99"/>
    <w:semiHidden/>
    <w:unhideWhenUsed/>
    <w:rsid w:val="005D7A0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7A00"/>
    <w:rPr>
      <w:color w:val="17365D" w:themeColor="text2" w:themeShade="BF"/>
      <w:sz w:val="16"/>
      <w:szCs w:val="16"/>
    </w:rPr>
  </w:style>
  <w:style w:type="paragraph" w:styleId="Date">
    <w:name w:val="Date"/>
    <w:basedOn w:val="Normal"/>
    <w:next w:val="Normal"/>
    <w:link w:val="DateChar"/>
    <w:uiPriority w:val="99"/>
    <w:semiHidden/>
    <w:unhideWhenUsed/>
    <w:rsid w:val="005D7A00"/>
  </w:style>
  <w:style w:type="character" w:customStyle="1" w:styleId="DateChar">
    <w:name w:val="Date Char"/>
    <w:basedOn w:val="DefaultParagraphFont"/>
    <w:link w:val="Date"/>
    <w:uiPriority w:val="99"/>
    <w:semiHidden/>
    <w:rsid w:val="005D7A00"/>
    <w:rPr>
      <w:color w:val="17365D" w:themeColor="text2" w:themeShade="BF"/>
      <w:sz w:val="24"/>
    </w:rPr>
  </w:style>
  <w:style w:type="paragraph" w:styleId="DocumentMap">
    <w:name w:val="Document Map"/>
    <w:basedOn w:val="Normal"/>
    <w:link w:val="DocumentMapChar"/>
    <w:uiPriority w:val="99"/>
    <w:semiHidden/>
    <w:unhideWhenUsed/>
    <w:rsid w:val="005D7A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D7A00"/>
    <w:rPr>
      <w:rFonts w:ascii="Tahoma" w:hAnsi="Tahoma" w:cs="Tahoma"/>
      <w:color w:val="17365D" w:themeColor="text2" w:themeShade="BF"/>
      <w:sz w:val="16"/>
      <w:szCs w:val="16"/>
    </w:rPr>
  </w:style>
  <w:style w:type="paragraph" w:styleId="E-mailSignature">
    <w:name w:val="E-mail Signature"/>
    <w:basedOn w:val="Normal"/>
    <w:link w:val="E-mailSignatureChar"/>
    <w:uiPriority w:val="99"/>
    <w:semiHidden/>
    <w:unhideWhenUsed/>
    <w:rsid w:val="005D7A00"/>
    <w:pPr>
      <w:spacing w:after="0" w:line="240" w:lineRule="auto"/>
    </w:pPr>
  </w:style>
  <w:style w:type="character" w:customStyle="1" w:styleId="E-mailSignatureChar">
    <w:name w:val="E-mail Signature Char"/>
    <w:basedOn w:val="DefaultParagraphFont"/>
    <w:link w:val="E-mailSignature"/>
    <w:uiPriority w:val="99"/>
    <w:semiHidden/>
    <w:rsid w:val="005D7A00"/>
    <w:rPr>
      <w:color w:val="17365D" w:themeColor="text2" w:themeShade="BF"/>
      <w:sz w:val="24"/>
    </w:rPr>
  </w:style>
  <w:style w:type="paragraph" w:styleId="EndnoteText">
    <w:name w:val="endnote text"/>
    <w:basedOn w:val="Normal"/>
    <w:link w:val="EndnoteTextChar"/>
    <w:uiPriority w:val="99"/>
    <w:semiHidden/>
    <w:unhideWhenUsed/>
    <w:rsid w:val="005D7A00"/>
    <w:pPr>
      <w:spacing w:after="0" w:line="240" w:lineRule="auto"/>
    </w:pPr>
    <w:rPr>
      <w:sz w:val="20"/>
    </w:rPr>
  </w:style>
  <w:style w:type="character" w:customStyle="1" w:styleId="EndnoteTextChar">
    <w:name w:val="Endnote Text Char"/>
    <w:basedOn w:val="DefaultParagraphFont"/>
    <w:link w:val="EndnoteText"/>
    <w:uiPriority w:val="99"/>
    <w:semiHidden/>
    <w:rsid w:val="005D7A00"/>
    <w:rPr>
      <w:color w:val="17365D" w:themeColor="text2" w:themeShade="BF"/>
    </w:rPr>
  </w:style>
  <w:style w:type="paragraph" w:styleId="EnvelopeAddress">
    <w:name w:val="envelope address"/>
    <w:basedOn w:val="Normal"/>
    <w:uiPriority w:val="99"/>
    <w:semiHidden/>
    <w:unhideWhenUsed/>
    <w:rsid w:val="005D7A0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D7A00"/>
    <w:pPr>
      <w:spacing w:after="0"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5D7A00"/>
    <w:pPr>
      <w:spacing w:after="0" w:line="240" w:lineRule="auto"/>
    </w:pPr>
    <w:rPr>
      <w:i/>
      <w:iCs/>
    </w:rPr>
  </w:style>
  <w:style w:type="character" w:customStyle="1" w:styleId="HTMLAddressChar">
    <w:name w:val="HTML Address Char"/>
    <w:basedOn w:val="DefaultParagraphFont"/>
    <w:link w:val="HTMLAddress"/>
    <w:uiPriority w:val="99"/>
    <w:semiHidden/>
    <w:rsid w:val="005D7A00"/>
    <w:rPr>
      <w:i/>
      <w:iCs/>
      <w:color w:val="17365D" w:themeColor="text2" w:themeShade="BF"/>
      <w:sz w:val="24"/>
    </w:rPr>
  </w:style>
  <w:style w:type="paragraph" w:styleId="HTMLPreformatted">
    <w:name w:val="HTML Preformatted"/>
    <w:basedOn w:val="Normal"/>
    <w:link w:val="HTMLPreformattedChar"/>
    <w:uiPriority w:val="99"/>
    <w:semiHidden/>
    <w:unhideWhenUsed/>
    <w:rsid w:val="005D7A00"/>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D7A00"/>
    <w:rPr>
      <w:rFonts w:ascii="Consolas" w:hAnsi="Consolas"/>
      <w:color w:val="17365D" w:themeColor="text2" w:themeShade="BF"/>
    </w:rPr>
  </w:style>
  <w:style w:type="paragraph" w:styleId="Index1">
    <w:name w:val="index 1"/>
    <w:basedOn w:val="Normal"/>
    <w:next w:val="Normal"/>
    <w:autoRedefine/>
    <w:uiPriority w:val="99"/>
    <w:semiHidden/>
    <w:unhideWhenUsed/>
    <w:rsid w:val="005D7A00"/>
    <w:pPr>
      <w:spacing w:after="0" w:line="240" w:lineRule="auto"/>
      <w:ind w:left="240" w:hanging="240"/>
    </w:pPr>
  </w:style>
  <w:style w:type="paragraph" w:styleId="Index2">
    <w:name w:val="index 2"/>
    <w:basedOn w:val="Normal"/>
    <w:next w:val="Normal"/>
    <w:autoRedefine/>
    <w:uiPriority w:val="99"/>
    <w:semiHidden/>
    <w:unhideWhenUsed/>
    <w:rsid w:val="005D7A00"/>
    <w:pPr>
      <w:spacing w:after="0" w:line="240" w:lineRule="auto"/>
      <w:ind w:left="480" w:hanging="240"/>
    </w:pPr>
  </w:style>
  <w:style w:type="paragraph" w:styleId="Index3">
    <w:name w:val="index 3"/>
    <w:basedOn w:val="Normal"/>
    <w:next w:val="Normal"/>
    <w:autoRedefine/>
    <w:uiPriority w:val="99"/>
    <w:semiHidden/>
    <w:unhideWhenUsed/>
    <w:rsid w:val="005D7A00"/>
    <w:pPr>
      <w:spacing w:after="0" w:line="240" w:lineRule="auto"/>
      <w:ind w:left="720" w:hanging="240"/>
    </w:pPr>
  </w:style>
  <w:style w:type="paragraph" w:styleId="Index4">
    <w:name w:val="index 4"/>
    <w:basedOn w:val="Normal"/>
    <w:next w:val="Normal"/>
    <w:autoRedefine/>
    <w:uiPriority w:val="99"/>
    <w:semiHidden/>
    <w:unhideWhenUsed/>
    <w:rsid w:val="005D7A00"/>
    <w:pPr>
      <w:spacing w:after="0" w:line="240" w:lineRule="auto"/>
      <w:ind w:left="960" w:hanging="240"/>
    </w:pPr>
  </w:style>
  <w:style w:type="paragraph" w:styleId="Index5">
    <w:name w:val="index 5"/>
    <w:basedOn w:val="Normal"/>
    <w:next w:val="Normal"/>
    <w:autoRedefine/>
    <w:uiPriority w:val="99"/>
    <w:semiHidden/>
    <w:unhideWhenUsed/>
    <w:rsid w:val="005D7A00"/>
    <w:pPr>
      <w:spacing w:after="0" w:line="240" w:lineRule="auto"/>
      <w:ind w:left="1200" w:hanging="240"/>
    </w:pPr>
  </w:style>
  <w:style w:type="paragraph" w:styleId="Index6">
    <w:name w:val="index 6"/>
    <w:basedOn w:val="Normal"/>
    <w:next w:val="Normal"/>
    <w:autoRedefine/>
    <w:uiPriority w:val="99"/>
    <w:semiHidden/>
    <w:unhideWhenUsed/>
    <w:rsid w:val="005D7A00"/>
    <w:pPr>
      <w:spacing w:after="0" w:line="240" w:lineRule="auto"/>
      <w:ind w:left="1440" w:hanging="240"/>
    </w:pPr>
  </w:style>
  <w:style w:type="paragraph" w:styleId="Index7">
    <w:name w:val="index 7"/>
    <w:basedOn w:val="Normal"/>
    <w:next w:val="Normal"/>
    <w:autoRedefine/>
    <w:uiPriority w:val="99"/>
    <w:semiHidden/>
    <w:unhideWhenUsed/>
    <w:rsid w:val="005D7A00"/>
    <w:pPr>
      <w:spacing w:after="0" w:line="240" w:lineRule="auto"/>
      <w:ind w:left="1680" w:hanging="240"/>
    </w:pPr>
  </w:style>
  <w:style w:type="paragraph" w:styleId="Index8">
    <w:name w:val="index 8"/>
    <w:basedOn w:val="Normal"/>
    <w:next w:val="Normal"/>
    <w:autoRedefine/>
    <w:uiPriority w:val="99"/>
    <w:semiHidden/>
    <w:unhideWhenUsed/>
    <w:rsid w:val="005D7A00"/>
    <w:pPr>
      <w:spacing w:after="0" w:line="240" w:lineRule="auto"/>
      <w:ind w:left="1920" w:hanging="240"/>
    </w:pPr>
  </w:style>
  <w:style w:type="paragraph" w:styleId="Index9">
    <w:name w:val="index 9"/>
    <w:basedOn w:val="Normal"/>
    <w:next w:val="Normal"/>
    <w:autoRedefine/>
    <w:uiPriority w:val="99"/>
    <w:semiHidden/>
    <w:unhideWhenUsed/>
    <w:rsid w:val="005D7A00"/>
    <w:pPr>
      <w:spacing w:after="0" w:line="240" w:lineRule="auto"/>
      <w:ind w:left="2160" w:hanging="240"/>
    </w:pPr>
  </w:style>
  <w:style w:type="paragraph" w:styleId="IndexHeading">
    <w:name w:val="index heading"/>
    <w:basedOn w:val="Normal"/>
    <w:next w:val="Index1"/>
    <w:uiPriority w:val="99"/>
    <w:semiHidden/>
    <w:unhideWhenUsed/>
    <w:rsid w:val="005D7A00"/>
    <w:rPr>
      <w:rFonts w:asciiTheme="majorHAnsi" w:eastAsiaTheme="majorEastAsia" w:hAnsiTheme="majorHAnsi" w:cstheme="majorBidi"/>
      <w:b/>
      <w:bCs/>
    </w:rPr>
  </w:style>
  <w:style w:type="paragraph" w:styleId="List">
    <w:name w:val="List"/>
    <w:basedOn w:val="Normal"/>
    <w:uiPriority w:val="99"/>
    <w:semiHidden/>
    <w:unhideWhenUsed/>
    <w:rsid w:val="005D7A00"/>
    <w:pPr>
      <w:ind w:left="283" w:hanging="283"/>
      <w:contextualSpacing/>
    </w:pPr>
  </w:style>
  <w:style w:type="paragraph" w:styleId="List2">
    <w:name w:val="List 2"/>
    <w:basedOn w:val="Normal"/>
    <w:uiPriority w:val="99"/>
    <w:semiHidden/>
    <w:unhideWhenUsed/>
    <w:rsid w:val="005D7A00"/>
    <w:pPr>
      <w:ind w:left="566" w:hanging="283"/>
      <w:contextualSpacing/>
    </w:pPr>
  </w:style>
  <w:style w:type="paragraph" w:styleId="List3">
    <w:name w:val="List 3"/>
    <w:basedOn w:val="Normal"/>
    <w:uiPriority w:val="99"/>
    <w:semiHidden/>
    <w:unhideWhenUsed/>
    <w:rsid w:val="005D7A00"/>
    <w:pPr>
      <w:ind w:left="849" w:hanging="283"/>
      <w:contextualSpacing/>
    </w:pPr>
  </w:style>
  <w:style w:type="paragraph" w:styleId="List4">
    <w:name w:val="List 4"/>
    <w:basedOn w:val="Normal"/>
    <w:uiPriority w:val="99"/>
    <w:semiHidden/>
    <w:unhideWhenUsed/>
    <w:rsid w:val="005D7A00"/>
    <w:pPr>
      <w:ind w:left="1132" w:hanging="283"/>
      <w:contextualSpacing/>
    </w:pPr>
  </w:style>
  <w:style w:type="paragraph" w:styleId="List5">
    <w:name w:val="List 5"/>
    <w:basedOn w:val="Normal"/>
    <w:uiPriority w:val="99"/>
    <w:semiHidden/>
    <w:unhideWhenUsed/>
    <w:rsid w:val="005D7A00"/>
    <w:pPr>
      <w:ind w:left="1415" w:hanging="283"/>
      <w:contextualSpacing/>
    </w:pPr>
  </w:style>
  <w:style w:type="paragraph" w:styleId="ListBullet">
    <w:name w:val="List Bullet"/>
    <w:basedOn w:val="Normal"/>
    <w:uiPriority w:val="99"/>
    <w:semiHidden/>
    <w:unhideWhenUsed/>
    <w:rsid w:val="005D7A00"/>
    <w:pPr>
      <w:numPr>
        <w:numId w:val="5"/>
      </w:numPr>
      <w:contextualSpacing/>
    </w:pPr>
  </w:style>
  <w:style w:type="paragraph" w:styleId="ListBullet2">
    <w:name w:val="List Bullet 2"/>
    <w:basedOn w:val="Normal"/>
    <w:uiPriority w:val="99"/>
    <w:semiHidden/>
    <w:unhideWhenUsed/>
    <w:rsid w:val="005D7A00"/>
    <w:pPr>
      <w:numPr>
        <w:numId w:val="6"/>
      </w:numPr>
      <w:contextualSpacing/>
    </w:pPr>
  </w:style>
  <w:style w:type="paragraph" w:styleId="ListBullet3">
    <w:name w:val="List Bullet 3"/>
    <w:basedOn w:val="Normal"/>
    <w:uiPriority w:val="99"/>
    <w:semiHidden/>
    <w:unhideWhenUsed/>
    <w:rsid w:val="005D7A00"/>
    <w:pPr>
      <w:numPr>
        <w:numId w:val="7"/>
      </w:numPr>
      <w:contextualSpacing/>
    </w:pPr>
  </w:style>
  <w:style w:type="paragraph" w:styleId="ListBullet4">
    <w:name w:val="List Bullet 4"/>
    <w:basedOn w:val="Normal"/>
    <w:uiPriority w:val="99"/>
    <w:semiHidden/>
    <w:unhideWhenUsed/>
    <w:rsid w:val="005D7A00"/>
    <w:pPr>
      <w:numPr>
        <w:numId w:val="8"/>
      </w:numPr>
      <w:contextualSpacing/>
    </w:pPr>
  </w:style>
  <w:style w:type="paragraph" w:styleId="ListBullet5">
    <w:name w:val="List Bullet 5"/>
    <w:basedOn w:val="Normal"/>
    <w:uiPriority w:val="99"/>
    <w:semiHidden/>
    <w:unhideWhenUsed/>
    <w:rsid w:val="005D7A00"/>
    <w:pPr>
      <w:numPr>
        <w:numId w:val="9"/>
      </w:numPr>
      <w:contextualSpacing/>
    </w:pPr>
  </w:style>
  <w:style w:type="paragraph" w:styleId="ListContinue">
    <w:name w:val="List Continue"/>
    <w:basedOn w:val="Normal"/>
    <w:uiPriority w:val="99"/>
    <w:semiHidden/>
    <w:unhideWhenUsed/>
    <w:rsid w:val="005D7A00"/>
    <w:pPr>
      <w:spacing w:after="120"/>
      <w:ind w:left="283"/>
      <w:contextualSpacing/>
    </w:pPr>
  </w:style>
  <w:style w:type="paragraph" w:styleId="ListContinue2">
    <w:name w:val="List Continue 2"/>
    <w:basedOn w:val="Normal"/>
    <w:uiPriority w:val="99"/>
    <w:semiHidden/>
    <w:unhideWhenUsed/>
    <w:rsid w:val="005D7A00"/>
    <w:pPr>
      <w:spacing w:after="120"/>
      <w:ind w:left="566"/>
      <w:contextualSpacing/>
    </w:pPr>
  </w:style>
  <w:style w:type="paragraph" w:styleId="ListContinue3">
    <w:name w:val="List Continue 3"/>
    <w:basedOn w:val="Normal"/>
    <w:uiPriority w:val="99"/>
    <w:semiHidden/>
    <w:unhideWhenUsed/>
    <w:rsid w:val="005D7A00"/>
    <w:pPr>
      <w:spacing w:after="120"/>
      <w:ind w:left="849"/>
      <w:contextualSpacing/>
    </w:pPr>
  </w:style>
  <w:style w:type="paragraph" w:styleId="ListContinue4">
    <w:name w:val="List Continue 4"/>
    <w:basedOn w:val="Normal"/>
    <w:uiPriority w:val="99"/>
    <w:semiHidden/>
    <w:unhideWhenUsed/>
    <w:rsid w:val="005D7A00"/>
    <w:pPr>
      <w:spacing w:after="120"/>
      <w:ind w:left="1132"/>
      <w:contextualSpacing/>
    </w:pPr>
  </w:style>
  <w:style w:type="paragraph" w:styleId="ListContinue5">
    <w:name w:val="List Continue 5"/>
    <w:basedOn w:val="Normal"/>
    <w:uiPriority w:val="99"/>
    <w:semiHidden/>
    <w:unhideWhenUsed/>
    <w:rsid w:val="005D7A00"/>
    <w:pPr>
      <w:spacing w:after="120"/>
      <w:ind w:left="1415"/>
      <w:contextualSpacing/>
    </w:pPr>
  </w:style>
  <w:style w:type="paragraph" w:styleId="ListNumber">
    <w:name w:val="List Number"/>
    <w:basedOn w:val="Normal"/>
    <w:uiPriority w:val="99"/>
    <w:semiHidden/>
    <w:unhideWhenUsed/>
    <w:rsid w:val="005D7A00"/>
    <w:pPr>
      <w:numPr>
        <w:numId w:val="10"/>
      </w:numPr>
      <w:contextualSpacing/>
    </w:pPr>
  </w:style>
  <w:style w:type="paragraph" w:styleId="ListNumber2">
    <w:name w:val="List Number 2"/>
    <w:basedOn w:val="Normal"/>
    <w:uiPriority w:val="99"/>
    <w:semiHidden/>
    <w:unhideWhenUsed/>
    <w:rsid w:val="005D7A00"/>
    <w:pPr>
      <w:numPr>
        <w:numId w:val="11"/>
      </w:numPr>
      <w:contextualSpacing/>
    </w:pPr>
  </w:style>
  <w:style w:type="paragraph" w:styleId="ListNumber3">
    <w:name w:val="List Number 3"/>
    <w:basedOn w:val="Normal"/>
    <w:uiPriority w:val="99"/>
    <w:semiHidden/>
    <w:unhideWhenUsed/>
    <w:rsid w:val="005D7A00"/>
    <w:pPr>
      <w:numPr>
        <w:numId w:val="12"/>
      </w:numPr>
      <w:contextualSpacing/>
    </w:pPr>
  </w:style>
  <w:style w:type="paragraph" w:styleId="ListNumber4">
    <w:name w:val="List Number 4"/>
    <w:basedOn w:val="Normal"/>
    <w:uiPriority w:val="99"/>
    <w:semiHidden/>
    <w:unhideWhenUsed/>
    <w:rsid w:val="005D7A00"/>
    <w:pPr>
      <w:numPr>
        <w:numId w:val="13"/>
      </w:numPr>
      <w:contextualSpacing/>
    </w:pPr>
  </w:style>
  <w:style w:type="paragraph" w:styleId="ListNumber5">
    <w:name w:val="List Number 5"/>
    <w:basedOn w:val="Normal"/>
    <w:uiPriority w:val="99"/>
    <w:semiHidden/>
    <w:unhideWhenUsed/>
    <w:rsid w:val="005D7A00"/>
    <w:pPr>
      <w:numPr>
        <w:numId w:val="14"/>
      </w:numPr>
      <w:contextualSpacing/>
    </w:pPr>
  </w:style>
  <w:style w:type="paragraph" w:styleId="MacroText">
    <w:name w:val="macro"/>
    <w:link w:val="MacroTextChar"/>
    <w:uiPriority w:val="99"/>
    <w:semiHidden/>
    <w:unhideWhenUsed/>
    <w:rsid w:val="005D7A00"/>
    <w:pPr>
      <w:tabs>
        <w:tab w:val="left" w:pos="480"/>
        <w:tab w:val="left" w:pos="960"/>
        <w:tab w:val="left" w:pos="1440"/>
        <w:tab w:val="left" w:pos="1920"/>
        <w:tab w:val="left" w:pos="2400"/>
        <w:tab w:val="left" w:pos="2880"/>
        <w:tab w:val="left" w:pos="3360"/>
        <w:tab w:val="left" w:pos="3840"/>
        <w:tab w:val="left" w:pos="4320"/>
      </w:tabs>
      <w:spacing w:line="288" w:lineRule="auto"/>
      <w:jc w:val="both"/>
    </w:pPr>
    <w:rPr>
      <w:rFonts w:ascii="Consolas" w:hAnsi="Consolas"/>
      <w:color w:val="17365D" w:themeColor="text2" w:themeShade="BF"/>
    </w:rPr>
  </w:style>
  <w:style w:type="character" w:customStyle="1" w:styleId="MacroTextChar">
    <w:name w:val="Macro Text Char"/>
    <w:basedOn w:val="DefaultParagraphFont"/>
    <w:link w:val="MacroText"/>
    <w:uiPriority w:val="99"/>
    <w:semiHidden/>
    <w:rsid w:val="005D7A00"/>
    <w:rPr>
      <w:rFonts w:ascii="Consolas" w:hAnsi="Consolas"/>
      <w:color w:val="17365D" w:themeColor="text2" w:themeShade="BF"/>
    </w:rPr>
  </w:style>
  <w:style w:type="paragraph" w:styleId="MessageHeader">
    <w:name w:val="Message Header"/>
    <w:basedOn w:val="Normal"/>
    <w:link w:val="MessageHeaderChar"/>
    <w:uiPriority w:val="99"/>
    <w:semiHidden/>
    <w:unhideWhenUsed/>
    <w:rsid w:val="005D7A0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D7A00"/>
    <w:rPr>
      <w:rFonts w:asciiTheme="majorHAnsi" w:eastAsiaTheme="majorEastAsia" w:hAnsiTheme="majorHAnsi" w:cstheme="majorBidi"/>
      <w:color w:val="17365D" w:themeColor="text2" w:themeShade="BF"/>
      <w:sz w:val="24"/>
      <w:szCs w:val="24"/>
      <w:shd w:val="pct20" w:color="auto" w:fill="auto"/>
    </w:rPr>
  </w:style>
  <w:style w:type="paragraph" w:styleId="NormalWeb">
    <w:name w:val="Normal (Web)"/>
    <w:basedOn w:val="Normal"/>
    <w:uiPriority w:val="99"/>
    <w:semiHidden/>
    <w:unhideWhenUsed/>
    <w:rsid w:val="005D7A00"/>
    <w:rPr>
      <w:rFonts w:ascii="Times New Roman" w:hAnsi="Times New Roman"/>
      <w:szCs w:val="24"/>
    </w:rPr>
  </w:style>
  <w:style w:type="paragraph" w:styleId="NormalIndent">
    <w:name w:val="Normal Indent"/>
    <w:basedOn w:val="Normal"/>
    <w:uiPriority w:val="99"/>
    <w:semiHidden/>
    <w:unhideWhenUsed/>
    <w:rsid w:val="005D7A00"/>
    <w:pPr>
      <w:ind w:left="708"/>
    </w:pPr>
  </w:style>
  <w:style w:type="paragraph" w:styleId="NoteHeading">
    <w:name w:val="Note Heading"/>
    <w:basedOn w:val="Normal"/>
    <w:next w:val="Normal"/>
    <w:link w:val="NoteHeadingChar"/>
    <w:uiPriority w:val="99"/>
    <w:semiHidden/>
    <w:unhideWhenUsed/>
    <w:rsid w:val="005D7A00"/>
    <w:pPr>
      <w:spacing w:after="0" w:line="240" w:lineRule="auto"/>
    </w:pPr>
  </w:style>
  <w:style w:type="character" w:customStyle="1" w:styleId="NoteHeadingChar">
    <w:name w:val="Note Heading Char"/>
    <w:basedOn w:val="DefaultParagraphFont"/>
    <w:link w:val="NoteHeading"/>
    <w:uiPriority w:val="99"/>
    <w:semiHidden/>
    <w:rsid w:val="005D7A00"/>
    <w:rPr>
      <w:color w:val="17365D" w:themeColor="text2" w:themeShade="BF"/>
      <w:sz w:val="24"/>
    </w:rPr>
  </w:style>
  <w:style w:type="paragraph" w:styleId="PlainText">
    <w:name w:val="Plain Text"/>
    <w:basedOn w:val="Normal"/>
    <w:link w:val="PlainTextChar"/>
    <w:uiPriority w:val="99"/>
    <w:semiHidden/>
    <w:unhideWhenUsed/>
    <w:rsid w:val="005D7A0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D7A00"/>
    <w:rPr>
      <w:rFonts w:ascii="Consolas" w:hAnsi="Consolas"/>
      <w:color w:val="17365D" w:themeColor="text2" w:themeShade="BF"/>
      <w:sz w:val="21"/>
      <w:szCs w:val="21"/>
    </w:rPr>
  </w:style>
  <w:style w:type="paragraph" w:styleId="Salutation">
    <w:name w:val="Salutation"/>
    <w:basedOn w:val="Normal"/>
    <w:next w:val="Normal"/>
    <w:link w:val="SalutationChar"/>
    <w:uiPriority w:val="99"/>
    <w:semiHidden/>
    <w:unhideWhenUsed/>
    <w:rsid w:val="005D7A00"/>
  </w:style>
  <w:style w:type="character" w:customStyle="1" w:styleId="SalutationChar">
    <w:name w:val="Salutation Char"/>
    <w:basedOn w:val="DefaultParagraphFont"/>
    <w:link w:val="Salutation"/>
    <w:uiPriority w:val="99"/>
    <w:semiHidden/>
    <w:rsid w:val="005D7A00"/>
    <w:rPr>
      <w:color w:val="17365D" w:themeColor="text2" w:themeShade="BF"/>
      <w:sz w:val="24"/>
    </w:rPr>
  </w:style>
  <w:style w:type="paragraph" w:styleId="Signature">
    <w:name w:val="Signature"/>
    <w:basedOn w:val="Normal"/>
    <w:link w:val="SignatureChar"/>
    <w:uiPriority w:val="99"/>
    <w:semiHidden/>
    <w:unhideWhenUsed/>
    <w:rsid w:val="005D7A00"/>
    <w:pPr>
      <w:spacing w:after="0" w:line="240" w:lineRule="auto"/>
      <w:ind w:left="4252"/>
    </w:pPr>
  </w:style>
  <w:style w:type="character" w:customStyle="1" w:styleId="SignatureChar">
    <w:name w:val="Signature Char"/>
    <w:basedOn w:val="DefaultParagraphFont"/>
    <w:link w:val="Signature"/>
    <w:uiPriority w:val="99"/>
    <w:semiHidden/>
    <w:rsid w:val="005D7A00"/>
    <w:rPr>
      <w:color w:val="17365D" w:themeColor="text2" w:themeShade="BF"/>
      <w:sz w:val="24"/>
    </w:rPr>
  </w:style>
  <w:style w:type="paragraph" w:styleId="TableofAuthorities">
    <w:name w:val="table of authorities"/>
    <w:basedOn w:val="Normal"/>
    <w:next w:val="Normal"/>
    <w:uiPriority w:val="99"/>
    <w:semiHidden/>
    <w:unhideWhenUsed/>
    <w:rsid w:val="005D7A00"/>
    <w:pPr>
      <w:spacing w:after="0"/>
      <w:ind w:left="240" w:hanging="240"/>
    </w:pPr>
  </w:style>
  <w:style w:type="paragraph" w:styleId="TableofFigures">
    <w:name w:val="table of figures"/>
    <w:basedOn w:val="Normal"/>
    <w:next w:val="Normal"/>
    <w:uiPriority w:val="99"/>
    <w:semiHidden/>
    <w:unhideWhenUsed/>
    <w:rsid w:val="005D7A00"/>
    <w:pPr>
      <w:spacing w:after="0"/>
    </w:pPr>
  </w:style>
  <w:style w:type="paragraph" w:styleId="TOAHeading">
    <w:name w:val="toa heading"/>
    <w:basedOn w:val="Normal"/>
    <w:next w:val="Normal"/>
    <w:uiPriority w:val="99"/>
    <w:semiHidden/>
    <w:unhideWhenUsed/>
    <w:rsid w:val="005D7A00"/>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5D7A00"/>
    <w:pPr>
      <w:spacing w:after="100"/>
    </w:pPr>
  </w:style>
  <w:style w:type="paragraph" w:styleId="TOC2">
    <w:name w:val="toc 2"/>
    <w:basedOn w:val="Normal"/>
    <w:next w:val="Normal"/>
    <w:autoRedefine/>
    <w:uiPriority w:val="39"/>
    <w:semiHidden/>
    <w:unhideWhenUsed/>
    <w:rsid w:val="005D7A00"/>
    <w:pPr>
      <w:spacing w:after="100"/>
      <w:ind w:left="240"/>
    </w:pPr>
  </w:style>
  <w:style w:type="paragraph" w:styleId="TOC3">
    <w:name w:val="toc 3"/>
    <w:basedOn w:val="Normal"/>
    <w:next w:val="Normal"/>
    <w:autoRedefine/>
    <w:uiPriority w:val="39"/>
    <w:semiHidden/>
    <w:unhideWhenUsed/>
    <w:rsid w:val="005D7A00"/>
    <w:pPr>
      <w:spacing w:after="100"/>
      <w:ind w:left="480"/>
    </w:pPr>
  </w:style>
  <w:style w:type="paragraph" w:styleId="TOC4">
    <w:name w:val="toc 4"/>
    <w:basedOn w:val="Normal"/>
    <w:next w:val="Normal"/>
    <w:autoRedefine/>
    <w:uiPriority w:val="39"/>
    <w:semiHidden/>
    <w:unhideWhenUsed/>
    <w:rsid w:val="005D7A00"/>
    <w:pPr>
      <w:spacing w:after="100"/>
      <w:ind w:left="720"/>
    </w:pPr>
  </w:style>
  <w:style w:type="paragraph" w:styleId="TOC5">
    <w:name w:val="toc 5"/>
    <w:basedOn w:val="Normal"/>
    <w:next w:val="Normal"/>
    <w:autoRedefine/>
    <w:uiPriority w:val="39"/>
    <w:semiHidden/>
    <w:unhideWhenUsed/>
    <w:rsid w:val="005D7A00"/>
    <w:pPr>
      <w:spacing w:after="100"/>
      <w:ind w:left="960"/>
    </w:pPr>
  </w:style>
  <w:style w:type="paragraph" w:styleId="TOC6">
    <w:name w:val="toc 6"/>
    <w:basedOn w:val="Normal"/>
    <w:next w:val="Normal"/>
    <w:autoRedefine/>
    <w:uiPriority w:val="39"/>
    <w:semiHidden/>
    <w:unhideWhenUsed/>
    <w:rsid w:val="005D7A00"/>
    <w:pPr>
      <w:spacing w:after="100"/>
      <w:ind w:left="1200"/>
    </w:pPr>
  </w:style>
  <w:style w:type="paragraph" w:styleId="TOC7">
    <w:name w:val="toc 7"/>
    <w:basedOn w:val="Normal"/>
    <w:next w:val="Normal"/>
    <w:autoRedefine/>
    <w:uiPriority w:val="39"/>
    <w:semiHidden/>
    <w:unhideWhenUsed/>
    <w:rsid w:val="005D7A00"/>
    <w:pPr>
      <w:spacing w:after="100"/>
      <w:ind w:left="1440"/>
    </w:pPr>
  </w:style>
  <w:style w:type="paragraph" w:styleId="TOC8">
    <w:name w:val="toc 8"/>
    <w:basedOn w:val="Normal"/>
    <w:next w:val="Normal"/>
    <w:autoRedefine/>
    <w:uiPriority w:val="39"/>
    <w:semiHidden/>
    <w:unhideWhenUsed/>
    <w:rsid w:val="005D7A00"/>
    <w:pPr>
      <w:spacing w:after="100"/>
      <w:ind w:left="1680"/>
    </w:pPr>
  </w:style>
  <w:style w:type="paragraph" w:styleId="TOC9">
    <w:name w:val="toc 9"/>
    <w:basedOn w:val="Normal"/>
    <w:next w:val="Normal"/>
    <w:autoRedefine/>
    <w:uiPriority w:val="39"/>
    <w:semiHidden/>
    <w:unhideWhenUsed/>
    <w:rsid w:val="005D7A00"/>
    <w:pPr>
      <w:spacing w:after="100"/>
      <w:ind w:left="1920"/>
    </w:pPr>
  </w:style>
  <w:style w:type="character" w:customStyle="1" w:styleId="text-justify">
    <w:name w:val="text-justify"/>
    <w:basedOn w:val="DefaultParagraphFont"/>
    <w:rsid w:val="004C41EF"/>
  </w:style>
  <w:style w:type="table" w:customStyle="1" w:styleId="TableGrid1">
    <w:name w:val="Table Grid1"/>
    <w:basedOn w:val="TableNormal"/>
    <w:next w:val="TableGrid"/>
    <w:uiPriority w:val="59"/>
    <w:rsid w:val="00017CBC"/>
    <w:pPr>
      <w:spacing w:line="240" w:lineRule="auto"/>
    </w:pPr>
    <w:rPr>
      <w:rFonts w:ascii="Calibri" w:eastAsia="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znrodzaktutznustawalubrozporzdzenieiorganwydajcy">
    <w:name w:val="oznrodzaktutznustawalubrozporzdzenieiorganwydajcy"/>
    <w:basedOn w:val="Normal"/>
    <w:rsid w:val="00582CE0"/>
    <w:pPr>
      <w:spacing w:before="100" w:beforeAutospacing="1" w:after="100" w:afterAutospacing="1" w:line="240" w:lineRule="auto"/>
      <w:jc w:val="left"/>
    </w:pPr>
    <w:rPr>
      <w:rFonts w:ascii="Times New Roman" w:eastAsia="Times New Roman" w:hAnsi="Times New Roman"/>
      <w:color w:val="auto"/>
      <w:szCs w:val="24"/>
      <w:lang w:val="pl-PL" w:eastAsia="pl-PL"/>
    </w:rPr>
  </w:style>
  <w:style w:type="character" w:styleId="EndnoteReference">
    <w:name w:val="endnote reference"/>
    <w:basedOn w:val="DefaultParagraphFont"/>
    <w:uiPriority w:val="99"/>
    <w:semiHidden/>
    <w:unhideWhenUsed/>
    <w:rsid w:val="001626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7296">
      <w:bodyDiv w:val="1"/>
      <w:marLeft w:val="0"/>
      <w:marRight w:val="0"/>
      <w:marTop w:val="0"/>
      <w:marBottom w:val="0"/>
      <w:divBdr>
        <w:top w:val="none" w:sz="0" w:space="0" w:color="auto"/>
        <w:left w:val="none" w:sz="0" w:space="0" w:color="auto"/>
        <w:bottom w:val="none" w:sz="0" w:space="0" w:color="auto"/>
        <w:right w:val="none" w:sz="0" w:space="0" w:color="auto"/>
      </w:divBdr>
    </w:div>
    <w:div w:id="24605486">
      <w:bodyDiv w:val="1"/>
      <w:marLeft w:val="0"/>
      <w:marRight w:val="0"/>
      <w:marTop w:val="0"/>
      <w:marBottom w:val="0"/>
      <w:divBdr>
        <w:top w:val="none" w:sz="0" w:space="0" w:color="auto"/>
        <w:left w:val="none" w:sz="0" w:space="0" w:color="auto"/>
        <w:bottom w:val="none" w:sz="0" w:space="0" w:color="auto"/>
        <w:right w:val="none" w:sz="0" w:space="0" w:color="auto"/>
      </w:divBdr>
    </w:div>
    <w:div w:id="71239113">
      <w:bodyDiv w:val="1"/>
      <w:marLeft w:val="0"/>
      <w:marRight w:val="0"/>
      <w:marTop w:val="0"/>
      <w:marBottom w:val="0"/>
      <w:divBdr>
        <w:top w:val="none" w:sz="0" w:space="0" w:color="auto"/>
        <w:left w:val="none" w:sz="0" w:space="0" w:color="auto"/>
        <w:bottom w:val="none" w:sz="0" w:space="0" w:color="auto"/>
        <w:right w:val="none" w:sz="0" w:space="0" w:color="auto"/>
      </w:divBdr>
    </w:div>
    <w:div w:id="254822007">
      <w:bodyDiv w:val="1"/>
      <w:marLeft w:val="0"/>
      <w:marRight w:val="0"/>
      <w:marTop w:val="0"/>
      <w:marBottom w:val="0"/>
      <w:divBdr>
        <w:top w:val="none" w:sz="0" w:space="0" w:color="auto"/>
        <w:left w:val="none" w:sz="0" w:space="0" w:color="auto"/>
        <w:bottom w:val="none" w:sz="0" w:space="0" w:color="auto"/>
        <w:right w:val="none" w:sz="0" w:space="0" w:color="auto"/>
      </w:divBdr>
    </w:div>
    <w:div w:id="300575992">
      <w:bodyDiv w:val="1"/>
      <w:marLeft w:val="0"/>
      <w:marRight w:val="0"/>
      <w:marTop w:val="0"/>
      <w:marBottom w:val="0"/>
      <w:divBdr>
        <w:top w:val="none" w:sz="0" w:space="0" w:color="auto"/>
        <w:left w:val="none" w:sz="0" w:space="0" w:color="auto"/>
        <w:bottom w:val="none" w:sz="0" w:space="0" w:color="auto"/>
        <w:right w:val="none" w:sz="0" w:space="0" w:color="auto"/>
      </w:divBdr>
    </w:div>
    <w:div w:id="313993984">
      <w:bodyDiv w:val="1"/>
      <w:marLeft w:val="0"/>
      <w:marRight w:val="0"/>
      <w:marTop w:val="0"/>
      <w:marBottom w:val="0"/>
      <w:divBdr>
        <w:top w:val="none" w:sz="0" w:space="0" w:color="auto"/>
        <w:left w:val="none" w:sz="0" w:space="0" w:color="auto"/>
        <w:bottom w:val="none" w:sz="0" w:space="0" w:color="auto"/>
        <w:right w:val="none" w:sz="0" w:space="0" w:color="auto"/>
      </w:divBdr>
    </w:div>
    <w:div w:id="382603879">
      <w:bodyDiv w:val="1"/>
      <w:marLeft w:val="0"/>
      <w:marRight w:val="0"/>
      <w:marTop w:val="0"/>
      <w:marBottom w:val="0"/>
      <w:divBdr>
        <w:top w:val="none" w:sz="0" w:space="0" w:color="auto"/>
        <w:left w:val="none" w:sz="0" w:space="0" w:color="auto"/>
        <w:bottom w:val="none" w:sz="0" w:space="0" w:color="auto"/>
        <w:right w:val="none" w:sz="0" w:space="0" w:color="auto"/>
      </w:divBdr>
    </w:div>
    <w:div w:id="407771354">
      <w:bodyDiv w:val="1"/>
      <w:marLeft w:val="0"/>
      <w:marRight w:val="0"/>
      <w:marTop w:val="0"/>
      <w:marBottom w:val="0"/>
      <w:divBdr>
        <w:top w:val="none" w:sz="0" w:space="0" w:color="auto"/>
        <w:left w:val="none" w:sz="0" w:space="0" w:color="auto"/>
        <w:bottom w:val="none" w:sz="0" w:space="0" w:color="auto"/>
        <w:right w:val="none" w:sz="0" w:space="0" w:color="auto"/>
      </w:divBdr>
    </w:div>
    <w:div w:id="585580088">
      <w:bodyDiv w:val="1"/>
      <w:marLeft w:val="0"/>
      <w:marRight w:val="0"/>
      <w:marTop w:val="0"/>
      <w:marBottom w:val="0"/>
      <w:divBdr>
        <w:top w:val="none" w:sz="0" w:space="0" w:color="auto"/>
        <w:left w:val="none" w:sz="0" w:space="0" w:color="auto"/>
        <w:bottom w:val="none" w:sz="0" w:space="0" w:color="auto"/>
        <w:right w:val="none" w:sz="0" w:space="0" w:color="auto"/>
      </w:divBdr>
    </w:div>
    <w:div w:id="668558656">
      <w:bodyDiv w:val="1"/>
      <w:marLeft w:val="0"/>
      <w:marRight w:val="0"/>
      <w:marTop w:val="0"/>
      <w:marBottom w:val="0"/>
      <w:divBdr>
        <w:top w:val="none" w:sz="0" w:space="0" w:color="auto"/>
        <w:left w:val="none" w:sz="0" w:space="0" w:color="auto"/>
        <w:bottom w:val="none" w:sz="0" w:space="0" w:color="auto"/>
        <w:right w:val="none" w:sz="0" w:space="0" w:color="auto"/>
      </w:divBdr>
    </w:div>
    <w:div w:id="804812128">
      <w:bodyDiv w:val="1"/>
      <w:marLeft w:val="0"/>
      <w:marRight w:val="0"/>
      <w:marTop w:val="0"/>
      <w:marBottom w:val="0"/>
      <w:divBdr>
        <w:top w:val="none" w:sz="0" w:space="0" w:color="auto"/>
        <w:left w:val="none" w:sz="0" w:space="0" w:color="auto"/>
        <w:bottom w:val="none" w:sz="0" w:space="0" w:color="auto"/>
        <w:right w:val="none" w:sz="0" w:space="0" w:color="auto"/>
      </w:divBdr>
    </w:div>
    <w:div w:id="842624746">
      <w:bodyDiv w:val="1"/>
      <w:marLeft w:val="0"/>
      <w:marRight w:val="0"/>
      <w:marTop w:val="0"/>
      <w:marBottom w:val="0"/>
      <w:divBdr>
        <w:top w:val="none" w:sz="0" w:space="0" w:color="auto"/>
        <w:left w:val="none" w:sz="0" w:space="0" w:color="auto"/>
        <w:bottom w:val="none" w:sz="0" w:space="0" w:color="auto"/>
        <w:right w:val="none" w:sz="0" w:space="0" w:color="auto"/>
      </w:divBdr>
    </w:div>
    <w:div w:id="1129281924">
      <w:bodyDiv w:val="1"/>
      <w:marLeft w:val="0"/>
      <w:marRight w:val="0"/>
      <w:marTop w:val="0"/>
      <w:marBottom w:val="0"/>
      <w:divBdr>
        <w:top w:val="none" w:sz="0" w:space="0" w:color="auto"/>
        <w:left w:val="none" w:sz="0" w:space="0" w:color="auto"/>
        <w:bottom w:val="none" w:sz="0" w:space="0" w:color="auto"/>
        <w:right w:val="none" w:sz="0" w:space="0" w:color="auto"/>
      </w:divBdr>
    </w:div>
    <w:div w:id="1138571462">
      <w:bodyDiv w:val="1"/>
      <w:marLeft w:val="0"/>
      <w:marRight w:val="0"/>
      <w:marTop w:val="0"/>
      <w:marBottom w:val="0"/>
      <w:divBdr>
        <w:top w:val="none" w:sz="0" w:space="0" w:color="auto"/>
        <w:left w:val="none" w:sz="0" w:space="0" w:color="auto"/>
        <w:bottom w:val="none" w:sz="0" w:space="0" w:color="auto"/>
        <w:right w:val="none" w:sz="0" w:space="0" w:color="auto"/>
      </w:divBdr>
    </w:div>
    <w:div w:id="1332676860">
      <w:bodyDiv w:val="1"/>
      <w:marLeft w:val="0"/>
      <w:marRight w:val="0"/>
      <w:marTop w:val="0"/>
      <w:marBottom w:val="0"/>
      <w:divBdr>
        <w:top w:val="none" w:sz="0" w:space="0" w:color="auto"/>
        <w:left w:val="none" w:sz="0" w:space="0" w:color="auto"/>
        <w:bottom w:val="none" w:sz="0" w:space="0" w:color="auto"/>
        <w:right w:val="none" w:sz="0" w:space="0" w:color="auto"/>
      </w:divBdr>
    </w:div>
    <w:div w:id="1397705778">
      <w:bodyDiv w:val="1"/>
      <w:marLeft w:val="0"/>
      <w:marRight w:val="0"/>
      <w:marTop w:val="0"/>
      <w:marBottom w:val="0"/>
      <w:divBdr>
        <w:top w:val="none" w:sz="0" w:space="0" w:color="auto"/>
        <w:left w:val="none" w:sz="0" w:space="0" w:color="auto"/>
        <w:bottom w:val="none" w:sz="0" w:space="0" w:color="auto"/>
        <w:right w:val="none" w:sz="0" w:space="0" w:color="auto"/>
      </w:divBdr>
    </w:div>
    <w:div w:id="1668165816">
      <w:bodyDiv w:val="1"/>
      <w:marLeft w:val="0"/>
      <w:marRight w:val="0"/>
      <w:marTop w:val="0"/>
      <w:marBottom w:val="0"/>
      <w:divBdr>
        <w:top w:val="none" w:sz="0" w:space="0" w:color="auto"/>
        <w:left w:val="none" w:sz="0" w:space="0" w:color="auto"/>
        <w:bottom w:val="none" w:sz="0" w:space="0" w:color="auto"/>
        <w:right w:val="none" w:sz="0" w:space="0" w:color="auto"/>
      </w:divBdr>
    </w:div>
    <w:div w:id="1689022858">
      <w:bodyDiv w:val="1"/>
      <w:marLeft w:val="0"/>
      <w:marRight w:val="0"/>
      <w:marTop w:val="0"/>
      <w:marBottom w:val="0"/>
      <w:divBdr>
        <w:top w:val="none" w:sz="0" w:space="0" w:color="auto"/>
        <w:left w:val="none" w:sz="0" w:space="0" w:color="auto"/>
        <w:bottom w:val="none" w:sz="0" w:space="0" w:color="auto"/>
        <w:right w:val="none" w:sz="0" w:space="0" w:color="auto"/>
      </w:divBdr>
    </w:div>
    <w:div w:id="2043699572">
      <w:bodyDiv w:val="1"/>
      <w:marLeft w:val="0"/>
      <w:marRight w:val="0"/>
      <w:marTop w:val="0"/>
      <w:marBottom w:val="0"/>
      <w:divBdr>
        <w:top w:val="none" w:sz="0" w:space="0" w:color="auto"/>
        <w:left w:val="none" w:sz="0" w:space="0" w:color="auto"/>
        <w:bottom w:val="none" w:sz="0" w:space="0" w:color="auto"/>
        <w:right w:val="none" w:sz="0" w:space="0" w:color="auto"/>
      </w:divBdr>
    </w:div>
    <w:div w:id="207068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7.xml"/><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800" b="1" i="0" u="none" strike="noStrike" kern="1200" baseline="0">
                <a:solidFill>
                  <a:schemeClr val="dk1">
                    <a:lumMod val="75000"/>
                    <a:lumOff val="25000"/>
                  </a:schemeClr>
                </a:solidFill>
                <a:latin typeface="+mn-lt"/>
                <a:ea typeface="+mn-ea"/>
                <a:cs typeface="+mn-cs"/>
              </a:defRPr>
            </a:pPr>
            <a:r>
              <a:rPr lang="en" sz="1600" b="0" i="0" u="none" baseline="0">
                <a:solidFill>
                  <a:srgbClr val="002060"/>
                </a:solidFill>
              </a:rPr>
              <a:t>The nature of the exclusion ground related to grave professional misconduct</a:t>
            </a:r>
            <a:endParaRPr lang="en" sz="1600">
              <a:solidFill>
                <a:srgbClr val="002060"/>
              </a:solidFill>
            </a:endParaRPr>
          </a:p>
        </c:rich>
      </c:tx>
      <c:overlay val="0"/>
      <c:spPr>
        <a:noFill/>
        <a:ln>
          <a:noFill/>
        </a:ln>
        <a:effectLst/>
      </c:spPr>
      <c:txPr>
        <a:bodyPr rot="0" spcFirstLastPara="1" vertOverflow="ellipsis" vert="horz" wrap="square" anchor="ctr" anchorCtr="1"/>
        <a:lstStyle/>
        <a:p>
          <a:pPr rtl="0">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Nature of the exclusion ground</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D8DD-4977-9203-EF347DABA0D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3-D8DD-4977-9203-EF347DABA0D0}"/>
              </c:ext>
            </c:extLst>
          </c:dPt>
          <c:dLbls>
            <c:dLbl>
              <c:idx val="0"/>
              <c:tx>
                <c:rich>
                  <a:bodyPr rot="0" spcFirstLastPara="1" vertOverflow="ellipsis" vert="horz" wrap="square" lIns="38100" tIns="19050" rIns="38100" bIns="19050" anchor="ctr" anchorCtr="1">
                    <a:spAutoFit/>
                  </a:bodyPr>
                  <a:lstStyle/>
                  <a:p>
                    <a:pPr rtl="0">
                      <a:defRPr sz="1200" b="1" i="0" u="none" strike="noStrike" kern="1200" baseline="0">
                        <a:solidFill>
                          <a:schemeClr val="lt1"/>
                        </a:solidFill>
                        <a:latin typeface="+mn-lt"/>
                        <a:ea typeface="+mn-ea"/>
                        <a:cs typeface="+mn-cs"/>
                      </a:defRPr>
                    </a:pPr>
                    <a:fld id="{559A4693-C9ED-4029-BF42-9EAE758247D6}" type="VALUE">
                      <a:rPr lang="en-US" sz="1200"/>
                      <a:pPr rtl="0">
                        <a:defRPr sz="1200"/>
                      </a:pPr>
                      <a:t>[VALUE]</a:t>
                    </a:fld>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2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1-D8DD-4977-9203-EF347DABA0D0}"/>
                </c:ext>
              </c:extLst>
            </c:dLbl>
            <c:dLbl>
              <c:idx val="1"/>
              <c:tx>
                <c:rich>
                  <a:bodyPr/>
                  <a:lstStyle/>
                  <a:p>
                    <a:fld id="{9AB4DAC8-6DAD-4408-BA3A-DCB43A8C82A1}" type="VALUE">
                      <a:rPr lang="en-US" sz="1100"/>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3-D8DD-4977-9203-EF347DABA0D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Lst>
          </c:dLbls>
          <c:cat>
            <c:strRef>
              <c:f>Arkusz1!$A$2:$A$3</c:f>
              <c:strCache>
                <c:ptCount val="2"/>
                <c:pt idx="0">
                  <c:v>Non-compulsory</c:v>
                </c:pt>
                <c:pt idx="1">
                  <c:v>Compulsory</c:v>
                </c:pt>
              </c:strCache>
            </c:strRef>
          </c:cat>
          <c:val>
            <c:numRef>
              <c:f>Arkusz1!$B$2:$B$3</c:f>
              <c:numCache>
                <c:formatCode>General</c:formatCode>
                <c:ptCount val="2"/>
                <c:pt idx="0">
                  <c:v>26</c:v>
                </c:pt>
                <c:pt idx="1">
                  <c:v>5</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8-D8DD-4977-9203-EF347DABA0D0}"/>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rtl="0">
              <a:defRPr sz="1100" b="0" i="0" u="none" strike="noStrike" kern="1200" baseline="0">
                <a:solidFill>
                  <a:schemeClr val="dk1">
                    <a:lumMod val="75000"/>
                    <a:lumOff val="25000"/>
                  </a:schemeClr>
                </a:solidFill>
                <a:latin typeface="+mn-lt"/>
                <a:ea typeface="+mn-ea"/>
                <a:cs typeface="+mn-cs"/>
              </a:defRPr>
            </a:pPr>
            <a:endParaRPr lang="en-US"/>
          </a:p>
        </c:txPr>
      </c:legendEntry>
      <c:legendEntry>
        <c:idx val="1"/>
        <c:txPr>
          <a:bodyPr rot="0" spcFirstLastPara="1" vertOverflow="ellipsis" vert="horz" wrap="square" anchor="ctr" anchorCtr="1"/>
          <a:lstStyle/>
          <a:p>
            <a:pPr rtl="0">
              <a:defRPr sz="11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64229498709163446"/>
          <c:y val="0.38688441261987649"/>
          <c:w val="0.21380419378062576"/>
          <c:h val="0.35474714313361111"/>
        </c:manualLayout>
      </c:layout>
      <c:overlay val="0"/>
      <c:spPr>
        <a:solidFill>
          <a:schemeClr val="bg1"/>
        </a:solidFill>
        <a:ln>
          <a:solidFill>
            <a:schemeClr val="bg1"/>
          </a:solidFill>
        </a:ln>
        <a:effectLst/>
      </c:spPr>
      <c:txPr>
        <a:bodyPr rot="0" spcFirstLastPara="1" vertOverflow="ellipsis" vert="horz" wrap="square" anchor="ctr" anchorCtr="1"/>
        <a:lstStyle/>
        <a:p>
          <a:pPr rtl="0">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694130317716746E-2"/>
          <c:y val="4.7619047619047616E-2"/>
          <c:w val="0.50511577813677977"/>
          <c:h val="0.76190476190476186"/>
        </c:manualLayout>
      </c:layout>
      <c:pie3DChart>
        <c:varyColors val="1"/>
        <c:ser>
          <c:idx val="0"/>
          <c:order val="0"/>
          <c:tx>
            <c:strRef>
              <c:f>Arkusz1!$B$1</c:f>
              <c:strCache>
                <c:ptCount val="1"/>
                <c:pt idx="0">
                  <c:v>Column 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5BEE-410E-A092-EB3EAA7571D5}"/>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3-5BEE-410E-A092-EB3EAA7571D5}"/>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5-5BEE-410E-A092-EB3EAA7571D5}"/>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7-5BEE-410E-A092-EB3EAA7571D5}"/>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9-E4ED-488F-9CA1-EB51DF1AFF8C}"/>
              </c:ext>
            </c:extLst>
          </c:dPt>
          <c:dLbls>
            <c:dLbl>
              <c:idx val="0"/>
              <c:tx>
                <c:rich>
                  <a:bodyPr/>
                  <a:lstStyle/>
                  <a:p>
                    <a:fld id="{47F522D2-19E8-4041-8FF8-0FEDFF357C0A}"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1-5BEE-410E-A092-EB3EAA7571D5}"/>
                </c:ext>
              </c:extLst>
            </c:dLbl>
            <c:dLbl>
              <c:idx val="1"/>
              <c:tx>
                <c:rich>
                  <a:bodyPr/>
                  <a:lstStyle/>
                  <a:p>
                    <a:fld id="{87413AA1-A275-4FE0-A1F3-877F0E897322}" type="VALUE">
                      <a:rPr lang="en-US" sz="1200"/>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3-5BEE-410E-A092-EB3EAA7571D5}"/>
                </c:ext>
              </c:extLst>
            </c:dLbl>
            <c:dLbl>
              <c:idx val="2"/>
              <c:tx>
                <c:rich>
                  <a:bodyPr/>
                  <a:lstStyle/>
                  <a:p>
                    <a:fld id="{8C8998F7-D624-45B9-9B09-C76E08051F10}"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5-5BEE-410E-A092-EB3EAA7571D5}"/>
                </c:ext>
              </c:extLst>
            </c:dLbl>
            <c:dLbl>
              <c:idx val="3"/>
              <c:tx>
                <c:rich>
                  <a:bodyPr/>
                  <a:lstStyle/>
                  <a:p>
                    <a:fld id="{28EEC4CF-D8EE-4D48-A25F-C5CD101D8521}"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7-5BEE-410E-A092-EB3EAA7571D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2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Lst>
          </c:dLbls>
          <c:cat>
            <c:strRef>
              <c:f>Arkusz1!$A$2:$A$6</c:f>
              <c:strCache>
                <c:ptCount val="4"/>
                <c:pt idx="0">
                  <c:v>“Relatively serious negligence” according to the ruling of the CJEU in the “Forposta” case. </c:v>
                </c:pt>
                <c:pt idx="1">
                  <c:v>“Negligence”</c:v>
                </c:pt>
                <c:pt idx="2">
                  <c:v>Fault does not matter</c:v>
                </c:pt>
                <c:pt idx="3">
                  <c:v>No rulings (Luxembourg, Czech Republic, Hungary, Iceland)</c:v>
                </c:pt>
              </c:strCache>
            </c:strRef>
          </c:cat>
          <c:val>
            <c:numRef>
              <c:f>Arkusz1!$B$2:$B$6</c:f>
              <c:numCache>
                <c:formatCode>General</c:formatCode>
                <c:ptCount val="5"/>
                <c:pt idx="0">
                  <c:v>10</c:v>
                </c:pt>
                <c:pt idx="1">
                  <c:v>8</c:v>
                </c:pt>
                <c:pt idx="2">
                  <c:v>8</c:v>
                </c:pt>
                <c:pt idx="3">
                  <c:v>4</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A-5BEE-410E-A092-EB3EAA7571D5}"/>
            </c:ext>
          </c:extLst>
        </c:ser>
        <c:dLbls>
          <c:dLblPos val="ctr"/>
          <c:showLegendKey val="0"/>
          <c:showVal val="0"/>
          <c:showCatName val="1"/>
          <c:showSerName val="0"/>
          <c:showPercent val="0"/>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lgn="just" rtl="0">
              <a:defRPr sz="1100" b="0" i="0" u="none" strike="noStrike" kern="1200" baseline="0">
                <a:solidFill>
                  <a:schemeClr val="dk1">
                    <a:lumMod val="75000"/>
                    <a:lumOff val="25000"/>
                  </a:schemeClr>
                </a:solidFill>
                <a:latin typeface="+mn-lt"/>
                <a:ea typeface="+mn-ea"/>
                <a:cs typeface="+mn-cs"/>
              </a:defRPr>
            </a:pPr>
            <a:endParaRPr lang="en-US"/>
          </a:p>
        </c:txPr>
      </c:legendEntry>
      <c:legendEntry>
        <c:idx val="1"/>
        <c:txPr>
          <a:bodyPr rot="0" spcFirstLastPara="1" vertOverflow="ellipsis" vert="horz" wrap="square" anchor="ctr" anchorCtr="1"/>
          <a:lstStyle/>
          <a:p>
            <a:pPr algn="just" rtl="0">
              <a:defRPr sz="1100" b="0" i="0" u="none" strike="noStrike" kern="1200" baseline="0">
                <a:solidFill>
                  <a:schemeClr val="dk1">
                    <a:lumMod val="75000"/>
                    <a:lumOff val="25000"/>
                  </a:schemeClr>
                </a:solidFill>
                <a:latin typeface="+mn-lt"/>
                <a:ea typeface="+mn-ea"/>
                <a:cs typeface="+mn-cs"/>
              </a:defRPr>
            </a:pPr>
            <a:endParaRPr lang="en-US"/>
          </a:p>
        </c:txPr>
      </c:legendEntry>
      <c:legendEntry>
        <c:idx val="2"/>
        <c:txPr>
          <a:bodyPr rot="0" spcFirstLastPara="1" vertOverflow="ellipsis" vert="horz" wrap="square" anchor="ctr" anchorCtr="1"/>
          <a:lstStyle/>
          <a:p>
            <a:pPr algn="just" rtl="0">
              <a:defRPr sz="1100" b="0" i="0" u="none" strike="noStrike" kern="1200" baseline="0">
                <a:solidFill>
                  <a:schemeClr val="dk1">
                    <a:lumMod val="75000"/>
                    <a:lumOff val="25000"/>
                  </a:schemeClr>
                </a:solidFill>
                <a:latin typeface="+mn-lt"/>
                <a:ea typeface="+mn-ea"/>
                <a:cs typeface="+mn-cs"/>
              </a:defRPr>
            </a:pPr>
            <a:endParaRPr lang="en-US"/>
          </a:p>
        </c:txPr>
      </c:legendEntry>
      <c:legendEntry>
        <c:idx val="4"/>
        <c:delete val="1"/>
      </c:legendEntry>
      <c:layout>
        <c:manualLayout>
          <c:xMode val="edge"/>
          <c:yMode val="edge"/>
          <c:x val="0.59439005849617266"/>
          <c:y val="5.8858891473607747E-2"/>
          <c:w val="0.39321964723433833"/>
          <c:h val="0.87855405772321327"/>
        </c:manualLayout>
      </c:layout>
      <c:overlay val="0"/>
      <c:spPr>
        <a:solidFill>
          <a:schemeClr val="bg1"/>
        </a:solidFill>
        <a:ln>
          <a:noFill/>
        </a:ln>
        <a:effectLst/>
      </c:spPr>
      <c:txPr>
        <a:bodyPr rot="0" spcFirstLastPara="1" vertOverflow="ellipsis" vert="horz" wrap="square" anchor="ctr" anchorCtr="1"/>
        <a:lstStyle/>
        <a:p>
          <a:pPr algn="just" rtl="0">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1" i="0" u="none" strike="noStrike" kern="1200" baseline="0">
                <a:solidFill>
                  <a:schemeClr val="dk1">
                    <a:lumMod val="75000"/>
                    <a:lumOff val="25000"/>
                  </a:schemeClr>
                </a:solidFill>
                <a:latin typeface="+mn-lt"/>
                <a:ea typeface="+mn-ea"/>
                <a:cs typeface="+mn-cs"/>
              </a:defRPr>
            </a:pPr>
            <a:r>
              <a:rPr lang="en" sz="1600" b="0" i="0" u="none" baseline="0">
                <a:solidFill>
                  <a:srgbClr val="002060"/>
                </a:solidFill>
              </a:rPr>
              <a:t>Exclusion period</a:t>
            </a:r>
          </a:p>
        </c:rich>
      </c:tx>
      <c:overlay val="0"/>
      <c:spPr>
        <a:noFill/>
        <a:ln>
          <a:noFill/>
        </a:ln>
        <a:effectLst/>
      </c:spPr>
      <c:txPr>
        <a:bodyPr rot="0" spcFirstLastPara="1" vertOverflow="ellipsis" vert="horz" wrap="square" anchor="ctr" anchorCtr="1"/>
        <a:lstStyle/>
        <a:p>
          <a:pPr rtl="0">
            <a:defRPr sz="14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8060211919951414E-2"/>
          <c:y val="0.16003685096949721"/>
          <c:w val="0.54443735230770574"/>
          <c:h val="0.75145051184147227"/>
        </c:manualLayout>
      </c:layout>
      <c:pie3DChart>
        <c:varyColors val="1"/>
        <c:ser>
          <c:idx val="0"/>
          <c:order val="0"/>
          <c:tx>
            <c:strRef>
              <c:f>Arkusz1!$B$1</c:f>
              <c:strCache>
                <c:ptCount val="1"/>
                <c:pt idx="0">
                  <c:v>Maximum exclusion period</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C8E3-48EC-ADE7-EECCB338CC6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2-C8E3-48EC-ADE7-EECCB338CC60}"/>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3-C8E3-48EC-ADE7-EECCB338CC60}"/>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5-C8E3-48EC-ADE7-EECCB338CC60}"/>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4-C8E3-48EC-ADE7-EECCB338CC60}"/>
              </c:ext>
            </c:extLst>
          </c:dPt>
          <c:dLbls>
            <c:dLbl>
              <c:idx val="0"/>
              <c:tx>
                <c:rich>
                  <a:bodyPr/>
                  <a:lstStyle/>
                  <a:p>
                    <a:fld id="{60FAB1E6-94F5-4BDB-90FC-97825B1E9740}"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1-C8E3-48EC-ADE7-EECCB338CC60}"/>
                </c:ext>
              </c:extLst>
            </c:dLbl>
            <c:dLbl>
              <c:idx val="1"/>
              <c:tx>
                <c:rich>
                  <a:bodyPr/>
                  <a:lstStyle/>
                  <a:p>
                    <a:fld id="{7AD45DA0-87EB-43B4-BD65-FEEDD4DCA129}"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2-C8E3-48EC-ADE7-EECCB338CC60}"/>
                </c:ext>
              </c:extLst>
            </c:dLbl>
            <c:dLbl>
              <c:idx val="2"/>
              <c:layout>
                <c:manualLayout>
                  <c:x val="0.1031446734147448"/>
                  <c:y val="8.351926758698125E-2"/>
                </c:manualLayout>
              </c:layout>
              <c:tx>
                <c:rich>
                  <a:bodyPr/>
                  <a:lstStyle/>
                  <a:p>
                    <a:fld id="{6C703354-0B50-4165-8AC5-ECE90D75F258}" type="VALUE">
                      <a:rPr lang="en-US"/>
                      <a:pPr/>
                      <a:t>[VALUE]</a:t>
                    </a:fld>
                    <a:endParaRPr lang="en-US"/>
                  </a:p>
                </c:rich>
              </c:tx>
              <c:dLblPos val="bestFit"/>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3-C8E3-48EC-ADE7-EECCB338CC60}"/>
                </c:ext>
              </c:extLst>
            </c:dLbl>
            <c:dLbl>
              <c:idx val="3"/>
              <c:layout>
                <c:manualLayout>
                  <c:x val="4.1016206547150658E-2"/>
                  <c:y val="8.4573236721677034E-2"/>
                </c:manualLayout>
              </c:layout>
              <c:tx>
                <c:rich>
                  <a:bodyPr/>
                  <a:lstStyle/>
                  <a:p>
                    <a:fld id="{FE241293-2F50-49AF-A77D-0644FFC27256}" type="VALUE">
                      <a:rPr lang="en-US"/>
                      <a:pPr/>
                      <a:t>[VALUE]</a:t>
                    </a:fld>
                    <a:endParaRPr lang="en-US"/>
                  </a:p>
                </c:rich>
              </c:tx>
              <c:dLblPos val="bestFit"/>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5-C8E3-48EC-ADE7-EECCB338CC60}"/>
                </c:ext>
              </c:extLst>
            </c:dLbl>
            <c:dLbl>
              <c:idx val="4"/>
              <c:layout>
                <c:manualLayout>
                  <c:x val="3.3357943844366647E-2"/>
                  <c:y val="0.11184504795467956"/>
                </c:manualLayout>
              </c:layout>
              <c:tx>
                <c:rich>
                  <a:bodyPr rot="0" spcFirstLastPara="1" vertOverflow="ellipsis" vert="horz" wrap="square" lIns="38100" tIns="19050" rIns="38100" bIns="19050" anchor="ctr" anchorCtr="1">
                    <a:noAutofit/>
                  </a:bodyPr>
                  <a:lstStyle/>
                  <a:p>
                    <a:pPr rtl="0">
                      <a:defRPr sz="1100" b="1" i="0" u="none" strike="noStrike" kern="1200" baseline="0">
                        <a:solidFill>
                          <a:schemeClr val="lt1"/>
                        </a:solidFill>
                        <a:latin typeface="+mn-lt"/>
                        <a:ea typeface="+mn-ea"/>
                        <a:cs typeface="+mn-cs"/>
                      </a:defRPr>
                    </a:pPr>
                    <a:fld id="{2798CE98-420B-448B-A484-122FB66313E2}" type="VALUE">
                      <a:rPr lang="en-US"/>
                      <a:pPr rtl="0">
                        <a:defRPr sz="1100"/>
                      </a:pPr>
                      <a:t>[VALUE]</a:t>
                    </a:fld>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rtl="0">
                    <a:defRPr sz="11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manualLayout>
                      <c:w val="2.9002772928006574E-2"/>
                      <c:h val="6.8638856573043042E-2"/>
                    </c:manualLayout>
                  </c15:layout>
                  <c15:dlblFieldTable/>
                  <c15:showDataLabelsRange val="0"/>
                </c:ext>
                <c:ext xmlns:c16="http://schemas.microsoft.com/office/drawing/2014/chart" uri="{C3380CC4-5D6E-409C-BE32-E72D297353CC}">
                  <c16:uniqueId val="{00000004-C8E3-48EC-ADE7-EECCB338CC6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Lst>
          </c:dLbls>
          <c:cat>
            <c:strRef>
              <c:f>Arkusz1!$A$2:$A$6</c:f>
              <c:strCache>
                <c:ptCount val="5"/>
                <c:pt idx="0">
                  <c:v>3 years</c:v>
                </c:pt>
                <c:pt idx="1">
                  <c:v>5 years</c:v>
                </c:pt>
                <c:pt idx="2">
                  <c:v>2 years</c:v>
                </c:pt>
                <c:pt idx="3">
                  <c:v> Ad casum (on a case-by-case basis) [Switzerland]</c:v>
                </c:pt>
                <c:pt idx="4">
                  <c:v>No data [Malta and Great Britain]</c:v>
                </c:pt>
              </c:strCache>
            </c:strRef>
          </c:cat>
          <c:val>
            <c:numRef>
              <c:f>Arkusz1!$B$2:$B$6</c:f>
              <c:numCache>
                <c:formatCode>General</c:formatCode>
                <c:ptCount val="5"/>
                <c:pt idx="0">
                  <c:v>20</c:v>
                </c:pt>
                <c:pt idx="1">
                  <c:v>3</c:v>
                </c:pt>
                <c:pt idx="2">
                  <c:v>3</c:v>
                </c:pt>
                <c:pt idx="3">
                  <c:v>1</c:v>
                </c:pt>
                <c:pt idx="4">
                  <c:v>2</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C8E3-48EC-ADE7-EECCB338CC60}"/>
            </c:ext>
          </c:extLst>
        </c:ser>
        <c:dLbls>
          <c:dLblPos val="ctr"/>
          <c:showLegendKey val="0"/>
          <c:showVal val="0"/>
          <c:showCatName val="0"/>
          <c:showSerName val="0"/>
          <c:showPercent val="1"/>
          <c:showBubbleSize val="0"/>
          <c:showLeaderLines val="0"/>
        </c:dLbls>
      </c:pie3DChart>
      <c:spPr>
        <a:solidFill>
          <a:schemeClr val="bg1"/>
        </a:solidFill>
        <a:ln>
          <a:solidFill>
            <a:schemeClr val="bg1"/>
          </a:solidFill>
        </a:ln>
        <a:effectLst/>
      </c:spPr>
    </c:plotArea>
    <c:legend>
      <c:legendPos val="r"/>
      <c:legendEntry>
        <c:idx val="4"/>
        <c:delete val="1"/>
      </c:legendEntry>
      <c:layout>
        <c:manualLayout>
          <c:xMode val="edge"/>
          <c:yMode val="edge"/>
          <c:x val="0.63891043094810851"/>
          <c:y val="0.24743201349457378"/>
          <c:w val="0.3138470919028723"/>
          <c:h val="0.50413853661345354"/>
        </c:manualLayout>
      </c:layout>
      <c:overlay val="0"/>
      <c:spPr>
        <a:solidFill>
          <a:schemeClr val="bg1"/>
        </a:solidFill>
        <a:ln>
          <a:noFill/>
        </a:ln>
        <a:effectLst/>
      </c:spPr>
      <c:txPr>
        <a:bodyPr rot="0" spcFirstLastPara="1" vertOverflow="ellipsis" vert="horz" wrap="square" anchor="ctr" anchorCtr="1"/>
        <a:lstStyle/>
        <a:p>
          <a:pPr rtl="0">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800" b="1" i="0" u="none" strike="noStrike" kern="1200" baseline="0">
                <a:solidFill>
                  <a:schemeClr val="dk1">
                    <a:lumMod val="75000"/>
                    <a:lumOff val="25000"/>
                  </a:schemeClr>
                </a:solidFill>
                <a:latin typeface="+mn-lt"/>
                <a:ea typeface="+mn-ea"/>
                <a:cs typeface="+mn-cs"/>
              </a:defRPr>
            </a:pPr>
            <a:r>
              <a:rPr lang="en" sz="1600" b="0" i="0" u="none" baseline="0">
                <a:solidFill>
                  <a:srgbClr val="002060"/>
                </a:solidFill>
              </a:rPr>
              <a:t>The admissibility of modifying the exclusion period arising from the provisions of law</a:t>
            </a:r>
          </a:p>
        </c:rich>
      </c:tx>
      <c:overlay val="0"/>
      <c:spPr>
        <a:noFill/>
        <a:ln>
          <a:noFill/>
        </a:ln>
        <a:effectLst/>
      </c:spPr>
      <c:txPr>
        <a:bodyPr rot="0" spcFirstLastPara="1" vertOverflow="ellipsis" vert="horz" wrap="square" anchor="ctr" anchorCtr="1"/>
        <a:lstStyle/>
        <a:p>
          <a:pPr rtl="0">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The admissibility of modifying the exclusion period arising from the provisions of law</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123E-4BAE-80A6-B633029C3416}"/>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2-123E-4BAE-80A6-B633029C3416}"/>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4-123E-4BAE-80A6-B633029C3416}"/>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3-123E-4BAE-80A6-B633029C3416}"/>
              </c:ext>
            </c:extLst>
          </c:dPt>
          <c:dLbls>
            <c:dLbl>
              <c:idx val="0"/>
              <c:tx>
                <c:rich>
                  <a:bodyPr/>
                  <a:lstStyle/>
                  <a:p>
                    <a:fld id="{8A7F073F-652D-44FB-98B3-0AA43F7E79A7}"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1-123E-4BAE-80A6-B633029C3416}"/>
                </c:ext>
              </c:extLst>
            </c:dLbl>
            <c:dLbl>
              <c:idx val="1"/>
              <c:tx>
                <c:rich>
                  <a:bodyPr/>
                  <a:lstStyle/>
                  <a:p>
                    <a:fld id="{807E02C5-DA3F-4F23-8465-A342425DA7B4}"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2-123E-4BAE-80A6-B633029C3416}"/>
                </c:ext>
              </c:extLst>
            </c:dLbl>
            <c:dLbl>
              <c:idx val="2"/>
              <c:layout>
                <c:manualLayout>
                  <c:x val="1.7812720917125741E-2"/>
                  <c:y val="6.1553900450339948E-2"/>
                </c:manualLayout>
              </c:layout>
              <c:tx>
                <c:rich>
                  <a:bodyPr rot="0" spcFirstLastPara="1" vertOverflow="ellipsis" vert="horz" wrap="square" lIns="38100" tIns="19050" rIns="38100" bIns="19050" anchor="ctr" anchorCtr="1">
                    <a:noAutofit/>
                  </a:bodyPr>
                  <a:lstStyle/>
                  <a:p>
                    <a:pPr rtl="0">
                      <a:defRPr sz="1100" b="1" i="0" u="none" strike="noStrike" kern="1200" baseline="0">
                        <a:solidFill>
                          <a:schemeClr val="lt1"/>
                        </a:solidFill>
                        <a:latin typeface="+mn-lt"/>
                        <a:ea typeface="+mn-ea"/>
                        <a:cs typeface="+mn-cs"/>
                      </a:defRPr>
                    </a:pPr>
                    <a:fld id="{CC9DA742-87F1-4FD7-85BB-1558F96A5EC4}" type="VALUE">
                      <a:rPr lang="en-GB" sz="1100"/>
                      <a:pPr rtl="0">
                        <a:defRPr sz="1100"/>
                      </a:pPr>
                      <a:t>[VALUE]</a:t>
                    </a:fld>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rtl="0">
                    <a:defRPr sz="11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manualLayout>
                      <c:w val="2.7141083988415381E-2"/>
                      <c:h val="5.213470480484711E-2"/>
                    </c:manualLayout>
                  </c15:layout>
                  <c15:dlblFieldTable/>
                  <c15:showDataLabelsRange val="0"/>
                </c:ext>
                <c:ext xmlns:c16="http://schemas.microsoft.com/office/drawing/2014/chart" uri="{C3380CC4-5D6E-409C-BE32-E72D297353CC}">
                  <c16:uniqueId val="{00000004-123E-4BAE-80A6-B633029C3416}"/>
                </c:ext>
              </c:extLst>
            </c:dLbl>
            <c:dLbl>
              <c:idx val="3"/>
              <c:layout>
                <c:manualLayout>
                  <c:x val="1.0173834290573006E-2"/>
                  <c:y val="5.2611450551913366E-2"/>
                </c:manualLayout>
              </c:layout>
              <c:tx>
                <c:rich>
                  <a:bodyPr rot="0" spcFirstLastPara="1" vertOverflow="ellipsis" vert="horz" wrap="square" lIns="38100" tIns="19050" rIns="38100" bIns="19050" anchor="ctr" anchorCtr="1">
                    <a:noAutofit/>
                  </a:bodyPr>
                  <a:lstStyle/>
                  <a:p>
                    <a:pPr rtl="0">
                      <a:defRPr sz="1100" b="1" i="0" u="none" strike="noStrike" kern="1200" baseline="0">
                        <a:solidFill>
                          <a:schemeClr val="lt1"/>
                        </a:solidFill>
                        <a:latin typeface="+mn-lt"/>
                        <a:ea typeface="+mn-ea"/>
                        <a:cs typeface="+mn-cs"/>
                      </a:defRPr>
                    </a:pPr>
                    <a:fld id="{1B49946F-4702-45FB-9ED4-7249343EA6D6}" type="VALUE">
                      <a:rPr lang="en-US" sz="1100"/>
                      <a:pPr rtl="0">
                        <a:defRPr sz="1100"/>
                      </a:pPr>
                      <a:t>[VALUE]</a:t>
                    </a:fld>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rtl="0">
                    <a:defRPr sz="11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manualLayout>
                      <c:w val="2.7141083988415388E-2"/>
                      <c:h val="5.7770889108073833E-2"/>
                    </c:manualLayout>
                  </c15:layout>
                  <c15:dlblFieldTable/>
                  <c15:showDataLabelsRange val="0"/>
                </c:ext>
                <c:ext xmlns:c16="http://schemas.microsoft.com/office/drawing/2014/chart" uri="{C3380CC4-5D6E-409C-BE32-E72D297353CC}">
                  <c16:uniqueId val="{00000003-123E-4BAE-80A6-B633029C341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Lst>
          </c:dLbls>
          <c:cat>
            <c:strRef>
              <c:f>Arkusz1!$A$2:$A$5</c:f>
              <c:strCache>
                <c:ptCount val="4"/>
                <c:pt idx="0">
                  <c:v>Yes</c:v>
                </c:pt>
                <c:pt idx="1">
                  <c:v>No</c:v>
                </c:pt>
                <c:pt idx="3">
                  <c:v>Ad casum (on a case-by-case basis) [Switzerland]</c:v>
                </c:pt>
              </c:strCache>
            </c:strRef>
          </c:cat>
          <c:val>
            <c:numRef>
              <c:f>Arkusz1!$B$2:$B$5</c:f>
              <c:numCache>
                <c:formatCode>General</c:formatCode>
                <c:ptCount val="4"/>
                <c:pt idx="0">
                  <c:v>12</c:v>
                </c:pt>
                <c:pt idx="1">
                  <c:v>17</c:v>
                </c:pt>
                <c:pt idx="3">
                  <c:v>1</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123E-4BAE-80A6-B633029C3416}"/>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ayout>
        <c:manualLayout>
          <c:xMode val="edge"/>
          <c:yMode val="edge"/>
          <c:x val="0.72121960913346739"/>
          <c:y val="0.32901114921576047"/>
          <c:w val="0.2539562286820064"/>
          <c:h val="0.39580303976727438"/>
        </c:manualLayout>
      </c:layout>
      <c:overlay val="0"/>
      <c:spPr>
        <a:solidFill>
          <a:schemeClr val="bg1"/>
        </a:solidFill>
        <a:ln>
          <a:noFill/>
        </a:ln>
        <a:effectLst/>
      </c:spPr>
      <c:txPr>
        <a:bodyPr rot="0" spcFirstLastPara="1" vertOverflow="ellipsis" vert="horz" wrap="square" anchor="ctr" anchorCtr="1"/>
        <a:lstStyle/>
        <a:p>
          <a:pPr rtl="0">
            <a:defRPr sz="105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1" i="0" u="none" strike="noStrike" kern="1200" baseline="0">
                <a:solidFill>
                  <a:srgbClr val="002060"/>
                </a:solidFill>
                <a:latin typeface="+mn-lt"/>
                <a:ea typeface="+mn-ea"/>
                <a:cs typeface="+mn-cs"/>
              </a:defRPr>
            </a:pPr>
            <a:r>
              <a:rPr lang="en" sz="1600" b="0" i="0" u="none" baseline="0">
                <a:solidFill>
                  <a:srgbClr val="002060"/>
                </a:solidFill>
              </a:rPr>
              <a:t>The nature of the exclusion grounds concerning untrue information </a:t>
            </a:r>
            <a:endParaRPr lang="en" sz="1600">
              <a:solidFill>
                <a:srgbClr val="002060"/>
              </a:solidFill>
            </a:endParaRPr>
          </a:p>
          <a:p>
            <a:pPr rtl="0">
              <a:defRPr sz="1400">
                <a:solidFill>
                  <a:srgbClr val="002060"/>
                </a:solidFill>
              </a:defRPr>
            </a:pPr>
            <a:r>
              <a:rPr lang="en" sz="1600" b="0" i="0" u="none" baseline="0">
                <a:solidFill>
                  <a:srgbClr val="002060"/>
                </a:solidFill>
              </a:rPr>
              <a:t>in national legal regimes</a:t>
            </a:r>
          </a:p>
        </c:rich>
      </c:tx>
      <c:overlay val="0"/>
      <c:spPr>
        <a:noFill/>
        <a:ln>
          <a:noFill/>
        </a:ln>
        <a:effectLst/>
      </c:spPr>
      <c:txPr>
        <a:bodyPr rot="0" spcFirstLastPara="1" vertOverflow="ellipsis" vert="horz" wrap="square" anchor="ctr" anchorCtr="1"/>
        <a:lstStyle/>
        <a:p>
          <a:pPr rtl="0">
            <a:defRPr sz="1400" b="1" i="0" u="none" strike="noStrike" kern="1200" baseline="0">
              <a:solidFill>
                <a:srgbClr val="002060"/>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519820187985288E-2"/>
          <c:y val="0.3038420867113148"/>
          <c:w val="0.67800118415929522"/>
          <c:h val="0.69615791328868526"/>
        </c:manualLayout>
      </c:layout>
      <c:pie3DChart>
        <c:varyColors val="1"/>
        <c:ser>
          <c:idx val="0"/>
          <c:order val="0"/>
          <c:tx>
            <c:strRef>
              <c:f>Arkusz1!$B$1</c:f>
              <c:strCache>
                <c:ptCount val="1"/>
                <c:pt idx="0">
                  <c:v>Nature of the exclusion grounds concerning untrue information in national legal regimes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0CD7-4418-BAFF-E458BE39A411}"/>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3-0CD7-4418-BAFF-E458BE39A411}"/>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5-0CD7-4418-BAFF-E458BE39A411}"/>
              </c:ext>
            </c:extLst>
          </c:dPt>
          <c:dLbls>
            <c:dLbl>
              <c:idx val="0"/>
              <c:tx>
                <c:rich>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fld id="{33604CCB-CC48-45D9-8DFD-7EC164D213E7}" type="VALUE">
                      <a:rPr lang="en-US" sz="1100"/>
                      <a:pPr rtl="0">
                        <a:defRPr sz="1100"/>
                      </a:pPr>
                      <a:t>[VALUE]</a:t>
                    </a:fld>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1-0CD7-4418-BAFF-E458BE39A411}"/>
                </c:ext>
              </c:extLst>
            </c:dLbl>
            <c:dLbl>
              <c:idx val="1"/>
              <c:tx>
                <c:rich>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fld id="{C0D2614E-C9A3-4C97-9908-31C504B64B54}" type="VALUE">
                      <a:rPr lang="en-US" sz="1100"/>
                      <a:pPr rtl="0">
                        <a:defRPr sz="1100"/>
                      </a:pPr>
                      <a:t>[VALUE]</a:t>
                    </a:fld>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3-0CD7-4418-BAFF-E458BE39A411}"/>
                </c:ext>
              </c:extLst>
            </c:dLbl>
            <c:dLbl>
              <c:idx val="2"/>
              <c:tx>
                <c:rich>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fld id="{74F98EA1-1B0E-4BE3-A96E-BE197BADD244}" type="VALUE">
                      <a:rPr lang="en-US" sz="1100"/>
                      <a:pPr rtl="0">
                        <a:defRPr sz="1100"/>
                      </a:pPr>
                      <a:t>[VALUE]</a:t>
                    </a:fld>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5-0CD7-4418-BAFF-E458BE39A41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Lst>
          </c:dLbls>
          <c:cat>
            <c:strRef>
              <c:f>Arkusz1!$A$2:$A$4</c:f>
              <c:strCache>
                <c:ptCount val="3"/>
                <c:pt idx="0">
                  <c:v>Both grounds are non-compulsory</c:v>
                </c:pt>
                <c:pt idx="1">
                  <c:v>Both grounds are compulsory</c:v>
                </c:pt>
                <c:pt idx="2">
                  <c:v>Mixed solution</c:v>
                </c:pt>
              </c:strCache>
            </c:strRef>
          </c:cat>
          <c:val>
            <c:numRef>
              <c:f>Arkusz1!$B$2:$B$4</c:f>
              <c:numCache>
                <c:formatCode>General</c:formatCode>
                <c:ptCount val="3"/>
                <c:pt idx="0">
                  <c:v>21</c:v>
                </c:pt>
                <c:pt idx="1">
                  <c:v>7</c:v>
                </c:pt>
                <c:pt idx="2">
                  <c:v>3</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6-0CD7-4418-BAFF-E458BE39A411}"/>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2482004318320039"/>
          <c:y val="0.39052231618738881"/>
          <c:w val="0.34194366643766844"/>
          <c:h val="0.49603987001624789"/>
        </c:manualLayout>
      </c:layout>
      <c:overlay val="0"/>
      <c:spPr>
        <a:solidFill>
          <a:schemeClr val="bg1"/>
        </a:solidFill>
        <a:ln>
          <a:noFill/>
        </a:ln>
        <a:effectLst/>
      </c:spPr>
      <c:txPr>
        <a:bodyPr rot="0" spcFirstLastPara="1" vertOverflow="ellipsis" vert="horz" wrap="square" anchor="ctr" anchorCtr="1"/>
        <a:lstStyle/>
        <a:p>
          <a:pPr rtl="0">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800" b="1" i="0" u="none" strike="noStrike" kern="1200" baseline="0">
                <a:solidFill>
                  <a:schemeClr val="dk1">
                    <a:lumMod val="75000"/>
                    <a:lumOff val="25000"/>
                  </a:schemeClr>
                </a:solidFill>
                <a:latin typeface="+mn-lt"/>
                <a:ea typeface="+mn-ea"/>
                <a:cs typeface="+mn-cs"/>
              </a:defRPr>
            </a:pPr>
            <a:r>
              <a:rPr lang="en" sz="1600" b="0" i="0" u="none" baseline="0">
                <a:solidFill>
                  <a:srgbClr val="002060"/>
                </a:solidFill>
              </a:rPr>
              <a:t>The mutual relationship between the exclusion grounds concerning giving untrue information in the national legal regimes</a:t>
            </a:r>
          </a:p>
        </c:rich>
      </c:tx>
      <c:overlay val="0"/>
      <c:spPr>
        <a:noFill/>
        <a:ln>
          <a:noFill/>
        </a:ln>
        <a:effectLst/>
      </c:spPr>
      <c:txPr>
        <a:bodyPr rot="0" spcFirstLastPara="1" vertOverflow="ellipsis" vert="horz" wrap="square" anchor="ctr" anchorCtr="1"/>
        <a:lstStyle/>
        <a:p>
          <a:pPr rtl="0">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Mutual relationship of exclusion grounds related to giving untrue information in national legal regimes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BB49-4859-8C50-2D8F7BA24EEB}"/>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3-BB49-4859-8C50-2D8F7BA24EEB}"/>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5-BB49-4859-8C50-2D8F7BA24EEB}"/>
              </c:ext>
            </c:extLst>
          </c:dPt>
          <c:dLbls>
            <c:dLbl>
              <c:idx val="0"/>
              <c:tx>
                <c:rich>
                  <a:bodyPr/>
                  <a:lstStyle/>
                  <a:p>
                    <a:fld id="{7E30AC1E-B560-4425-83ED-90C170FAC856}"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1-BB49-4859-8C50-2D8F7BA24EEB}"/>
                </c:ext>
              </c:extLst>
            </c:dLbl>
            <c:dLbl>
              <c:idx val="1"/>
              <c:tx>
                <c:rich>
                  <a:bodyPr/>
                  <a:lstStyle/>
                  <a:p>
                    <a:fld id="{C50FB338-3CC4-48C1-AFEF-D0705AE760B6}"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3-BB49-4859-8C50-2D8F7BA24EEB}"/>
                </c:ext>
              </c:extLst>
            </c:dLbl>
            <c:dLbl>
              <c:idx val="2"/>
              <c:tx>
                <c:rich>
                  <a:bodyPr/>
                  <a:lstStyle/>
                  <a:p>
                    <a:fld id="{42741ED1-1A22-403B-B4B6-AB81A29D42A7}"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5-BB49-4859-8C50-2D8F7BA24EE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Lst>
          </c:dLbls>
          <c:cat>
            <c:strRef>
              <c:f>Arkusz1!$A$2:$A$4</c:f>
              <c:strCache>
                <c:ptCount val="3"/>
                <c:pt idx="0">
                  <c:v>Difficult to say</c:v>
                </c:pt>
                <c:pt idx="1">
                  <c:v>The national regulation being the implementation of Article 57 section 4 letter i) fully covers the scope of application of Article 57 section 4 letter h)</c:v>
                </c:pt>
                <c:pt idx="2">
                  <c:v>National regulations have a separate scope of application and do not overlap</c:v>
                </c:pt>
              </c:strCache>
            </c:strRef>
          </c:cat>
          <c:val>
            <c:numRef>
              <c:f>Arkusz1!$B$2:$B$4</c:f>
              <c:numCache>
                <c:formatCode>General</c:formatCode>
                <c:ptCount val="3"/>
                <c:pt idx="0">
                  <c:v>16</c:v>
                </c:pt>
                <c:pt idx="1">
                  <c:v>10</c:v>
                </c:pt>
                <c:pt idx="2">
                  <c:v>5</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6-BB49-4859-8C50-2D8F7BA24EEB}"/>
            </c:ext>
          </c:extLst>
        </c:ser>
        <c:dLbls>
          <c:dLblPos val="ctr"/>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2442164554415613"/>
          <c:y val="0.24022906227630639"/>
          <c:w val="0.35747334540333936"/>
          <c:h val="0.66490927764464225"/>
        </c:manualLayout>
      </c:layout>
      <c:overlay val="0"/>
      <c:spPr>
        <a:solidFill>
          <a:schemeClr val="bg1"/>
        </a:solidFill>
        <a:ln>
          <a:noFill/>
        </a:ln>
        <a:effectLst/>
      </c:spPr>
      <c:txPr>
        <a:bodyPr rot="0" spcFirstLastPara="1" vertOverflow="ellipsis" vert="horz" wrap="square" anchor="ctr" anchorCtr="1"/>
        <a:lstStyle/>
        <a:p>
          <a:pPr algn="just" rtl="0">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600" b="1" i="0" u="none" strike="noStrike" kern="1200" baseline="0">
                <a:solidFill>
                  <a:schemeClr val="dk1">
                    <a:lumMod val="75000"/>
                    <a:lumOff val="25000"/>
                  </a:schemeClr>
                </a:solidFill>
                <a:latin typeface="+mn-lt"/>
                <a:ea typeface="+mn-ea"/>
                <a:cs typeface="+mn-cs"/>
              </a:defRPr>
            </a:pPr>
            <a:r>
              <a:rPr lang="en" sz="1600" b="0" i="0" u="none" baseline="0">
                <a:solidFill>
                  <a:srgbClr val="002060"/>
                </a:solidFill>
              </a:rPr>
              <a:t>Exclusion period in the case of existence of grounds related to untrue information</a:t>
            </a:r>
          </a:p>
        </c:rich>
      </c:tx>
      <c:overlay val="0"/>
      <c:spPr>
        <a:noFill/>
        <a:ln>
          <a:noFill/>
        </a:ln>
        <a:effectLst/>
      </c:spPr>
      <c:txPr>
        <a:bodyPr rot="0" spcFirstLastPara="1" vertOverflow="ellipsis" vert="horz" wrap="square" anchor="ctr" anchorCtr="1"/>
        <a:lstStyle/>
        <a:p>
          <a:pPr rtl="0">
            <a:defRPr sz="16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280737289852137E-2"/>
          <c:y val="0.27577063307921779"/>
          <c:w val="0.67805897617061595"/>
          <c:h val="0.7142857142857143"/>
        </c:manualLayout>
      </c:layout>
      <c:pie3DChart>
        <c:varyColors val="1"/>
        <c:ser>
          <c:idx val="0"/>
          <c:order val="0"/>
          <c:tx>
            <c:strRef>
              <c:f>Arkusz1!$B$1</c:f>
              <c:strCache>
                <c:ptCount val="1"/>
                <c:pt idx="0">
                  <c:v>The exclusion period in the case of existence of grounds related to untrue information</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F83D-42D1-A5E5-F23A773DC40C}"/>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3-F83D-42D1-A5E5-F23A773DC40C}"/>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5-F83D-42D1-A5E5-F23A773DC40C}"/>
              </c:ext>
            </c:extLst>
          </c:dPt>
          <c:dLbls>
            <c:dLbl>
              <c:idx val="0"/>
              <c:tx>
                <c:rich>
                  <a:bodyPr/>
                  <a:lstStyle/>
                  <a:p>
                    <a:fld id="{50C59095-649C-4DA8-BFD8-83A4BAF0C6FC}"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1-F83D-42D1-A5E5-F23A773DC40C}"/>
                </c:ext>
              </c:extLst>
            </c:dLbl>
            <c:dLbl>
              <c:idx val="1"/>
              <c:tx>
                <c:rich>
                  <a:bodyPr/>
                  <a:lstStyle/>
                  <a:p>
                    <a:fld id="{831B6CC1-9624-449B-AC2E-7E4D0A4CA882}"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3-F83D-42D1-A5E5-F23A773DC40C}"/>
                </c:ext>
              </c:extLst>
            </c:dLbl>
            <c:dLbl>
              <c:idx val="2"/>
              <c:tx>
                <c:rich>
                  <a:bodyPr/>
                  <a:lstStyle/>
                  <a:p>
                    <a:fld id="{2DC3638E-87FC-4C2F-A34F-075FD9D247AE}" type="VALUE">
                      <a:rPr lang="en-US"/>
                      <a:pPr/>
                      <a:t>[VALUE]</a:t>
                    </a:fld>
                    <a:endParaRPr lang="en-US"/>
                  </a:p>
                </c:rich>
              </c:tx>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5-F83D-42D1-A5E5-F23A773DC40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Lst>
          </c:dLbls>
          <c:cat>
            <c:strRef>
              <c:f>Arkusz1!$A$2:$A$4</c:f>
              <c:strCache>
                <c:ptCount val="3"/>
                <c:pt idx="0">
                  <c:v>3 years</c:v>
                </c:pt>
                <c:pt idx="1">
                  <c:v>0-3 years</c:v>
                </c:pt>
                <c:pt idx="2">
                  <c:v>No exclusion period</c:v>
                </c:pt>
              </c:strCache>
            </c:strRef>
          </c:cat>
          <c:val>
            <c:numRef>
              <c:f>Arkusz1!$B$2:$B$4</c:f>
              <c:numCache>
                <c:formatCode>General</c:formatCode>
                <c:ptCount val="3"/>
                <c:pt idx="0">
                  <c:v>24</c:v>
                </c:pt>
                <c:pt idx="1">
                  <c:v>5</c:v>
                </c:pt>
                <c:pt idx="2">
                  <c:v>2</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6-F83D-42D1-A5E5-F23A773DC40C}"/>
            </c:ext>
          </c:extLst>
        </c:ser>
        <c:dLbls>
          <c:dLblPos val="ctr"/>
          <c:showLegendKey val="0"/>
          <c:showVal val="1"/>
          <c:showCatName val="0"/>
          <c:showSerName val="0"/>
          <c:showPercent val="0"/>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rtl="0">
              <a:defRPr sz="1050" b="0" i="0" u="none" strike="noStrike" kern="1200" baseline="0">
                <a:solidFill>
                  <a:schemeClr val="dk1">
                    <a:lumMod val="75000"/>
                    <a:lumOff val="25000"/>
                  </a:schemeClr>
                </a:solidFill>
                <a:latin typeface="+mn-lt"/>
                <a:ea typeface="+mn-ea"/>
                <a:cs typeface="+mn-cs"/>
              </a:defRPr>
            </a:pPr>
            <a:endParaRPr lang="en-US"/>
          </a:p>
        </c:txPr>
      </c:legendEntry>
      <c:legendEntry>
        <c:idx val="1"/>
        <c:txPr>
          <a:bodyPr rot="0" spcFirstLastPara="1" vertOverflow="ellipsis" vert="horz" wrap="square" anchor="ctr" anchorCtr="1"/>
          <a:lstStyle/>
          <a:p>
            <a:pPr rtl="0">
              <a:defRPr sz="105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65172719573715432"/>
          <c:y val="0.37577585284438059"/>
          <c:w val="0.28548163553689876"/>
          <c:h val="0.41686142896554523"/>
        </c:manualLayout>
      </c:layout>
      <c:overlay val="0"/>
      <c:spPr>
        <a:solidFill>
          <a:schemeClr val="bg1"/>
        </a:solidFill>
        <a:ln>
          <a:noFill/>
        </a:ln>
        <a:effectLst/>
      </c:spPr>
      <c:txPr>
        <a:bodyPr rot="0" spcFirstLastPara="1" vertOverflow="ellipsis" vert="horz" wrap="square" anchor="ctr" anchorCtr="1"/>
        <a:lstStyle/>
        <a:p>
          <a:pPr rtl="0">
            <a:defRPr sz="105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800" b="1" i="0" u="none" strike="noStrike" kern="1200" baseline="0">
                <a:solidFill>
                  <a:schemeClr val="dk1">
                    <a:lumMod val="75000"/>
                    <a:lumOff val="25000"/>
                  </a:schemeClr>
                </a:solidFill>
                <a:latin typeface="+mn-lt"/>
                <a:ea typeface="+mn-ea"/>
                <a:cs typeface="+mn-cs"/>
              </a:defRPr>
            </a:pPr>
            <a:r>
              <a:rPr lang="en" b="0" i="0" u="none" baseline="0">
                <a:solidFill>
                  <a:srgbClr val="002060"/>
                </a:solidFill>
              </a:rPr>
              <a:t>The possibility of applying the self-cleaning procedure in view of the occurrence of the exclusion grounds concerning untrue information</a:t>
            </a:r>
          </a:p>
        </c:rich>
      </c:tx>
      <c:overlay val="0"/>
      <c:spPr>
        <a:noFill/>
        <a:ln>
          <a:noFill/>
        </a:ln>
        <a:effectLst/>
      </c:spPr>
      <c:txPr>
        <a:bodyPr rot="0" spcFirstLastPara="1" vertOverflow="ellipsis" vert="horz" wrap="square" anchor="ctr" anchorCtr="1"/>
        <a:lstStyle/>
        <a:p>
          <a:pPr rtl="0">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437531871494134E-2"/>
          <c:y val="0.32620882971268389"/>
          <c:w val="0.6138860536364622"/>
          <c:h val="0.67379117028731605"/>
        </c:manualLayout>
      </c:layout>
      <c:pie3DChart>
        <c:varyColors val="1"/>
        <c:ser>
          <c:idx val="0"/>
          <c:order val="0"/>
          <c:tx>
            <c:strRef>
              <c:f>Arkusz1!$B$1</c:f>
              <c:strCache>
                <c:ptCount val="1"/>
                <c:pt idx="0">
                  <c:v>Possibility of applying the self-cleaning procedure given the existence of exclusion grounds related to untrue information</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FF4B-4304-8332-0F9FCCCE56CB}"/>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3-FF4B-4304-8332-0F9FCCCE56CB}"/>
              </c:ext>
            </c:extLst>
          </c:dPt>
          <c:dLbls>
            <c:dLbl>
              <c:idx val="0"/>
              <c:tx>
                <c:rich>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fld id="{C2ED4DFD-7F6F-4169-911C-737BB211F028}" type="VALUE">
                      <a:rPr lang="en-US" sz="1100"/>
                      <a:pPr rtl="0">
                        <a:defRPr sz="1100"/>
                      </a:pPr>
                      <a:t>[VALUE]</a:t>
                    </a:fld>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1-FF4B-4304-8332-0F9FCCCE56CB}"/>
                </c:ext>
              </c:extLst>
            </c:dLbl>
            <c:dLbl>
              <c:idx val="1"/>
              <c:tx>
                <c:rich>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fld id="{5C70B818-652C-40BE-86D8-2835B3C2D497}" type="VALUE">
                      <a:rPr lang="en-US" sz="1100"/>
                      <a:pPr rtl="0">
                        <a:defRPr sz="1100"/>
                      </a:pPr>
                      <a:t>[VALUE]</a:t>
                    </a:fld>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1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dlblFieldTable/>
                  <c15:showDataLabelsRange val="0"/>
                </c:ext>
                <c:ext xmlns:c16="http://schemas.microsoft.com/office/drawing/2014/chart" uri="{C3380CC4-5D6E-409C-BE32-E72D297353CC}">
                  <c16:uniqueId val="{00000003-FF4B-4304-8332-0F9FCCCE56C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Lst>
          </c:dLbls>
          <c:cat>
            <c:strRef>
              <c:f>Arkusz1!$A$2:$A$3</c:f>
              <c:strCache>
                <c:ptCount val="2"/>
                <c:pt idx="0">
                  <c:v>The possibility of completing the self-cleaning procedure</c:v>
                </c:pt>
                <c:pt idx="1">
                  <c:v>Self-cleaning is impossible or hindered</c:v>
                </c:pt>
              </c:strCache>
            </c:strRef>
          </c:cat>
          <c:val>
            <c:numRef>
              <c:f>Arkusz1!$B$2:$B$3</c:f>
              <c:numCache>
                <c:formatCode>General</c:formatCode>
                <c:ptCount val="2"/>
                <c:pt idx="0">
                  <c:v>23</c:v>
                </c:pt>
                <c:pt idx="1">
                  <c:v>8</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4-FF4B-4304-8332-0F9FCCCE56CB}"/>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173368079117596"/>
          <c:y val="0.43022584685673926"/>
          <c:w val="0.32900022887246189"/>
          <c:h val="0.34046869141357328"/>
        </c:manualLayout>
      </c:layout>
      <c:overlay val="0"/>
      <c:spPr>
        <a:solidFill>
          <a:schemeClr val="bg1"/>
        </a:solidFill>
        <a:ln>
          <a:noFill/>
        </a:ln>
        <a:effectLst/>
      </c:spPr>
      <c:txPr>
        <a:bodyPr rot="0" spcFirstLastPara="1" vertOverflow="ellipsis" vert="horz" wrap="square" anchor="ctr" anchorCtr="1"/>
        <a:lstStyle/>
        <a:p>
          <a:pPr rtl="0">
            <a:defRPr sz="105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nt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11844</Words>
  <Characters>67513</Characters>
  <Application>Microsoft Office Word</Application>
  <DocSecurity>0</DocSecurity>
  <Lines>562</Lines>
  <Paragraphs>158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79199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Kania</dc:creator>
  <cp:lastModifiedBy>Yukins, Christopher R.</cp:lastModifiedBy>
  <cp:revision>2</cp:revision>
  <dcterms:created xsi:type="dcterms:W3CDTF">2019-09-27T22:45:00Z</dcterms:created>
  <dcterms:modified xsi:type="dcterms:W3CDTF">2019-09-27T22:45:00Z</dcterms:modified>
</cp:coreProperties>
</file>