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854D" w14:textId="5AC7B487" w:rsidR="001B5FB6" w:rsidRDefault="001B5FB6" w:rsidP="001E0631">
      <w:pPr>
        <w:jc w:val="right"/>
      </w:pPr>
      <w:bookmarkStart w:id="0" w:name="_GoBack"/>
      <w:bookmarkEnd w:id="0"/>
      <w:r w:rsidRPr="001B5FB6">
        <w:rPr>
          <w:b/>
          <w:bCs/>
        </w:rPr>
        <w:t>Preliminary</w:t>
      </w:r>
      <w:r>
        <w:t>.</w:t>
      </w:r>
    </w:p>
    <w:p w14:paraId="04107BCC" w14:textId="77777777" w:rsidR="00B706E3" w:rsidRDefault="00B706E3" w:rsidP="001E0631">
      <w:pPr>
        <w:jc w:val="right"/>
      </w:pPr>
    </w:p>
    <w:p w14:paraId="38292D5C" w14:textId="7375DCB6" w:rsidR="001B5FB6" w:rsidRDefault="001E0631" w:rsidP="001B5FB6">
      <w:pPr>
        <w:jc w:val="right"/>
      </w:pPr>
      <w:r>
        <w:t>A</w:t>
      </w:r>
      <w:r w:rsidR="001B5FB6">
        <w:t xml:space="preserve"> subsequent version of this paper will be pub</w:t>
      </w:r>
      <w:r w:rsidR="007D188D">
        <w:t xml:space="preserve">lished </w:t>
      </w:r>
      <w:r>
        <w:t>in a forthcoming special issue</w:t>
      </w:r>
      <w:r w:rsidR="001B5FB6">
        <w:t xml:space="preserve"> </w:t>
      </w:r>
      <w:r>
        <w:t xml:space="preserve">of the </w:t>
      </w:r>
    </w:p>
    <w:p w14:paraId="5B1CF8B9" w14:textId="15192F82" w:rsidR="001E0631" w:rsidRDefault="001E0631" w:rsidP="001B5FB6">
      <w:pPr>
        <w:jc w:val="right"/>
      </w:pPr>
      <w:r w:rsidRPr="007D188D">
        <w:rPr>
          <w:i/>
          <w:iCs/>
        </w:rPr>
        <w:t>Public Procurement Law Review</w:t>
      </w:r>
      <w:r w:rsidR="001B5FB6">
        <w:t xml:space="preserve"> </w:t>
      </w:r>
      <w:r>
        <w:t>concerning procurement issues in the COVID-19 crisis</w:t>
      </w:r>
      <w:r w:rsidR="007D188D">
        <w:t>.</w:t>
      </w:r>
    </w:p>
    <w:p w14:paraId="074BEAFF" w14:textId="77777777" w:rsidR="00B706E3" w:rsidRPr="00B975A7" w:rsidRDefault="00B706E3" w:rsidP="001B5FB6">
      <w:pPr>
        <w:jc w:val="right"/>
      </w:pPr>
    </w:p>
    <w:p w14:paraId="756326C9" w14:textId="74992A27" w:rsidR="001E0631" w:rsidRPr="00B975A7" w:rsidRDefault="001E0631" w:rsidP="001B5FB6">
      <w:pPr>
        <w:jc w:val="right"/>
      </w:pPr>
      <w:r>
        <w:t>1</w:t>
      </w:r>
      <w:r w:rsidR="001B5FB6">
        <w:t>8</w:t>
      </w:r>
      <w:r>
        <w:t xml:space="preserve"> </w:t>
      </w:r>
      <w:r w:rsidRPr="00B975A7">
        <w:t>April 2020</w:t>
      </w:r>
    </w:p>
    <w:p w14:paraId="11EB077C" w14:textId="77777777" w:rsidR="00B975A7" w:rsidRDefault="00B975A7" w:rsidP="006D1EB8">
      <w:pPr>
        <w:jc w:val="center"/>
        <w:rPr>
          <w:b/>
          <w:bCs/>
        </w:rPr>
      </w:pPr>
    </w:p>
    <w:p w14:paraId="2ED41C41" w14:textId="6272E5CF" w:rsidR="00DB5ADC" w:rsidRPr="006D1EB8" w:rsidRDefault="001E0631" w:rsidP="006D1EB8">
      <w:pPr>
        <w:jc w:val="center"/>
        <w:rPr>
          <w:b/>
          <w:bCs/>
        </w:rPr>
      </w:pPr>
      <w:r w:rsidRPr="006D1EB8">
        <w:rPr>
          <w:b/>
          <w:bCs/>
        </w:rPr>
        <w:t xml:space="preserve">Keeping markets open </w:t>
      </w:r>
      <w:r>
        <w:rPr>
          <w:b/>
          <w:bCs/>
        </w:rPr>
        <w:t xml:space="preserve">while ensuring due flexibility for governments </w:t>
      </w:r>
      <w:r w:rsidRPr="006D1EB8">
        <w:rPr>
          <w:b/>
          <w:bCs/>
        </w:rPr>
        <w:t xml:space="preserve">in a time of economic and public health crisis: the role of the WTO Agreement on Government Procurement </w:t>
      </w:r>
      <w:r w:rsidR="00A756E1" w:rsidRPr="006D1EB8">
        <w:rPr>
          <w:b/>
          <w:bCs/>
        </w:rPr>
        <w:t>(GPA)</w:t>
      </w:r>
    </w:p>
    <w:p w14:paraId="682D206B" w14:textId="26419AD7" w:rsidR="00A756E1" w:rsidRDefault="00A756E1" w:rsidP="006D1EB8">
      <w:pPr>
        <w:jc w:val="center"/>
      </w:pPr>
    </w:p>
    <w:p w14:paraId="66AAC217" w14:textId="77777777" w:rsidR="001E0631" w:rsidRDefault="001E0631" w:rsidP="001E0631">
      <w:pPr>
        <w:jc w:val="center"/>
      </w:pPr>
    </w:p>
    <w:p w14:paraId="3FE4DBC6" w14:textId="68622F3D" w:rsidR="001E0631" w:rsidRDefault="001E0631" w:rsidP="001E0631">
      <w:pPr>
        <w:jc w:val="center"/>
      </w:pPr>
      <w:r>
        <w:t>Robert D. Anderson</w:t>
      </w:r>
      <w:r>
        <w:rPr>
          <w:rStyle w:val="FootnoteReference"/>
        </w:rPr>
        <w:footnoteReference w:id="1"/>
      </w:r>
    </w:p>
    <w:p w14:paraId="49D01897" w14:textId="77777777" w:rsidR="001E0631" w:rsidRDefault="001E0631" w:rsidP="001E0631"/>
    <w:p w14:paraId="4F4C34A4" w14:textId="60212D31" w:rsidR="001E0631" w:rsidRDefault="001E0631" w:rsidP="001E0631">
      <w:pPr>
        <w:ind w:firstLine="720"/>
        <w:jc w:val="both"/>
      </w:pPr>
      <w:r>
        <w:t>Facilitating legitimate international trade in medicines, protective equipment and other supplies has, for years, been an important consideration in ensuring access to health care and robust governmental responses to public health crises around the world.</w:t>
      </w:r>
      <w:r>
        <w:rPr>
          <w:rStyle w:val="FootnoteReference"/>
        </w:rPr>
        <w:footnoteReference w:id="2"/>
      </w:r>
      <w:r>
        <w:t xml:space="preserve"> Viruses and bacteria do not respect international borders. Outbreaks that go unaddressed in neighboring countries or regions of the world indisputably compound the difficulties of controlling public health threats “at home”. Moreover, many countries lack domestic capacity to produce relevant goods and supplies. For these and other reasons, the preservation of open markets in medicines, protective equipment and other health-related supplies has been seen a</w:t>
      </w:r>
      <w:r w:rsidR="00903B92">
        <w:t>s</w:t>
      </w:r>
      <w:r>
        <w:t xml:space="preserve"> being important from an international public health as well as a trade policy perspective.</w:t>
      </w:r>
      <w:r>
        <w:rPr>
          <w:rStyle w:val="FootnoteReference"/>
        </w:rPr>
        <w:footnoteReference w:id="3"/>
      </w:r>
    </w:p>
    <w:p w14:paraId="398C64F9" w14:textId="77777777" w:rsidR="001E0631" w:rsidRDefault="001E0631" w:rsidP="001E0631">
      <w:pPr>
        <w:ind w:firstLine="720"/>
        <w:jc w:val="both"/>
      </w:pPr>
    </w:p>
    <w:p w14:paraId="5A0A85CA" w14:textId="32A85EB4" w:rsidR="001E0631" w:rsidRDefault="001E0631" w:rsidP="001E0631">
      <w:pPr>
        <w:ind w:firstLine="720"/>
        <w:jc w:val="both"/>
      </w:pPr>
      <w:r>
        <w:t xml:space="preserve">It must be acknowledged, at the same time, that, in times of crisis, governments everywhere face immense pressures to respond first and foremost to the needs of their own citizens, and to be seen as so responding. They also face legitimate, practical needs to expedite the procurement of medicines, medical equipment and supplies. Such needs are currently both acute and ubiquitous. In most, if not all countries, it is the public health system that is first in line in providing the hospitals, medicines and health services needed in order to save citizens’ lives. </w:t>
      </w:r>
      <w:r>
        <w:lastRenderedPageBreak/>
        <w:t>Efficient public procurement ensures that the public health system disposes of the medicines, equipment and buildings that are needed in order for it to function, and therefore to save lives</w:t>
      </w:r>
      <w:r w:rsidR="002E4B5B">
        <w:t xml:space="preserve"> and minimize suffering</w:t>
      </w:r>
      <w:r>
        <w:t>, and constitutes a significant share of public expenditure.</w:t>
      </w:r>
      <w:r>
        <w:rPr>
          <w:rStyle w:val="FootnoteReference"/>
        </w:rPr>
        <w:footnoteReference w:id="4"/>
      </w:r>
      <w:r>
        <w:t xml:space="preserve"> </w:t>
      </w:r>
    </w:p>
    <w:p w14:paraId="60BB6E59" w14:textId="77777777" w:rsidR="001E0631" w:rsidRDefault="001E0631" w:rsidP="001E0631">
      <w:pPr>
        <w:ind w:firstLine="720"/>
        <w:jc w:val="both"/>
      </w:pPr>
    </w:p>
    <w:p w14:paraId="11852F9D" w14:textId="3988AA33" w:rsidR="001E0631" w:rsidRDefault="001E0631" w:rsidP="001E0631">
      <w:pPr>
        <w:ind w:firstLine="720"/>
        <w:jc w:val="both"/>
      </w:pPr>
      <w:r>
        <w:t>The framing and implementation of the WTO Agreement on Government Procurement (GPA) reflect and embody these complementary objectives and values.</w:t>
      </w:r>
      <w:r w:rsidRPr="00EB281D">
        <w:rPr>
          <w:rStyle w:val="FootnoteReference"/>
        </w:rPr>
        <w:t xml:space="preserve"> </w:t>
      </w:r>
      <w:r>
        <w:t xml:space="preserve"> The GPA “aims to open up, in a reciprocal manner and to the extent agreed between WTO members, government procurement markets to foreign competition, and make government procurement more transparent.”</w:t>
      </w:r>
      <w:r>
        <w:rPr>
          <w:rStyle w:val="FootnoteReference"/>
        </w:rPr>
        <w:footnoteReference w:id="5"/>
      </w:r>
      <w:r>
        <w:t xml:space="preserve"> It provides </w:t>
      </w:r>
      <w:r w:rsidR="00845BC6">
        <w:t xml:space="preserve">important </w:t>
      </w:r>
      <w:r>
        <w:t>legal guarantees of non-discrimination and fair treatment for the products, services and suppliers of GPA parties in covered procurement activities.</w:t>
      </w:r>
      <w:r>
        <w:rPr>
          <w:rStyle w:val="FootnoteReference"/>
        </w:rPr>
        <w:footnoteReference w:id="6"/>
      </w:r>
      <w:r>
        <w:t xml:space="preserve"> </w:t>
      </w:r>
    </w:p>
    <w:p w14:paraId="3D80675D" w14:textId="77777777" w:rsidR="001E0631" w:rsidRDefault="001E0631" w:rsidP="001E0631">
      <w:pPr>
        <w:ind w:firstLine="720"/>
        <w:jc w:val="both"/>
      </w:pPr>
    </w:p>
    <w:p w14:paraId="020A1FA6" w14:textId="132B6533" w:rsidR="001E0631" w:rsidRDefault="001E0631" w:rsidP="001E0631">
      <w:pPr>
        <w:ind w:firstLine="720"/>
        <w:jc w:val="both"/>
      </w:pPr>
      <w:r>
        <w:t xml:space="preserve"> The GPA is a plurilateral agreement —</w:t>
      </w:r>
      <w:r w:rsidR="00117616">
        <w:t xml:space="preserve"> </w:t>
      </w:r>
      <w:r>
        <w:t xml:space="preserve">open to all WTO members but binding only on the Parties to the Agreement. </w:t>
      </w:r>
      <w:r w:rsidRPr="00D6467D">
        <w:t xml:space="preserve">Currently, 48 WTO members are bound by the Agreement. Australia is the latest member to have acceded to </w:t>
      </w:r>
      <w:r>
        <w:t>it</w:t>
      </w:r>
      <w:r w:rsidRPr="00D6467D">
        <w:t xml:space="preserve">, in 2019. </w:t>
      </w:r>
      <w:r>
        <w:t xml:space="preserve">Each applicant's terms of participation are negotiated with </w:t>
      </w:r>
      <w:r w:rsidR="00B11FB5">
        <w:t xml:space="preserve">the </w:t>
      </w:r>
      <w:r>
        <w:t xml:space="preserve">GPA </w:t>
      </w:r>
      <w:r w:rsidR="00B11FB5">
        <w:t>P</w:t>
      </w:r>
      <w:r>
        <w:t>arties and set out in its respective schedules.</w:t>
      </w:r>
      <w:r>
        <w:rPr>
          <w:rStyle w:val="FootnoteReference"/>
        </w:rPr>
        <w:footnoteReference w:id="7"/>
      </w:r>
      <w:r>
        <w:t xml:space="preserve"> The</w:t>
      </w:r>
      <w:r w:rsidR="00CA656D">
        <w:t xml:space="preserve"> Agreement </w:t>
      </w:r>
      <w:r w:rsidR="00C32314">
        <w:t>was</w:t>
      </w:r>
      <w:r w:rsidR="00CA656D">
        <w:t xml:space="preserve"> modernized</w:t>
      </w:r>
      <w:r w:rsidR="00662C20">
        <w:t xml:space="preserve"> </w:t>
      </w:r>
      <w:r w:rsidR="00C32314">
        <w:t xml:space="preserve">in 2012, </w:t>
      </w:r>
      <w:r w:rsidR="00662C20">
        <w:t>a</w:t>
      </w:r>
      <w:r w:rsidR="00844D4B">
        <w:t>dding greater flexibility for its Parties</w:t>
      </w:r>
      <w:r w:rsidR="00720CBE">
        <w:t>, strengthening governance-related commitments and ensuring greater scope for protection of the environment</w:t>
      </w:r>
      <w:r w:rsidR="00662C20">
        <w:t>.</w:t>
      </w:r>
      <w:r w:rsidR="00844D4B">
        <w:rPr>
          <w:rStyle w:val="FootnoteReference"/>
        </w:rPr>
        <w:footnoteReference w:id="8"/>
      </w:r>
      <w:r w:rsidR="00662C20">
        <w:t xml:space="preserve"> At the time of the renegotiation, the</w:t>
      </w:r>
      <w:r>
        <w:t xml:space="preserve"> total value of procurements covered by the Agreement </w:t>
      </w:r>
      <w:r w:rsidR="00662C20">
        <w:t xml:space="preserve">was </w:t>
      </w:r>
      <w:r>
        <w:t>valued by the WTO Secretariat at around $1.7 trillion annually.</w:t>
      </w:r>
      <w:r>
        <w:rPr>
          <w:rStyle w:val="FootnoteReference"/>
        </w:rPr>
        <w:footnoteReference w:id="9"/>
      </w:r>
      <w:r>
        <w:t xml:space="preserve"> </w:t>
      </w:r>
    </w:p>
    <w:p w14:paraId="596CD402" w14:textId="77777777" w:rsidR="001E0631" w:rsidRDefault="001E0631" w:rsidP="001E0631">
      <w:pPr>
        <w:ind w:firstLine="720"/>
        <w:jc w:val="both"/>
      </w:pPr>
    </w:p>
    <w:p w14:paraId="3F0E2D1E" w14:textId="77777777" w:rsidR="001E0631" w:rsidRDefault="001E0631" w:rsidP="001E0631">
      <w:pPr>
        <w:ind w:firstLine="720"/>
        <w:jc w:val="both"/>
      </w:pPr>
      <w:r>
        <w:t>As will be elaborated below, the coverage of the GPA includes substantial commitments relating to the procurement of medicines, PPEs and other medical equipment and (to a lesser degree) health-related services. As such, under normal circumstances, it plays an essential role in ensuring open markets and efficient trade in such products.</w:t>
      </w:r>
    </w:p>
    <w:p w14:paraId="1DE5A0F5" w14:textId="77777777" w:rsidR="001E0631" w:rsidRDefault="001E0631" w:rsidP="001E0631">
      <w:pPr>
        <w:ind w:firstLine="720"/>
        <w:jc w:val="both"/>
      </w:pPr>
    </w:p>
    <w:p w14:paraId="76FA741A" w14:textId="77777777" w:rsidR="00D61ABA" w:rsidRDefault="001E0631" w:rsidP="001E0631">
      <w:pPr>
        <w:ind w:firstLine="720"/>
        <w:jc w:val="both"/>
      </w:pPr>
      <w:r>
        <w:t xml:space="preserve"> At the same time, the GPA incorporates important flexibilities that preserve the discretion of governments to respond to public health crises and to act decisively in the interests of their citizens, in a timely manner. Of possibly the greatest prominence among these is </w:t>
      </w:r>
      <w:r w:rsidRPr="00486017">
        <w:t>the General Exception in Article III:2 for measures necessary for the protection of human life and health</w:t>
      </w:r>
      <w:r>
        <w:t xml:space="preserve">. Indeed, as will be discussed below, this General Exception provides an important “safety valve” ensuring </w:t>
      </w:r>
      <w:r w:rsidR="00B446C0">
        <w:t xml:space="preserve">that </w:t>
      </w:r>
      <w:r>
        <w:t>the GPA Parties retain broad residual powers to take the exceptional measures that are necessary in the context of public health crises</w:t>
      </w:r>
    </w:p>
    <w:p w14:paraId="509B7689" w14:textId="77777777" w:rsidR="00D61ABA" w:rsidRDefault="00D61ABA" w:rsidP="001E0631">
      <w:pPr>
        <w:ind w:firstLine="720"/>
        <w:jc w:val="both"/>
      </w:pPr>
    </w:p>
    <w:p w14:paraId="0D5C8E4E" w14:textId="5652BB5B" w:rsidR="001E0631" w:rsidRDefault="001E0631" w:rsidP="001E0631">
      <w:pPr>
        <w:ind w:firstLine="720"/>
        <w:jc w:val="both"/>
      </w:pPr>
      <w:r>
        <w:t>Still, the Agreement also contains more nuanced and tailored provisions that arguably provide all the flexibility that governments need to conduct their procurements in a crisis context, while still maintaining desirable transparency and post-procurement accountability. These comprise: (</w:t>
      </w:r>
      <w:proofErr w:type="spellStart"/>
      <w:r>
        <w:t>i</w:t>
      </w:r>
      <w:proofErr w:type="spellEnd"/>
      <w:r>
        <w:t xml:space="preserve">) </w:t>
      </w:r>
      <w:r w:rsidRPr="00486017">
        <w:t>the availability of shorter time periods for tendering processes in particular circumstances</w:t>
      </w:r>
      <w:r>
        <w:t>; and</w:t>
      </w:r>
      <w:r w:rsidRPr="00486017">
        <w:t xml:space="preserve"> </w:t>
      </w:r>
      <w:r>
        <w:t xml:space="preserve">(ii) </w:t>
      </w:r>
      <w:r w:rsidRPr="00486017">
        <w:t xml:space="preserve">the use of limited tendering </w:t>
      </w:r>
      <w:r w:rsidR="00B446C0">
        <w:t xml:space="preserve">(including “direct” or “sole-sourcing”) </w:t>
      </w:r>
      <w:r w:rsidRPr="00486017">
        <w:t>in response to public health emergencies</w:t>
      </w:r>
      <w:r>
        <w:t xml:space="preserve">. Taken together, these flexibilities ensure that the Agreement </w:t>
      </w:r>
      <w:r w:rsidR="00AB4305">
        <w:t xml:space="preserve">absolutely </w:t>
      </w:r>
      <w:r>
        <w:t xml:space="preserve">does not serve as an obstacle to swift, efficient responses by governments in a time of crisis. </w:t>
      </w:r>
    </w:p>
    <w:p w14:paraId="32CBFBC3" w14:textId="77777777" w:rsidR="001E0631" w:rsidRDefault="001E0631" w:rsidP="001E0631">
      <w:pPr>
        <w:ind w:firstLine="720"/>
        <w:jc w:val="both"/>
      </w:pPr>
    </w:p>
    <w:p w14:paraId="70670CE3" w14:textId="1B115ED5" w:rsidR="00857A13" w:rsidRDefault="001E0631" w:rsidP="00207180">
      <w:pPr>
        <w:ind w:firstLine="720"/>
        <w:jc w:val="both"/>
      </w:pPr>
      <w:r>
        <w:t>Part I of this article outlines the GPA’s application to medical and health-related products and equipment. Part II examines the above-noted flexibilities. Part III provides concluding remarks.</w:t>
      </w:r>
    </w:p>
    <w:p w14:paraId="79EA8397" w14:textId="11ADA9A1" w:rsidR="00AE00A0" w:rsidRDefault="00AE00A0" w:rsidP="007A61A7">
      <w:pPr>
        <w:jc w:val="both"/>
      </w:pPr>
    </w:p>
    <w:p w14:paraId="4E513F8F" w14:textId="56E26FDA" w:rsidR="007A61A7" w:rsidRPr="009821F4" w:rsidRDefault="007A61A7" w:rsidP="007A61A7">
      <w:pPr>
        <w:pStyle w:val="ListParagraph"/>
        <w:numPr>
          <w:ilvl w:val="0"/>
          <w:numId w:val="1"/>
        </w:numPr>
        <w:jc w:val="both"/>
        <w:rPr>
          <w:b/>
          <w:bCs/>
        </w:rPr>
      </w:pPr>
      <w:r w:rsidRPr="009821F4">
        <w:rPr>
          <w:b/>
          <w:bCs/>
        </w:rPr>
        <w:t xml:space="preserve">The GPA’s </w:t>
      </w:r>
      <w:r w:rsidR="003E04A4" w:rsidRPr="009821F4">
        <w:rPr>
          <w:b/>
          <w:bCs/>
        </w:rPr>
        <w:t>role in promoting open markets for</w:t>
      </w:r>
      <w:r w:rsidRPr="009821F4">
        <w:rPr>
          <w:b/>
          <w:bCs/>
        </w:rPr>
        <w:t xml:space="preserve"> medical and health-related </w:t>
      </w:r>
      <w:r w:rsidR="00034523">
        <w:rPr>
          <w:b/>
          <w:bCs/>
        </w:rPr>
        <w:t>supplies,</w:t>
      </w:r>
      <w:r w:rsidRPr="009821F4">
        <w:rPr>
          <w:b/>
          <w:bCs/>
        </w:rPr>
        <w:t xml:space="preserve"> equipment</w:t>
      </w:r>
      <w:r w:rsidR="00445D92" w:rsidRPr="009821F4">
        <w:rPr>
          <w:b/>
          <w:bCs/>
        </w:rPr>
        <w:t xml:space="preserve"> </w:t>
      </w:r>
      <w:r w:rsidR="00034523">
        <w:rPr>
          <w:b/>
          <w:bCs/>
        </w:rPr>
        <w:t>and services</w:t>
      </w:r>
    </w:p>
    <w:p w14:paraId="36C87585" w14:textId="72B7F8B7" w:rsidR="007A61A7" w:rsidRDefault="007A61A7" w:rsidP="007A61A7">
      <w:pPr>
        <w:jc w:val="both"/>
      </w:pPr>
    </w:p>
    <w:p w14:paraId="1B06011E" w14:textId="66D7DB70" w:rsidR="00D115D9" w:rsidRDefault="000D6A2D" w:rsidP="00D115D9">
      <w:pPr>
        <w:ind w:firstLine="720"/>
        <w:jc w:val="both"/>
      </w:pPr>
      <w:r w:rsidRPr="000D6A2D">
        <w:t xml:space="preserve">The GPA </w:t>
      </w:r>
      <w:r w:rsidR="00D115D9">
        <w:t>sets out</w:t>
      </w:r>
      <w:r w:rsidRPr="000D6A2D">
        <w:t xml:space="preserve"> legal guarantees of transparency and non-discrimination that are intended to promote fair procedures and efficient trade in participating WTO Members' public procurement markets. The principle of non-discrimination requires, in respect of procurement that is "covered" by the GPA (i.e. specified in relevant schedules and </w:t>
      </w:r>
      <w:r w:rsidR="007B671D">
        <w:t>of</w:t>
      </w:r>
      <w:r w:rsidRPr="000D6A2D">
        <w:t xml:space="preserve"> value above the relevant thresholds), that Parties to the Agreement treat the products, services and suppliers of any Party to the Agreement in a manner "no less favorable" than that extended to their domestic products, services and suppliers. </w:t>
      </w:r>
      <w:r w:rsidR="007B671D">
        <w:t>I</w:t>
      </w:r>
      <w:r w:rsidRPr="000D6A2D">
        <w:t xml:space="preserve">n general, Parties </w:t>
      </w:r>
      <w:r w:rsidR="007B671D">
        <w:t xml:space="preserve">also </w:t>
      </w:r>
      <w:r w:rsidRPr="000D6A2D">
        <w:t>may not discriminate among goods, services or suppliers of other Parties.</w:t>
      </w:r>
      <w:r w:rsidR="007B671D">
        <w:t xml:space="preserve"> These principles are reinforced by important requirements relating to the transparency of procurement processes and </w:t>
      </w:r>
      <w:r w:rsidR="003D4C87">
        <w:t xml:space="preserve">the </w:t>
      </w:r>
      <w:r w:rsidR="007B671D">
        <w:t>fair treatment of individual suppliers.</w:t>
      </w:r>
      <w:r w:rsidR="00737F79">
        <w:rPr>
          <w:rStyle w:val="FootnoteReference"/>
        </w:rPr>
        <w:footnoteReference w:id="10"/>
      </w:r>
      <w:r w:rsidR="007B671D">
        <w:t xml:space="preserve"> </w:t>
      </w:r>
    </w:p>
    <w:p w14:paraId="66BDDF11" w14:textId="77777777" w:rsidR="00D115D9" w:rsidRDefault="00D115D9" w:rsidP="00D115D9">
      <w:pPr>
        <w:ind w:firstLine="720"/>
        <w:jc w:val="both"/>
      </w:pPr>
    </w:p>
    <w:p w14:paraId="64CE5159" w14:textId="12DB79AF" w:rsidR="007A61A7" w:rsidRDefault="00550FF5" w:rsidP="00D115D9">
      <w:pPr>
        <w:ind w:firstLine="720"/>
        <w:jc w:val="both"/>
      </w:pPr>
      <w:r w:rsidRPr="000D6A2D">
        <w:lastRenderedPageBreak/>
        <w:t xml:space="preserve">The </w:t>
      </w:r>
      <w:r>
        <w:t>Agreement</w:t>
      </w:r>
      <w:r w:rsidRPr="000D6A2D">
        <w:t xml:space="preserve"> </w:t>
      </w:r>
      <w:r>
        <w:t>is not merely, however, a bulwark of open and transparent markets in the public procurement sector – it is also intended to promote modern, efficient approaches to public procurement that deliver optimal value for money to citizens. It</w:t>
      </w:r>
      <w:r w:rsidR="000D6A2D" w:rsidRPr="000D6A2D">
        <w:t xml:space="preserve"> encourages the use of </w:t>
      </w:r>
      <w:r w:rsidR="00DB59B9">
        <w:t xml:space="preserve">modern </w:t>
      </w:r>
      <w:r w:rsidR="000D6A2D" w:rsidRPr="000D6A2D">
        <w:t>e-procurement systems and mandates trade</w:t>
      </w:r>
      <w:r w:rsidR="007B671D">
        <w:t>-</w:t>
      </w:r>
      <w:r w:rsidR="000D6A2D" w:rsidRPr="000D6A2D">
        <w:t>facilitating and efficiency</w:t>
      </w:r>
      <w:r w:rsidR="007B671D">
        <w:t>-</w:t>
      </w:r>
      <w:r w:rsidR="000D6A2D" w:rsidRPr="000D6A2D">
        <w:t>enhancing measures, such as the avoidance of technical specifications that pose unnecessary obstacles to international trade and the use of international standards</w:t>
      </w:r>
      <w:r w:rsidR="00DB59B9">
        <w:t>, where feasible</w:t>
      </w:r>
      <w:r w:rsidR="000D6A2D" w:rsidRPr="000D6A2D">
        <w:t xml:space="preserve">. </w:t>
      </w:r>
      <w:r w:rsidR="00DB59B9">
        <w:t xml:space="preserve">The revised version of the Agreement that </w:t>
      </w:r>
      <w:r w:rsidR="004E4161">
        <w:t xml:space="preserve">was adopted in 2012 and </w:t>
      </w:r>
      <w:r w:rsidR="00DB59B9">
        <w:t xml:space="preserve">came into effect in 2014 </w:t>
      </w:r>
      <w:r w:rsidR="004E4161">
        <w:t xml:space="preserve">also </w:t>
      </w:r>
      <w:r w:rsidR="00DB59B9">
        <w:t xml:space="preserve">embodies </w:t>
      </w:r>
      <w:r w:rsidR="007B671D">
        <w:t xml:space="preserve">new </w:t>
      </w:r>
      <w:r w:rsidR="00DB59B9">
        <w:t>substantive obligations for governments to avoid conflicts of interest and to prevent corrupt practices in their procurement activities</w:t>
      </w:r>
      <w:r w:rsidR="00B646B1">
        <w:t>, and new scope for the implementation of measures to protect the environment</w:t>
      </w:r>
      <w:r w:rsidR="00DB59B9">
        <w:t>.</w:t>
      </w:r>
      <w:r w:rsidR="001717D2">
        <w:rPr>
          <w:rStyle w:val="FootnoteReference"/>
        </w:rPr>
        <w:footnoteReference w:id="11"/>
      </w:r>
      <w:r w:rsidR="00D115D9">
        <w:t xml:space="preserve"> </w:t>
      </w:r>
    </w:p>
    <w:p w14:paraId="494C727F" w14:textId="2538A036" w:rsidR="00DB59B9" w:rsidRDefault="00DB59B9" w:rsidP="00D115D9">
      <w:pPr>
        <w:ind w:firstLine="720"/>
        <w:jc w:val="both"/>
      </w:pPr>
    </w:p>
    <w:p w14:paraId="1C80FB58" w14:textId="668E52B8" w:rsidR="00C53136" w:rsidRDefault="00385A78" w:rsidP="00EA32A8">
      <w:pPr>
        <w:ind w:firstLine="720"/>
        <w:jc w:val="both"/>
      </w:pPr>
      <w:r>
        <w:t xml:space="preserve">It is important to </w:t>
      </w:r>
      <w:r w:rsidR="00946B72">
        <w:t>bear in mind</w:t>
      </w:r>
      <w:r>
        <w:t xml:space="preserve"> that the</w:t>
      </w:r>
      <w:r w:rsidR="00EA32A8">
        <w:t xml:space="preserve"> GPA applies only to those government agencies or entities, and</w:t>
      </w:r>
      <w:r>
        <w:t xml:space="preserve"> </w:t>
      </w:r>
      <w:r w:rsidR="00EA32A8">
        <w:t>those goods and services</w:t>
      </w:r>
      <w:r w:rsidR="003F70E3">
        <w:t>,</w:t>
      </w:r>
      <w:r w:rsidR="00EA32A8">
        <w:t xml:space="preserve"> that have been specifically committed by the Parties and </w:t>
      </w:r>
      <w:r w:rsidR="003F70E3">
        <w:t>reflected</w:t>
      </w:r>
      <w:r w:rsidR="00EA32A8">
        <w:t xml:space="preserve"> in their respective schedules of commitments </w:t>
      </w:r>
      <w:r>
        <w:t>(formally, their “</w:t>
      </w:r>
      <w:r w:rsidR="00EA32A8">
        <w:t xml:space="preserve">Appendix I </w:t>
      </w:r>
      <w:r>
        <w:t>Annexes”)</w:t>
      </w:r>
      <w:r w:rsidR="00EA32A8">
        <w:t xml:space="preserve">. </w:t>
      </w:r>
      <w:r>
        <w:t xml:space="preserve">For this reason, the coverage of Parties’ health-related entities, and of relevant goods and services, is of prime interest in </w:t>
      </w:r>
      <w:r w:rsidR="00C53136">
        <w:t>understanding the GPA’s role in the health sector generally.</w:t>
      </w:r>
      <w:r w:rsidR="00690C9F">
        <w:t xml:space="preserve"> The following provides a summary of pertinent details; additional information is provided in two Appendices to this article.</w:t>
      </w:r>
    </w:p>
    <w:p w14:paraId="2C104279" w14:textId="77777777" w:rsidR="00C53136" w:rsidRDefault="00C53136" w:rsidP="00EA32A8">
      <w:pPr>
        <w:ind w:firstLine="720"/>
        <w:jc w:val="both"/>
      </w:pPr>
    </w:p>
    <w:p w14:paraId="499B2D55" w14:textId="673F8584" w:rsidR="00EA32A8" w:rsidRDefault="00916257" w:rsidP="00EA32A8">
      <w:pPr>
        <w:ind w:firstLine="720"/>
        <w:jc w:val="both"/>
      </w:pPr>
      <w:r>
        <w:t>First, a</w:t>
      </w:r>
      <w:r w:rsidR="00690C9F">
        <w:t xml:space="preserve">s shown in Appendix Table 1, </w:t>
      </w:r>
      <w:r>
        <w:t xml:space="preserve">extensive coverage of </w:t>
      </w:r>
      <w:r w:rsidR="00690C9F">
        <w:t>e</w:t>
      </w:r>
      <w:r w:rsidR="00EA32A8">
        <w:t xml:space="preserve">ntities that </w:t>
      </w:r>
      <w:r w:rsidR="00752346">
        <w:t>carry</w:t>
      </w:r>
      <w:r w:rsidR="00EA32A8">
        <w:t xml:space="preserve"> out </w:t>
      </w:r>
      <w:r w:rsidR="00752346">
        <w:t>health</w:t>
      </w:r>
      <w:r w:rsidR="00690C9F">
        <w:t xml:space="preserve"> or</w:t>
      </w:r>
      <w:r w:rsidR="00752346">
        <w:t xml:space="preserve"> </w:t>
      </w:r>
      <w:r w:rsidR="00EA32A8">
        <w:t xml:space="preserve">crisis-related procurements </w:t>
      </w:r>
      <w:r>
        <w:t>is provided</w:t>
      </w:r>
      <w:r w:rsidR="00690C9F">
        <w:t xml:space="preserve"> </w:t>
      </w:r>
      <w:r w:rsidR="00EA32A8">
        <w:t xml:space="preserve">by GPA Parties at the central and sub-central levels of government and as </w:t>
      </w:r>
      <w:r w:rsidR="00690C9F">
        <w:t>“O</w:t>
      </w:r>
      <w:r w:rsidR="00EA32A8">
        <w:t>ther entities</w:t>
      </w:r>
      <w:r w:rsidR="00690C9F">
        <w:t>”</w:t>
      </w:r>
      <w:r w:rsidR="00EA32A8">
        <w:t xml:space="preserve"> subject to government control or influence. Almost all Parties expressly include such entities at the central government level (e.g., federal health ministries, etc.). </w:t>
      </w:r>
      <w:r w:rsidR="00F33E3E">
        <w:t>Four</w:t>
      </w:r>
      <w:r w:rsidR="00EA32A8">
        <w:t xml:space="preserve"> parties additionally cover emergency response</w:t>
      </w:r>
      <w:r w:rsidR="00690C9F">
        <w:t>-</w:t>
      </w:r>
      <w:r w:rsidR="00EA32A8">
        <w:t xml:space="preserve">related entities at the central government level. The majority of Parties that have a sub-central level of government (e.g., states, provinces, cantons, municipalities, etc.) cover health authorities at this level or do not expressly exclude them, and </w:t>
      </w:r>
      <w:r w:rsidR="00F33E3E">
        <w:t>two</w:t>
      </w:r>
      <w:r w:rsidR="00EA32A8">
        <w:t xml:space="preserve"> Parties expressly list emergency response</w:t>
      </w:r>
      <w:r w:rsidR="00690C9F">
        <w:t>-</w:t>
      </w:r>
      <w:r w:rsidR="00EA32A8">
        <w:t>related entities at that level</w:t>
      </w:r>
      <w:r w:rsidR="00BA52AA">
        <w:t xml:space="preserve"> (excluding the rural level)</w:t>
      </w:r>
      <w:r w:rsidR="00EA32A8">
        <w:t>.</w:t>
      </w:r>
      <w:r w:rsidR="00752346">
        <w:rPr>
          <w:rStyle w:val="FootnoteReference"/>
        </w:rPr>
        <w:footnoteReference w:id="12"/>
      </w:r>
      <w:r w:rsidR="00EA32A8">
        <w:t xml:space="preserve"> Furthermore, </w:t>
      </w:r>
      <w:r w:rsidR="00752346">
        <w:t>several</w:t>
      </w:r>
      <w:r w:rsidR="00EA32A8">
        <w:t xml:space="preserve"> Parties cover other types of health-related government entities (e.g., health boards or hospitals) </w:t>
      </w:r>
      <w:r w:rsidR="00BA52AA">
        <w:t>and one Party</w:t>
      </w:r>
      <w:r w:rsidR="00980FAF">
        <w:t>,</w:t>
      </w:r>
      <w:r w:rsidR="00BA52AA">
        <w:t xml:space="preserve"> additionally</w:t>
      </w:r>
      <w:r w:rsidR="00980FAF">
        <w:t>,</w:t>
      </w:r>
      <w:r w:rsidR="00EA32A8">
        <w:t xml:space="preserve"> fire and emergency units as other entities.</w:t>
      </w:r>
    </w:p>
    <w:p w14:paraId="33240A8B" w14:textId="77777777" w:rsidR="00EA32A8" w:rsidRDefault="00EA32A8" w:rsidP="00EA32A8">
      <w:pPr>
        <w:ind w:firstLine="720"/>
        <w:jc w:val="both"/>
      </w:pPr>
    </w:p>
    <w:p w14:paraId="2055C1B9" w14:textId="145CADA5" w:rsidR="006343EC" w:rsidRDefault="00690C9F" w:rsidP="00CF0D66">
      <w:pPr>
        <w:ind w:firstLine="720"/>
        <w:jc w:val="both"/>
      </w:pPr>
      <w:r>
        <w:t>With respect to the GPA’s coverage of goods related to the COVID-19 crisis,</w:t>
      </w:r>
      <w:r w:rsidR="00010607">
        <w:t xml:space="preserve"> </w:t>
      </w:r>
      <w:r>
        <w:t>u</w:t>
      </w:r>
      <w:r w:rsidR="00EA32A8">
        <w:t xml:space="preserve">nless otherwise excluded, the GPA covers </w:t>
      </w:r>
      <w:r w:rsidR="00EA32A8" w:rsidRPr="00690C9F">
        <w:rPr>
          <w:u w:val="single"/>
        </w:rPr>
        <w:t>all</w:t>
      </w:r>
      <w:r w:rsidR="00EA32A8">
        <w:t xml:space="preserve"> goods procured by covered entities in value above the relevant thresholds</w:t>
      </w:r>
      <w:r>
        <w:t>. Such goods include</w:t>
      </w:r>
      <w:r w:rsidR="00EA32A8">
        <w:t xml:space="preserve"> ventilators</w:t>
      </w:r>
      <w:r>
        <w:t>;</w:t>
      </w:r>
      <w:r w:rsidR="00EA32A8">
        <w:t xml:space="preserve"> medical equipment such as gloves, masks and other protective gear</w:t>
      </w:r>
      <w:r>
        <w:t>;</w:t>
      </w:r>
      <w:r w:rsidR="00EA32A8">
        <w:t xml:space="preserve"> </w:t>
      </w:r>
      <w:r>
        <w:t>and</w:t>
      </w:r>
      <w:r w:rsidR="00EA32A8">
        <w:t xml:space="preserve"> medicines and pharmaceutical products procured as goods. </w:t>
      </w:r>
      <w:r w:rsidR="006343EC">
        <w:t>As shown in Table 1 below, n</w:t>
      </w:r>
      <w:r w:rsidR="00EA32A8">
        <w:t xml:space="preserve">o GPA party systematically excludes </w:t>
      </w:r>
      <w:r w:rsidR="006343EC">
        <w:t>such</w:t>
      </w:r>
      <w:r w:rsidR="00EA32A8">
        <w:t xml:space="preserve"> goods from its coverage and only one party has excluded a list of specific goods </w:t>
      </w:r>
      <w:r w:rsidR="006343EC">
        <w:t>procured</w:t>
      </w:r>
      <w:r w:rsidR="00EA32A8">
        <w:t xml:space="preserve"> by its Ministry of Health.</w:t>
      </w:r>
      <w:r w:rsidR="006343EC">
        <w:t xml:space="preserve"> In sum, the range of goods relevant to the COVID-19 crisis that is covered by the GPA is broad. </w:t>
      </w:r>
    </w:p>
    <w:p w14:paraId="427E448B" w14:textId="01186BC8" w:rsidR="00D71E10" w:rsidRDefault="00D71E10" w:rsidP="00CF0D66">
      <w:pPr>
        <w:ind w:firstLine="720"/>
        <w:jc w:val="both"/>
      </w:pPr>
    </w:p>
    <w:p w14:paraId="20EB7E9F" w14:textId="77777777" w:rsidR="00D71E10" w:rsidRDefault="00D71E10" w:rsidP="00CF0D66">
      <w:pPr>
        <w:ind w:firstLine="720"/>
        <w:jc w:val="both"/>
      </w:pPr>
    </w:p>
    <w:p w14:paraId="685136B1" w14:textId="77777777" w:rsidR="009162DB" w:rsidRDefault="009162DB" w:rsidP="00CF0D66">
      <w:pPr>
        <w:ind w:firstLine="720"/>
        <w:jc w:val="both"/>
      </w:pPr>
    </w:p>
    <w:p w14:paraId="3BC61404" w14:textId="77777777" w:rsidR="00CA00FF" w:rsidRDefault="00CA00FF" w:rsidP="00CA00FF"/>
    <w:p w14:paraId="38FAAA1B" w14:textId="6FCF9C95" w:rsidR="00CA00FF" w:rsidRDefault="00CA00FF" w:rsidP="00CA00FF">
      <w:pPr>
        <w:jc w:val="center"/>
        <w:rPr>
          <w:b/>
          <w:bCs/>
        </w:rPr>
      </w:pPr>
      <w:r w:rsidRPr="00CF1161">
        <w:rPr>
          <w:b/>
          <w:bCs/>
        </w:rPr>
        <w:t xml:space="preserve">Table 1 – </w:t>
      </w:r>
      <w:r>
        <w:rPr>
          <w:b/>
          <w:bCs/>
        </w:rPr>
        <w:t>GPA c</w:t>
      </w:r>
      <w:r w:rsidRPr="00CF1161">
        <w:rPr>
          <w:b/>
          <w:bCs/>
        </w:rPr>
        <w:t xml:space="preserve">overage of goods </w:t>
      </w:r>
      <w:r w:rsidR="00184820">
        <w:rPr>
          <w:b/>
          <w:bCs/>
        </w:rPr>
        <w:t>relevant</w:t>
      </w:r>
      <w:r w:rsidRPr="00CF1161">
        <w:rPr>
          <w:b/>
          <w:bCs/>
        </w:rPr>
        <w:t xml:space="preserve"> to the COVID-19 Crisis</w:t>
      </w:r>
    </w:p>
    <w:p w14:paraId="035CA0AF" w14:textId="77777777" w:rsidR="00CA00FF" w:rsidRPr="00C538E2" w:rsidRDefault="00CA00FF" w:rsidP="00CA00FF">
      <w:pPr>
        <w:jc w:val="center"/>
        <w:rPr>
          <w:b/>
          <w:bCs/>
          <w:sz w:val="18"/>
          <w:szCs w:val="18"/>
        </w:rPr>
      </w:pPr>
      <w:r w:rsidRPr="00C538E2">
        <w:rPr>
          <w:b/>
          <w:bCs/>
          <w:sz w:val="18"/>
          <w:szCs w:val="18"/>
        </w:rPr>
        <w:t>(NB: the goods mentioned are covered by all GPA Parties, subject to relevant exceptions including with respect to defense procurement)</w:t>
      </w:r>
    </w:p>
    <w:tbl>
      <w:tblPr>
        <w:tblStyle w:val="GridTable4"/>
        <w:tblW w:w="4942" w:type="pct"/>
        <w:tblLook w:val="04A0" w:firstRow="1" w:lastRow="0" w:firstColumn="1" w:lastColumn="0" w:noHBand="0" w:noVBand="1"/>
      </w:tblPr>
      <w:tblGrid>
        <w:gridCol w:w="1503"/>
        <w:gridCol w:w="1163"/>
        <w:gridCol w:w="1042"/>
        <w:gridCol w:w="1550"/>
        <w:gridCol w:w="1014"/>
        <w:gridCol w:w="2970"/>
      </w:tblGrid>
      <w:tr w:rsidR="005B2DF2" w14:paraId="0D0F0EFD" w14:textId="77777777" w:rsidTr="00FF5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6"/>
            <w:shd w:val="clear" w:color="auto" w:fill="808080" w:themeFill="background1" w:themeFillShade="80"/>
          </w:tcPr>
          <w:p w14:paraId="249F4461" w14:textId="77777777" w:rsidR="005B2DF2" w:rsidRPr="001253DE" w:rsidRDefault="005B2DF2" w:rsidP="00854446">
            <w:pPr>
              <w:rPr>
                <w:lang w:val="en-GB"/>
              </w:rPr>
            </w:pPr>
            <w:r w:rsidRPr="001253DE">
              <w:rPr>
                <w:lang w:val="en-GB"/>
              </w:rPr>
              <w:t xml:space="preserve">Health and </w:t>
            </w:r>
            <w:r>
              <w:rPr>
                <w:lang w:val="en-GB"/>
              </w:rPr>
              <w:t>e</w:t>
            </w:r>
            <w:r w:rsidRPr="001253DE">
              <w:rPr>
                <w:lang w:val="en-GB"/>
              </w:rPr>
              <w:t>mergency</w:t>
            </w:r>
            <w:r>
              <w:rPr>
                <w:lang w:val="en-GB"/>
              </w:rPr>
              <w:t>-r</w:t>
            </w:r>
            <w:r w:rsidRPr="001253DE">
              <w:rPr>
                <w:lang w:val="en-GB"/>
              </w:rPr>
              <w:t xml:space="preserve">elated </w:t>
            </w:r>
            <w:r>
              <w:rPr>
                <w:lang w:val="en-GB"/>
              </w:rPr>
              <w:t>goods covered by GPA Parties, with HS Codes</w:t>
            </w:r>
          </w:p>
        </w:tc>
      </w:tr>
      <w:tr w:rsidR="005B2DF2" w:rsidRPr="00857A13" w14:paraId="139901A2" w14:textId="77777777" w:rsidTr="00FF5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50EEC362" w14:textId="77777777" w:rsidR="00244FA4" w:rsidRPr="00244FA4" w:rsidRDefault="00244FA4" w:rsidP="00854446">
            <w:pPr>
              <w:rPr>
                <w:rFonts w:eastAsia="Times New Roman"/>
                <w:b w:val="0"/>
                <w:bCs w:val="0"/>
                <w:sz w:val="20"/>
                <w:szCs w:val="20"/>
                <w:lang w:val="en-GB"/>
              </w:rPr>
            </w:pPr>
            <w:r w:rsidRPr="00B72A8E">
              <w:rPr>
                <w:rFonts w:eastAsia="Times New Roman"/>
                <w:sz w:val="20"/>
                <w:szCs w:val="20"/>
                <w:lang w:val="en-GB"/>
              </w:rPr>
              <w:t>Pharmaceutical</w:t>
            </w:r>
            <w:r w:rsidRPr="00244FA4">
              <w:rPr>
                <w:rFonts w:eastAsia="Times New Roman"/>
                <w:b w:val="0"/>
                <w:bCs w:val="0"/>
                <w:sz w:val="20"/>
                <w:szCs w:val="20"/>
                <w:lang w:val="en-GB"/>
              </w:rPr>
              <w:t xml:space="preserve"> </w:t>
            </w:r>
            <w:r w:rsidRPr="004A7C21">
              <w:rPr>
                <w:rFonts w:eastAsia="Times New Roman"/>
                <w:sz w:val="20"/>
                <w:szCs w:val="20"/>
                <w:lang w:val="en-GB"/>
              </w:rPr>
              <w:t>products</w:t>
            </w:r>
          </w:p>
          <w:p w14:paraId="72CA7917" w14:textId="77777777" w:rsidR="00244FA4" w:rsidRPr="00244FA4" w:rsidRDefault="00244FA4" w:rsidP="00854446">
            <w:pPr>
              <w:rPr>
                <w:rFonts w:eastAsia="Times New Roman"/>
                <w:b w:val="0"/>
                <w:bCs w:val="0"/>
                <w:sz w:val="20"/>
                <w:szCs w:val="20"/>
                <w:lang w:val="en-GB"/>
              </w:rPr>
            </w:pPr>
            <w:r w:rsidRPr="00244FA4">
              <w:rPr>
                <w:rFonts w:eastAsia="Times New Roman"/>
                <w:b w:val="0"/>
                <w:bCs w:val="0"/>
                <w:sz w:val="20"/>
                <w:szCs w:val="20"/>
                <w:lang w:val="en-GB"/>
              </w:rPr>
              <w:t>(30) – including more specifically</w:t>
            </w:r>
          </w:p>
          <w:p w14:paraId="5C94562C" w14:textId="77777777" w:rsidR="00244FA4" w:rsidRPr="00B72A8E" w:rsidRDefault="00244FA4" w:rsidP="00854446">
            <w:pPr>
              <w:rPr>
                <w:rFonts w:eastAsia="Times New Roman"/>
                <w:sz w:val="20"/>
                <w:szCs w:val="20"/>
              </w:rPr>
            </w:pPr>
            <w:r w:rsidRPr="00B72A8E">
              <w:rPr>
                <w:rFonts w:eastAsia="Times New Roman"/>
                <w:sz w:val="20"/>
                <w:szCs w:val="20"/>
                <w:lang w:val="en-GB"/>
              </w:rPr>
              <w:t>COVID-19 Test kits</w:t>
            </w:r>
            <w:r w:rsidRPr="00B72A8E">
              <w:rPr>
                <w:rStyle w:val="apple-converted-space"/>
                <w:rFonts w:eastAsia="Times New Roman"/>
                <w:sz w:val="20"/>
                <w:szCs w:val="20"/>
                <w:lang w:val="en-GB"/>
              </w:rPr>
              <w:t> </w:t>
            </w:r>
          </w:p>
          <w:p w14:paraId="41BAC8B3" w14:textId="77777777" w:rsidR="00244FA4" w:rsidRPr="00244FA4" w:rsidRDefault="00244FA4" w:rsidP="00854446">
            <w:pPr>
              <w:rPr>
                <w:rFonts w:eastAsia="Times New Roman"/>
                <w:b w:val="0"/>
                <w:bCs w:val="0"/>
                <w:sz w:val="20"/>
                <w:szCs w:val="20"/>
              </w:rPr>
            </w:pPr>
            <w:r w:rsidRPr="00244FA4">
              <w:rPr>
                <w:rFonts w:eastAsia="Times New Roman"/>
                <w:b w:val="0"/>
                <w:bCs w:val="0"/>
                <w:sz w:val="20"/>
                <w:szCs w:val="20"/>
                <w:lang w:val="en-GB"/>
              </w:rPr>
              <w:t>Diagnostic reagents based on polymerase chain reaction (PCR) nucleic acid test (3822.00).</w:t>
            </w:r>
          </w:p>
          <w:p w14:paraId="35B25864" w14:textId="77777777" w:rsidR="00244FA4" w:rsidRPr="00244FA4" w:rsidRDefault="00244FA4" w:rsidP="00854446">
            <w:pPr>
              <w:rPr>
                <w:rFonts w:eastAsia="Times New Roman"/>
                <w:b w:val="0"/>
                <w:bCs w:val="0"/>
                <w:sz w:val="20"/>
                <w:szCs w:val="20"/>
              </w:rPr>
            </w:pPr>
            <w:r w:rsidRPr="00244FA4">
              <w:rPr>
                <w:rFonts w:eastAsia="Times New Roman"/>
                <w:b w:val="0"/>
                <w:bCs w:val="0"/>
                <w:sz w:val="20"/>
                <w:szCs w:val="20"/>
                <w:lang w:val="en-GB"/>
              </w:rPr>
              <w:t>Diagnostic reagents based on immunological reactions</w:t>
            </w:r>
            <w:r w:rsidRPr="00244FA4">
              <w:rPr>
                <w:rStyle w:val="apple-converted-space"/>
                <w:rFonts w:eastAsia="Times New Roman"/>
                <w:b w:val="0"/>
                <w:bCs w:val="0"/>
                <w:sz w:val="20"/>
                <w:szCs w:val="20"/>
                <w:lang w:val="en-GB"/>
              </w:rPr>
              <w:t> </w:t>
            </w:r>
          </w:p>
          <w:p w14:paraId="15F5B43F" w14:textId="77777777" w:rsidR="00244FA4" w:rsidRPr="00857A13" w:rsidRDefault="00244FA4" w:rsidP="00854446">
            <w:pPr>
              <w:rPr>
                <w:rFonts w:eastAsia="Times New Roman"/>
                <w:sz w:val="20"/>
                <w:szCs w:val="20"/>
              </w:rPr>
            </w:pPr>
            <w:r w:rsidRPr="00244FA4">
              <w:rPr>
                <w:rFonts w:eastAsia="Times New Roman"/>
                <w:b w:val="0"/>
                <w:bCs w:val="0"/>
                <w:sz w:val="20"/>
                <w:szCs w:val="20"/>
                <w:lang w:val="en-GB"/>
              </w:rPr>
              <w:t>(3002.15).</w:t>
            </w:r>
          </w:p>
        </w:tc>
        <w:tc>
          <w:tcPr>
            <w:tcW w:w="0" w:type="pct"/>
            <w:shd w:val="clear" w:color="auto" w:fill="F2F2F2" w:themeFill="background1" w:themeFillShade="F2"/>
          </w:tcPr>
          <w:p w14:paraId="0E10860B"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57A13">
              <w:rPr>
                <w:rFonts w:eastAsia="Times New Roman"/>
                <w:sz w:val="20"/>
                <w:szCs w:val="20"/>
                <w:lang w:val="en-GB"/>
              </w:rPr>
              <w:t xml:space="preserve">Textile </w:t>
            </w:r>
            <w:r w:rsidRPr="00B72A8E">
              <w:rPr>
                <w:rFonts w:eastAsia="Times New Roman"/>
                <w:b/>
                <w:bCs/>
                <w:sz w:val="20"/>
                <w:szCs w:val="20"/>
                <w:lang w:val="en-GB"/>
              </w:rPr>
              <w:t>face-masks</w:t>
            </w:r>
            <w:r w:rsidRPr="00857A13">
              <w:rPr>
                <w:rFonts w:eastAsia="Times New Roman"/>
                <w:sz w:val="20"/>
                <w:szCs w:val="20"/>
                <w:lang w:val="en-GB"/>
              </w:rPr>
              <w:t>, without a replaceable filter or mechanical parts, including surgical masks and disposable face-masks made of non-woven textiles</w:t>
            </w:r>
            <w:r>
              <w:rPr>
                <w:rFonts w:eastAsia="Times New Roman"/>
                <w:sz w:val="20"/>
                <w:szCs w:val="20"/>
                <w:lang w:val="en-GB"/>
              </w:rPr>
              <w:t xml:space="preserve"> (</w:t>
            </w:r>
            <w:r w:rsidRPr="00857A13">
              <w:rPr>
                <w:rFonts w:eastAsia="Times New Roman"/>
                <w:sz w:val="20"/>
                <w:szCs w:val="20"/>
                <w:lang w:val="en-GB"/>
              </w:rPr>
              <w:t>6307.90</w:t>
            </w:r>
            <w:r>
              <w:rPr>
                <w:rFonts w:eastAsia="Times New Roman"/>
                <w:sz w:val="20"/>
                <w:szCs w:val="20"/>
                <w:lang w:val="en-GB"/>
              </w:rPr>
              <w:t>).</w:t>
            </w:r>
          </w:p>
          <w:p w14:paraId="2AF30D78"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0" w:type="pct"/>
            <w:shd w:val="clear" w:color="auto" w:fill="F2F2F2" w:themeFill="background1" w:themeFillShade="F2"/>
          </w:tcPr>
          <w:p w14:paraId="49587448"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57A13">
              <w:rPr>
                <w:rFonts w:eastAsia="Times New Roman"/>
                <w:sz w:val="20"/>
                <w:szCs w:val="20"/>
                <w:lang w:val="en-GB"/>
              </w:rPr>
              <w:t xml:space="preserve">Surgical </w:t>
            </w:r>
            <w:r w:rsidRPr="00B72A8E">
              <w:rPr>
                <w:rFonts w:eastAsia="Times New Roman"/>
                <w:b/>
                <w:bCs/>
                <w:sz w:val="20"/>
                <w:szCs w:val="20"/>
                <w:lang w:val="en-GB"/>
              </w:rPr>
              <w:t>rubber gloves</w:t>
            </w:r>
            <w:r w:rsidRPr="00857A13">
              <w:rPr>
                <w:rFonts w:eastAsia="Times New Roman"/>
                <w:sz w:val="20"/>
                <w:szCs w:val="20"/>
                <w:lang w:val="en-GB"/>
              </w:rPr>
              <w:t xml:space="preserve"> </w:t>
            </w:r>
            <w:r>
              <w:rPr>
                <w:rFonts w:eastAsia="Times New Roman"/>
                <w:sz w:val="20"/>
                <w:szCs w:val="20"/>
                <w:lang w:val="en-GB"/>
              </w:rPr>
              <w:t>(</w:t>
            </w:r>
            <w:r w:rsidRPr="00857A13">
              <w:rPr>
                <w:rFonts w:eastAsia="Times New Roman"/>
                <w:sz w:val="20"/>
                <w:szCs w:val="20"/>
                <w:lang w:val="en-GB"/>
              </w:rPr>
              <w:t>4015.11</w:t>
            </w:r>
            <w:r>
              <w:rPr>
                <w:rFonts w:eastAsia="Times New Roman"/>
                <w:sz w:val="20"/>
                <w:szCs w:val="20"/>
                <w:lang w:val="en-GB"/>
              </w:rPr>
              <w:t>)</w:t>
            </w:r>
            <w:r w:rsidRPr="00857A13">
              <w:rPr>
                <w:rStyle w:val="apple-converted-space"/>
                <w:rFonts w:eastAsia="Times New Roman"/>
                <w:sz w:val="20"/>
                <w:szCs w:val="20"/>
                <w:lang w:val="en-GB"/>
              </w:rPr>
              <w:t> </w:t>
            </w:r>
          </w:p>
          <w:p w14:paraId="6171D721"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57A13">
              <w:rPr>
                <w:rFonts w:eastAsia="Times New Roman"/>
                <w:sz w:val="20"/>
                <w:szCs w:val="20"/>
                <w:lang w:val="en-GB"/>
              </w:rPr>
              <w:t>Other rubber gloves</w:t>
            </w:r>
            <w:r>
              <w:rPr>
                <w:rFonts w:eastAsia="Times New Roman"/>
                <w:sz w:val="20"/>
                <w:szCs w:val="20"/>
                <w:lang w:val="en-GB"/>
              </w:rPr>
              <w:t xml:space="preserve"> (</w:t>
            </w:r>
            <w:r w:rsidRPr="00857A13">
              <w:rPr>
                <w:rFonts w:eastAsia="Times New Roman"/>
                <w:sz w:val="20"/>
                <w:szCs w:val="20"/>
                <w:lang w:val="en-GB"/>
              </w:rPr>
              <w:t>4015.19</w:t>
            </w:r>
            <w:r>
              <w:rPr>
                <w:rFonts w:eastAsia="Times New Roman"/>
                <w:sz w:val="20"/>
                <w:szCs w:val="20"/>
                <w:lang w:val="en-GB"/>
              </w:rPr>
              <w:t>)</w:t>
            </w:r>
          </w:p>
          <w:p w14:paraId="6756F92F"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0" w:type="pct"/>
            <w:shd w:val="clear" w:color="auto" w:fill="F2F2F2" w:themeFill="background1" w:themeFillShade="F2"/>
          </w:tcPr>
          <w:p w14:paraId="0EA26502"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72A8E">
              <w:rPr>
                <w:rFonts w:eastAsia="Times New Roman"/>
                <w:b/>
                <w:bCs/>
                <w:sz w:val="20"/>
                <w:szCs w:val="20"/>
                <w:lang w:val="en-GB"/>
              </w:rPr>
              <w:t>Protective garments</w:t>
            </w:r>
            <w:r w:rsidRPr="00857A13">
              <w:rPr>
                <w:rFonts w:eastAsia="Times New Roman"/>
                <w:sz w:val="20"/>
                <w:szCs w:val="20"/>
                <w:lang w:val="en-GB"/>
              </w:rPr>
              <w:t xml:space="preserve"> for surgical/medical use made up of felt or nonwovens whether or not impregnated, coated, covered or laminated (fabrics of heading 56.02 or 56.03).  This includes spun-bonded garments</w:t>
            </w:r>
            <w:r>
              <w:rPr>
                <w:rFonts w:eastAsia="Times New Roman"/>
                <w:sz w:val="20"/>
                <w:szCs w:val="20"/>
                <w:lang w:val="en-GB"/>
              </w:rPr>
              <w:t xml:space="preserve"> (</w:t>
            </w:r>
            <w:r w:rsidRPr="00857A13">
              <w:rPr>
                <w:rFonts w:eastAsia="Times New Roman"/>
                <w:sz w:val="20"/>
                <w:szCs w:val="20"/>
                <w:lang w:val="en-GB"/>
              </w:rPr>
              <w:t>6210.10</w:t>
            </w:r>
            <w:r>
              <w:rPr>
                <w:rFonts w:eastAsia="Times New Roman"/>
                <w:sz w:val="20"/>
                <w:szCs w:val="20"/>
                <w:lang w:val="en-GB"/>
              </w:rPr>
              <w:t>)</w:t>
            </w:r>
          </w:p>
          <w:p w14:paraId="0709A48B"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0" w:type="pct"/>
            <w:shd w:val="clear" w:color="auto" w:fill="F2F2F2" w:themeFill="background1" w:themeFillShade="F2"/>
          </w:tcPr>
          <w:p w14:paraId="17FA1F6C" w14:textId="77777777" w:rsidR="00244FA4" w:rsidRPr="00B72A8E"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B72A8E">
              <w:rPr>
                <w:rFonts w:eastAsia="Times New Roman"/>
                <w:b/>
                <w:bCs/>
                <w:sz w:val="20"/>
                <w:szCs w:val="20"/>
                <w:lang w:val="en-GB"/>
              </w:rPr>
              <w:t>Hand sanitizer</w:t>
            </w:r>
            <w:r w:rsidRPr="00B72A8E">
              <w:rPr>
                <w:rStyle w:val="apple-converted-space"/>
                <w:rFonts w:eastAsia="Times New Roman"/>
                <w:b/>
                <w:bCs/>
                <w:sz w:val="20"/>
                <w:szCs w:val="20"/>
                <w:lang w:val="en-GB"/>
              </w:rPr>
              <w:t> </w:t>
            </w:r>
          </w:p>
          <w:p w14:paraId="71942B2D"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57A13">
              <w:rPr>
                <w:rFonts w:eastAsia="Times New Roman"/>
                <w:sz w:val="20"/>
                <w:szCs w:val="20"/>
                <w:lang w:val="en-GB"/>
              </w:rPr>
              <w:t>A liquid or gel generally used to decrease infectious agents on the hands</w:t>
            </w:r>
            <w:r w:rsidRPr="00857A13">
              <w:rPr>
                <w:rFonts w:ascii="MS Gothic" w:eastAsia="MS Gothic" w:hAnsi="MS Gothic"/>
                <w:sz w:val="20"/>
                <w:szCs w:val="20"/>
                <w:lang w:val="en-GB"/>
              </w:rPr>
              <w:t xml:space="preserve">, </w:t>
            </w:r>
            <w:r w:rsidRPr="00857A13">
              <w:rPr>
                <w:rFonts w:eastAsia="Times New Roman"/>
                <w:sz w:val="20"/>
                <w:szCs w:val="20"/>
                <w:lang w:val="en-GB"/>
              </w:rPr>
              <w:t>alcohol-based type.</w:t>
            </w:r>
            <w:r w:rsidRPr="00857A13">
              <w:rPr>
                <w:rStyle w:val="apple-converted-space"/>
                <w:rFonts w:eastAsia="Times New Roman"/>
                <w:sz w:val="20"/>
                <w:szCs w:val="20"/>
                <w:lang w:val="en-GB"/>
              </w:rPr>
              <w:t> </w:t>
            </w:r>
          </w:p>
          <w:p w14:paraId="5C495F59"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lang w:val="en-GB"/>
              </w:rPr>
              <w:t>(</w:t>
            </w:r>
            <w:r w:rsidRPr="00857A13">
              <w:rPr>
                <w:rFonts w:eastAsia="Times New Roman"/>
                <w:sz w:val="20"/>
                <w:szCs w:val="20"/>
                <w:lang w:val="en-GB"/>
              </w:rPr>
              <w:t>3808.94</w:t>
            </w:r>
            <w:r>
              <w:rPr>
                <w:rFonts w:eastAsia="Times New Roman"/>
                <w:sz w:val="20"/>
                <w:szCs w:val="20"/>
                <w:lang w:val="en-GB"/>
              </w:rPr>
              <w:t>)</w:t>
            </w:r>
          </w:p>
          <w:p w14:paraId="05DBB8DF"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0" w:type="pct"/>
            <w:shd w:val="clear" w:color="auto" w:fill="F2F2F2" w:themeFill="background1" w:themeFillShade="F2"/>
          </w:tcPr>
          <w:p w14:paraId="594FE6D4"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72A8E">
              <w:rPr>
                <w:rFonts w:eastAsia="Times New Roman"/>
                <w:b/>
                <w:bCs/>
                <w:sz w:val="20"/>
                <w:szCs w:val="20"/>
                <w:lang w:val="en-GB"/>
              </w:rPr>
              <w:t>Medical ventilators</w:t>
            </w:r>
            <w:r w:rsidRPr="00857A13">
              <w:rPr>
                <w:rFonts w:eastAsia="Times New Roman"/>
                <w:sz w:val="20"/>
                <w:szCs w:val="20"/>
                <w:lang w:val="en-GB"/>
              </w:rPr>
              <w:t xml:space="preserve"> (artificial respiration apparatus)</w:t>
            </w:r>
            <w:r w:rsidRPr="00857A13">
              <w:rPr>
                <w:rStyle w:val="apple-converted-space"/>
                <w:rFonts w:eastAsia="Times New Roman"/>
                <w:sz w:val="20"/>
                <w:szCs w:val="20"/>
                <w:lang w:val="en-GB"/>
              </w:rPr>
              <w:t> </w:t>
            </w:r>
          </w:p>
          <w:p w14:paraId="6957261C"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57A13">
              <w:rPr>
                <w:rFonts w:eastAsia="Times New Roman"/>
                <w:sz w:val="20"/>
                <w:szCs w:val="20"/>
                <w:lang w:val="en-GB"/>
              </w:rPr>
              <w:t>Provides mechanical ventilation by moving breathable air into and out of the lungs</w:t>
            </w:r>
            <w:r>
              <w:rPr>
                <w:rFonts w:eastAsia="Times New Roman"/>
                <w:sz w:val="20"/>
                <w:szCs w:val="20"/>
                <w:lang w:val="en-GB"/>
              </w:rPr>
              <w:t xml:space="preserve"> (</w:t>
            </w:r>
            <w:r w:rsidRPr="00857A13">
              <w:rPr>
                <w:rFonts w:eastAsia="Times New Roman"/>
                <w:sz w:val="20"/>
                <w:szCs w:val="20"/>
                <w:lang w:val="en-GB"/>
              </w:rPr>
              <w:t>9019.20</w:t>
            </w:r>
            <w:r>
              <w:rPr>
                <w:rFonts w:eastAsia="Times New Roman"/>
                <w:sz w:val="20"/>
                <w:szCs w:val="20"/>
                <w:lang w:val="en-GB"/>
              </w:rPr>
              <w:t>).</w:t>
            </w:r>
          </w:p>
          <w:p w14:paraId="4F5DEADF"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72A8E">
              <w:rPr>
                <w:rFonts w:eastAsia="Times New Roman"/>
                <w:b/>
                <w:bCs/>
                <w:sz w:val="20"/>
                <w:szCs w:val="20"/>
                <w:lang w:val="en-GB"/>
              </w:rPr>
              <w:t>Intubation kits </w:t>
            </w:r>
            <w:r>
              <w:rPr>
                <w:rFonts w:eastAsia="Times New Roman"/>
                <w:sz w:val="20"/>
                <w:szCs w:val="20"/>
                <w:lang w:val="en-GB"/>
              </w:rPr>
              <w:t>(</w:t>
            </w:r>
            <w:r w:rsidRPr="00857A13">
              <w:rPr>
                <w:rFonts w:eastAsia="Times New Roman"/>
                <w:sz w:val="20"/>
                <w:szCs w:val="20"/>
                <w:lang w:val="en-GB"/>
              </w:rPr>
              <w:t>9018.90</w:t>
            </w:r>
            <w:r>
              <w:rPr>
                <w:rFonts w:eastAsia="Times New Roman"/>
                <w:sz w:val="20"/>
                <w:szCs w:val="20"/>
                <w:lang w:val="en-GB"/>
              </w:rPr>
              <w:t>).</w:t>
            </w:r>
          </w:p>
          <w:p w14:paraId="610839A9" w14:textId="77777777" w:rsidR="00244FA4" w:rsidRPr="00857A13" w:rsidRDefault="00244FA4" w:rsidP="00854446">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244FA4" w:rsidRPr="00857A13" w14:paraId="01EBA54C" w14:textId="77777777" w:rsidTr="00FF5A02">
        <w:trPr>
          <w:trHeight w:val="26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tcPr>
          <w:p w14:paraId="5643CBBB" w14:textId="5E9199C4" w:rsidR="00244FA4" w:rsidRPr="004A7C21" w:rsidRDefault="00244FA4" w:rsidP="00854446">
            <w:pPr>
              <w:rPr>
                <w:b w:val="0"/>
                <w:bCs w:val="0"/>
                <w:sz w:val="20"/>
                <w:szCs w:val="20"/>
              </w:rPr>
            </w:pPr>
            <w:r w:rsidRPr="00BA727C">
              <w:rPr>
                <w:rFonts w:eastAsia="Times New Roman"/>
                <w:b w:val="0"/>
                <w:bCs w:val="0"/>
                <w:sz w:val="20"/>
                <w:szCs w:val="20"/>
                <w:lang w:val="en-GB"/>
              </w:rPr>
              <w:t xml:space="preserve">Source: </w:t>
            </w:r>
            <w:r w:rsidR="00BA727C" w:rsidRPr="00BA727C">
              <w:rPr>
                <w:rFonts w:eastAsia="Times New Roman"/>
                <w:b w:val="0"/>
                <w:bCs w:val="0"/>
                <w:sz w:val="20"/>
                <w:szCs w:val="20"/>
                <w:lang w:val="en-GB"/>
              </w:rPr>
              <w:t xml:space="preserve">The above coverage table has been </w:t>
            </w:r>
            <w:r w:rsidRPr="00BA727C">
              <w:rPr>
                <w:rFonts w:eastAsia="Times New Roman"/>
                <w:b w:val="0"/>
                <w:bCs w:val="0"/>
                <w:sz w:val="20"/>
                <w:szCs w:val="20"/>
                <w:lang w:val="en-GB"/>
              </w:rPr>
              <w:t xml:space="preserve">compiled by the authors using the “e-GPA” market access information tool (see: </w:t>
            </w:r>
            <w:hyperlink r:id="rId11" w:history="1">
              <w:r w:rsidRPr="00BA727C">
                <w:rPr>
                  <w:rStyle w:val="Hyperlink"/>
                  <w:b w:val="0"/>
                  <w:bCs w:val="0"/>
                  <w:sz w:val="20"/>
                  <w:szCs w:val="20"/>
                </w:rPr>
                <w:t>https://e-gpa.wto.org/</w:t>
              </w:r>
            </w:hyperlink>
            <w:r w:rsidRPr="00BA727C">
              <w:rPr>
                <w:b w:val="0"/>
                <w:bCs w:val="0"/>
                <w:sz w:val="20"/>
                <w:szCs w:val="20"/>
              </w:rPr>
              <w:t>).</w:t>
            </w:r>
            <w:r w:rsidR="004A7C21">
              <w:rPr>
                <w:b w:val="0"/>
                <w:bCs w:val="0"/>
                <w:sz w:val="20"/>
                <w:szCs w:val="20"/>
              </w:rPr>
              <w:t xml:space="preserve"> </w:t>
            </w:r>
            <w:r w:rsidR="004A7C21" w:rsidRPr="00BA727C">
              <w:rPr>
                <w:rFonts w:eastAsia="Times New Roman"/>
                <w:b w:val="0"/>
                <w:bCs w:val="0"/>
                <w:sz w:val="20"/>
                <w:szCs w:val="20"/>
                <w:lang w:val="en-GB"/>
              </w:rPr>
              <w:t xml:space="preserve">For an overview of HS codes, see </w:t>
            </w:r>
            <w:hyperlink r:id="rId12" w:history="1">
              <w:r w:rsidR="004A7C21" w:rsidRPr="00BA727C">
                <w:rPr>
                  <w:rStyle w:val="Hyperlink"/>
                  <w:rFonts w:eastAsia="Times New Roman"/>
                  <w:b w:val="0"/>
                  <w:bCs w:val="0"/>
                  <w:sz w:val="20"/>
                  <w:szCs w:val="20"/>
                  <w:lang w:val="en-GB"/>
                </w:rPr>
                <w:t>http://www.wcoomd.org/en/topics/nomenclature/instrument-and-tools/tools-to-assist-with-the-classification-in-the-hs/hs-online.aspx</w:t>
              </w:r>
            </w:hyperlink>
            <w:r w:rsidR="004A7C21" w:rsidRPr="00BA727C">
              <w:rPr>
                <w:rFonts w:eastAsia="Times New Roman"/>
                <w:b w:val="0"/>
                <w:bCs w:val="0"/>
                <w:sz w:val="20"/>
                <w:szCs w:val="20"/>
                <w:lang w:val="en-GB"/>
              </w:rPr>
              <w:t>.</w:t>
            </w:r>
          </w:p>
        </w:tc>
      </w:tr>
    </w:tbl>
    <w:p w14:paraId="22A95ADD" w14:textId="77777777" w:rsidR="00C74B56" w:rsidRDefault="00C74B56" w:rsidP="00150825"/>
    <w:p w14:paraId="40D037B5" w14:textId="4D93D7FE" w:rsidR="00B71E96" w:rsidRDefault="003526D2" w:rsidP="00B71E96">
      <w:pPr>
        <w:ind w:firstLine="720"/>
      </w:pPr>
      <w:r>
        <w:t xml:space="preserve">With regard to the coverage of health-related services under the GPA, as reflected in Appendix Table 2, </w:t>
      </w:r>
      <w:r w:rsidR="00773BF6">
        <w:t xml:space="preserve">only </w:t>
      </w:r>
      <w:r w:rsidR="00C21EE5">
        <w:t>three</w:t>
      </w:r>
      <w:r>
        <w:t xml:space="preserve"> GPA Parties </w:t>
      </w:r>
      <w:r w:rsidR="00A05241">
        <w:t xml:space="preserve">(Armenia, Ukraine and the United States) </w:t>
      </w:r>
      <w:r>
        <w:t>currently cover such services.</w:t>
      </w:r>
      <w:bookmarkStart w:id="1" w:name="_Ref37863657"/>
      <w:r w:rsidR="00544E9E">
        <w:rPr>
          <w:rStyle w:val="FootnoteReference"/>
        </w:rPr>
        <w:footnoteReference w:id="13"/>
      </w:r>
      <w:bookmarkEnd w:id="1"/>
      <w:r>
        <w:t xml:space="preserve"> Parties also generally cover construction services across the board, including works for health buildings (CPC code 5128) that may be relevant to ad-hoc procurement of health facilities and/or shelters. </w:t>
      </w:r>
      <w:r w:rsidR="00BF4EEE">
        <w:t>A</w:t>
      </w:r>
      <w:r>
        <w:t>ll these categories of procurements are subject to the thresholds that are set out in the GPA Parties’ schedules.</w:t>
      </w:r>
      <w:r>
        <w:rPr>
          <w:rStyle w:val="FootnoteReference"/>
        </w:rPr>
        <w:footnoteReference w:id="14"/>
      </w:r>
    </w:p>
    <w:p w14:paraId="2F0D2CE3" w14:textId="474BC4F8" w:rsidR="003E04A4" w:rsidRPr="003526D2" w:rsidRDefault="001F5F05" w:rsidP="00B71E96">
      <w:pPr>
        <w:ind w:firstLine="720"/>
      </w:pPr>
      <w:r w:rsidRPr="00857A13">
        <w:rPr>
          <w:color w:val="FFFFFF" w:themeColor="background1"/>
          <w:lang w:val="en-GB"/>
        </w:rPr>
        <w:t>C</w:t>
      </w:r>
      <w:r w:rsidR="00B71E96">
        <w:rPr>
          <w:color w:val="FFFFFF" w:themeColor="background1"/>
          <w:lang w:val="en-GB"/>
        </w:rPr>
        <w:t xml:space="preserve"> </w:t>
      </w:r>
    </w:p>
    <w:p w14:paraId="0866F151" w14:textId="22C23263" w:rsidR="00EA32A8" w:rsidRDefault="00CF0D66" w:rsidP="00CF0D66">
      <w:pPr>
        <w:ind w:firstLine="720"/>
        <w:jc w:val="both"/>
      </w:pPr>
      <w:r>
        <w:t>In sum,</w:t>
      </w:r>
      <w:r w:rsidR="00EA32A8">
        <w:t xml:space="preserve"> </w:t>
      </w:r>
      <w:r w:rsidR="00313395">
        <w:t xml:space="preserve">a significant </w:t>
      </w:r>
      <w:r w:rsidR="00B84F8B">
        <w:t>range</w:t>
      </w:r>
      <w:r w:rsidR="00313395">
        <w:t xml:space="preserve"> of </w:t>
      </w:r>
      <w:r w:rsidR="007635AC">
        <w:t>the goods and services that</w:t>
      </w:r>
      <w:r w:rsidR="00EA32A8">
        <w:t xml:space="preserve"> </w:t>
      </w:r>
      <w:r w:rsidR="00313395">
        <w:t xml:space="preserve">are </w:t>
      </w:r>
      <w:r w:rsidR="007635AC">
        <w:t>being</w:t>
      </w:r>
      <w:r w:rsidR="00107EC6">
        <w:t xml:space="preserve"> or may be</w:t>
      </w:r>
      <w:r w:rsidR="007635AC">
        <w:t xml:space="preserve"> procured by governments in response to the COVID-19 crisis are covered by the rules and requirements of </w:t>
      </w:r>
      <w:r w:rsidR="007635AC">
        <w:lastRenderedPageBreak/>
        <w:t>the GPA, subject (importantly) to relevant flexibilities that are built into the Agreement</w:t>
      </w:r>
      <w:r w:rsidR="00E35837">
        <w:t xml:space="preserve"> (to be discussed below)</w:t>
      </w:r>
      <w:r w:rsidR="007635AC">
        <w:t xml:space="preserve">. </w:t>
      </w:r>
      <w:r w:rsidR="001A7A2C">
        <w:t xml:space="preserve">Both these commitments and the flexibilities that are available to meet the current crisis did not arise by happenstance – they reflect careful foresight and negotiation by the representatives of the GPA Parties over decades. </w:t>
      </w:r>
      <w:r w:rsidR="003E1D10">
        <w:t>Taken together, the</w:t>
      </w:r>
      <w:r w:rsidR="001D20F1">
        <w:t>y</w:t>
      </w:r>
      <w:r w:rsidR="003E1D10">
        <w:t xml:space="preserve"> </w:t>
      </w:r>
      <w:r w:rsidR="00010607">
        <w:t xml:space="preserve">illustrate both the usefulness of the Agreement as a tool for </w:t>
      </w:r>
      <w:r w:rsidR="00D13F7A">
        <w:t>maintaining open and transparent</w:t>
      </w:r>
      <w:r w:rsidR="00010607">
        <w:t xml:space="preserve"> markets and the stark fact that it will not stand in the way of prudent, practical measures by governments </w:t>
      </w:r>
      <w:r w:rsidR="00B81D2D">
        <w:t xml:space="preserve">that are necessary </w:t>
      </w:r>
      <w:r w:rsidR="00010607">
        <w:t xml:space="preserve">to respond to the crisis. </w:t>
      </w:r>
    </w:p>
    <w:p w14:paraId="4197C395" w14:textId="77777777" w:rsidR="007A61A7" w:rsidRDefault="007A61A7" w:rsidP="007A61A7">
      <w:pPr>
        <w:jc w:val="both"/>
      </w:pPr>
    </w:p>
    <w:p w14:paraId="6FC85AB6" w14:textId="0E531376" w:rsidR="007A61A7" w:rsidRPr="00A45E30" w:rsidRDefault="007A61A7" w:rsidP="007A61A7">
      <w:pPr>
        <w:pStyle w:val="ListParagraph"/>
        <w:numPr>
          <w:ilvl w:val="0"/>
          <w:numId w:val="1"/>
        </w:numPr>
        <w:jc w:val="both"/>
        <w:rPr>
          <w:rFonts w:cstheme="minorHAnsi"/>
          <w:b/>
          <w:bCs/>
        </w:rPr>
      </w:pPr>
      <w:r w:rsidRPr="00A45E30">
        <w:rPr>
          <w:rFonts w:cstheme="minorHAnsi"/>
          <w:b/>
          <w:bCs/>
        </w:rPr>
        <w:t>The flexibilities available to GPA member governments in a time of crisis</w:t>
      </w:r>
    </w:p>
    <w:p w14:paraId="371FB744" w14:textId="334CA3E7" w:rsidR="007A61A7" w:rsidRDefault="007A61A7" w:rsidP="0025772A">
      <w:pPr>
        <w:ind w:left="360"/>
        <w:jc w:val="both"/>
        <w:rPr>
          <w:rFonts w:cstheme="minorHAnsi"/>
        </w:rPr>
      </w:pPr>
    </w:p>
    <w:p w14:paraId="04C486DF" w14:textId="081DF3A9" w:rsidR="00453FD9" w:rsidRDefault="002B1C78" w:rsidP="00A45E30">
      <w:pPr>
        <w:ind w:firstLine="720"/>
        <w:jc w:val="both"/>
        <w:rPr>
          <w:rFonts w:cstheme="minorHAnsi"/>
        </w:rPr>
      </w:pPr>
      <w:r>
        <w:rPr>
          <w:rFonts w:cstheme="minorHAnsi"/>
        </w:rPr>
        <w:t>Under normal circumstances, the GPA</w:t>
      </w:r>
      <w:r w:rsidR="00BF4EEE">
        <w:rPr>
          <w:rFonts w:cstheme="minorHAnsi"/>
        </w:rPr>
        <w:t xml:space="preserve"> requires</w:t>
      </w:r>
      <w:r>
        <w:rPr>
          <w:rFonts w:cstheme="minorHAnsi"/>
        </w:rPr>
        <w:t xml:space="preserve"> procuring entities to put in place procedural and transparency measures </w:t>
      </w:r>
      <w:r w:rsidR="00BF0027">
        <w:rPr>
          <w:rFonts w:cstheme="minorHAnsi"/>
        </w:rPr>
        <w:t xml:space="preserve">with regard to specific procurements </w:t>
      </w:r>
      <w:r w:rsidR="009B7DB1">
        <w:rPr>
          <w:rFonts w:cstheme="minorHAnsi"/>
        </w:rPr>
        <w:t>that are designed to provide</w:t>
      </w:r>
      <w:r w:rsidR="00186B57">
        <w:rPr>
          <w:rFonts w:cstheme="minorHAnsi"/>
        </w:rPr>
        <w:t xml:space="preserve"> the widest possible range of qualified</w:t>
      </w:r>
      <w:r w:rsidR="009B7DB1">
        <w:rPr>
          <w:rFonts w:cstheme="minorHAnsi"/>
        </w:rPr>
        <w:t xml:space="preserve"> suppliers, including those from other GPA Parties’</w:t>
      </w:r>
      <w:r w:rsidR="00186B57">
        <w:rPr>
          <w:rFonts w:cstheme="minorHAnsi"/>
        </w:rPr>
        <w:t>,</w:t>
      </w:r>
      <w:r w:rsidR="009B7DB1">
        <w:rPr>
          <w:rFonts w:cstheme="minorHAnsi"/>
        </w:rPr>
        <w:t xml:space="preserve"> </w:t>
      </w:r>
      <w:r w:rsidR="00C45275">
        <w:rPr>
          <w:rFonts w:cstheme="minorHAnsi"/>
        </w:rPr>
        <w:t>a fair chance to compete for contracts</w:t>
      </w:r>
      <w:r w:rsidR="00D973D0">
        <w:rPr>
          <w:rFonts w:cstheme="minorHAnsi"/>
        </w:rPr>
        <w:t xml:space="preserve"> – thus enhancing competition and ensuring </w:t>
      </w:r>
      <w:r w:rsidR="00061673">
        <w:rPr>
          <w:rFonts w:cstheme="minorHAnsi"/>
        </w:rPr>
        <w:t xml:space="preserve">best </w:t>
      </w:r>
      <w:r w:rsidR="00D973D0">
        <w:rPr>
          <w:rFonts w:cstheme="minorHAnsi"/>
        </w:rPr>
        <w:t>value for money</w:t>
      </w:r>
      <w:r w:rsidR="00C45275">
        <w:rPr>
          <w:rFonts w:cstheme="minorHAnsi"/>
        </w:rPr>
        <w:t xml:space="preserve">. </w:t>
      </w:r>
      <w:r w:rsidR="00186B57">
        <w:rPr>
          <w:rFonts w:cstheme="minorHAnsi"/>
        </w:rPr>
        <w:t>These include</w:t>
      </w:r>
      <w:r w:rsidR="001E7114">
        <w:rPr>
          <w:rFonts w:cstheme="minorHAnsi"/>
        </w:rPr>
        <w:t>, for example,</w:t>
      </w:r>
      <w:r w:rsidR="00186B57">
        <w:rPr>
          <w:rFonts w:cstheme="minorHAnsi"/>
        </w:rPr>
        <w:t xml:space="preserve"> </w:t>
      </w:r>
      <w:r w:rsidR="00AC6CE9">
        <w:rPr>
          <w:rFonts w:cstheme="minorHAnsi"/>
        </w:rPr>
        <w:t>obligations to publish notices and respect minimum timelines</w:t>
      </w:r>
      <w:r w:rsidR="00A96550">
        <w:rPr>
          <w:rFonts w:cstheme="minorHAnsi"/>
        </w:rPr>
        <w:t xml:space="preserve"> for preparation of responsive tenders</w:t>
      </w:r>
      <w:r w:rsidR="005A4E42">
        <w:rPr>
          <w:rFonts w:cstheme="minorHAnsi"/>
        </w:rPr>
        <w:t xml:space="preserve">. </w:t>
      </w:r>
      <w:r w:rsidR="00B4786A">
        <w:rPr>
          <w:rFonts w:cstheme="minorHAnsi"/>
        </w:rPr>
        <w:t xml:space="preserve">In times of crisis, </w:t>
      </w:r>
      <w:r w:rsidR="001E7114">
        <w:rPr>
          <w:rFonts w:cstheme="minorHAnsi"/>
        </w:rPr>
        <w:t>on the other hand, Parties often need (or feel that they need) additional flexibility in responding to their citizens’ needs, promptly and swiftly. The GPA, as a legal instrument designed by the Parties in their own interests, addresses this need for flexibility</w:t>
      </w:r>
      <w:r w:rsidR="00A11EE5">
        <w:rPr>
          <w:rFonts w:cstheme="minorHAnsi"/>
        </w:rPr>
        <w:t>, inter alia,</w:t>
      </w:r>
      <w:r w:rsidR="001E7114">
        <w:rPr>
          <w:rFonts w:cstheme="minorHAnsi"/>
        </w:rPr>
        <w:t xml:space="preserve"> in various ways which are discussed below</w:t>
      </w:r>
      <w:r w:rsidR="00DC393B">
        <w:rPr>
          <w:rFonts w:cstheme="minorHAnsi"/>
        </w:rPr>
        <w:t>.</w:t>
      </w:r>
      <w:r w:rsidR="00A11EE5">
        <w:rPr>
          <w:rStyle w:val="FootnoteReference"/>
          <w:rFonts w:cstheme="minorHAnsi"/>
        </w:rPr>
        <w:footnoteReference w:id="15"/>
      </w:r>
    </w:p>
    <w:p w14:paraId="53E291F1" w14:textId="3605BCF8" w:rsidR="00613FD9" w:rsidRDefault="00613FD9" w:rsidP="00A45E30">
      <w:pPr>
        <w:ind w:firstLine="720"/>
        <w:jc w:val="both"/>
        <w:rPr>
          <w:rFonts w:cstheme="minorHAnsi"/>
        </w:rPr>
      </w:pPr>
    </w:p>
    <w:p w14:paraId="152F3796" w14:textId="491E9AC6" w:rsidR="00613FD9" w:rsidRDefault="00613FD9" w:rsidP="00A45E30">
      <w:pPr>
        <w:ind w:firstLine="720"/>
        <w:jc w:val="both"/>
        <w:rPr>
          <w:rFonts w:cstheme="minorHAnsi"/>
        </w:rPr>
      </w:pPr>
      <w:r>
        <w:rPr>
          <w:rFonts w:cstheme="minorHAnsi"/>
        </w:rPr>
        <w:t xml:space="preserve">In that regard, the GPA, while </w:t>
      </w:r>
      <w:r w:rsidR="000C21C6">
        <w:rPr>
          <w:rFonts w:cstheme="minorHAnsi"/>
        </w:rPr>
        <w:t>ultimately</w:t>
      </w:r>
      <w:r>
        <w:rPr>
          <w:rFonts w:cstheme="minorHAnsi"/>
        </w:rPr>
        <w:t xml:space="preserve"> preserving </w:t>
      </w:r>
      <w:r w:rsidR="00EC6775">
        <w:rPr>
          <w:rFonts w:cstheme="minorHAnsi"/>
        </w:rPr>
        <w:t xml:space="preserve">very significant </w:t>
      </w:r>
      <w:r>
        <w:rPr>
          <w:rFonts w:cstheme="minorHAnsi"/>
        </w:rPr>
        <w:t>policy space</w:t>
      </w:r>
      <w:r w:rsidR="000C21C6">
        <w:rPr>
          <w:rFonts w:cstheme="minorHAnsi"/>
        </w:rPr>
        <w:t xml:space="preserve"> </w:t>
      </w:r>
      <w:r w:rsidR="00EC6775">
        <w:rPr>
          <w:rFonts w:cstheme="minorHAnsi"/>
        </w:rPr>
        <w:t xml:space="preserve">for Parties </w:t>
      </w:r>
      <w:r w:rsidR="000C21C6">
        <w:rPr>
          <w:rFonts w:cstheme="minorHAnsi"/>
        </w:rPr>
        <w:t>as set out in the introduction to this article</w:t>
      </w:r>
      <w:r>
        <w:rPr>
          <w:rFonts w:cstheme="minorHAnsi"/>
        </w:rPr>
        <w:t xml:space="preserve">, takes a </w:t>
      </w:r>
      <w:r w:rsidR="00E36BAA">
        <w:rPr>
          <w:rFonts w:cstheme="minorHAnsi"/>
        </w:rPr>
        <w:t>‘tiered</w:t>
      </w:r>
      <w:r>
        <w:rPr>
          <w:rFonts w:cstheme="minorHAnsi"/>
        </w:rPr>
        <w:t xml:space="preserve"> approach</w:t>
      </w:r>
      <w:r w:rsidR="00E36BAA">
        <w:rPr>
          <w:rFonts w:cstheme="minorHAnsi"/>
        </w:rPr>
        <w:t>’</w:t>
      </w:r>
      <w:r w:rsidR="000C21C6">
        <w:rPr>
          <w:rFonts w:cstheme="minorHAnsi"/>
        </w:rPr>
        <w:t xml:space="preserve"> and </w:t>
      </w:r>
      <w:r w:rsidR="00F16B44">
        <w:rPr>
          <w:rFonts w:cstheme="minorHAnsi"/>
        </w:rPr>
        <w:t>envisions</w:t>
      </w:r>
      <w:r w:rsidR="000C21C6">
        <w:rPr>
          <w:rFonts w:cstheme="minorHAnsi"/>
        </w:rPr>
        <w:t xml:space="preserve"> different flexibilities</w:t>
      </w:r>
      <w:r>
        <w:rPr>
          <w:rFonts w:cstheme="minorHAnsi"/>
        </w:rPr>
        <w:t xml:space="preserve"> </w:t>
      </w:r>
      <w:r w:rsidR="000C21C6">
        <w:rPr>
          <w:rFonts w:cstheme="minorHAnsi"/>
        </w:rPr>
        <w:t>ranging from</w:t>
      </w:r>
      <w:r w:rsidR="00F16B44">
        <w:rPr>
          <w:rFonts w:cstheme="minorHAnsi"/>
        </w:rPr>
        <w:t xml:space="preserve"> </w:t>
      </w:r>
      <w:r w:rsidR="000C21C6">
        <w:rPr>
          <w:rFonts w:cstheme="minorHAnsi"/>
        </w:rPr>
        <w:t xml:space="preserve">targeted exceptions to mandatory minimum timelines, </w:t>
      </w:r>
      <w:r w:rsidR="00F16B44">
        <w:rPr>
          <w:rFonts w:cstheme="minorHAnsi"/>
        </w:rPr>
        <w:t>through</w:t>
      </w:r>
      <w:r w:rsidR="000C21C6">
        <w:rPr>
          <w:rFonts w:cstheme="minorHAnsi"/>
        </w:rPr>
        <w:t xml:space="preserve"> </w:t>
      </w:r>
      <w:r w:rsidR="00563D58">
        <w:rPr>
          <w:rFonts w:cstheme="minorHAnsi"/>
        </w:rPr>
        <w:t>the possibility to use limited tendering, to wide-reaching general exceptions, depending on the needs</w:t>
      </w:r>
      <w:r w:rsidR="006810E4">
        <w:rPr>
          <w:rFonts w:cstheme="minorHAnsi"/>
        </w:rPr>
        <w:t xml:space="preserve"> faced in a particular emergency or crisis situation. It can therefore be described as a tool that can </w:t>
      </w:r>
      <w:r w:rsidR="00F91D9C">
        <w:rPr>
          <w:rFonts w:cstheme="minorHAnsi"/>
        </w:rPr>
        <w:t xml:space="preserve">help </w:t>
      </w:r>
      <w:r w:rsidR="006810E4">
        <w:rPr>
          <w:rFonts w:cstheme="minorHAnsi"/>
        </w:rPr>
        <w:t xml:space="preserve">policy makers in deciding </w:t>
      </w:r>
      <w:r w:rsidR="00F91D9C">
        <w:rPr>
          <w:rFonts w:cstheme="minorHAnsi"/>
        </w:rPr>
        <w:t xml:space="preserve">to what extent and which normally applicable procedural and transparency rules can and should be suspended during </w:t>
      </w:r>
      <w:r w:rsidR="00F16B44">
        <w:rPr>
          <w:rFonts w:cstheme="minorHAnsi"/>
        </w:rPr>
        <w:t>a</w:t>
      </w:r>
      <w:r w:rsidR="00F91D9C">
        <w:rPr>
          <w:rFonts w:cstheme="minorHAnsi"/>
        </w:rPr>
        <w:t xml:space="preserve"> crisis.</w:t>
      </w:r>
    </w:p>
    <w:p w14:paraId="2D93F939" w14:textId="77777777" w:rsidR="00E22E57" w:rsidRPr="003E04A4" w:rsidRDefault="00E22E57" w:rsidP="007A61A7">
      <w:pPr>
        <w:jc w:val="both"/>
        <w:rPr>
          <w:rFonts w:cstheme="minorHAnsi"/>
        </w:rPr>
      </w:pPr>
    </w:p>
    <w:p w14:paraId="1EAFAAEF" w14:textId="77777777" w:rsidR="0046538F" w:rsidRPr="00B73E4F" w:rsidRDefault="0046538F" w:rsidP="0046538F">
      <w:pPr>
        <w:pStyle w:val="ListParagraph"/>
        <w:numPr>
          <w:ilvl w:val="0"/>
          <w:numId w:val="6"/>
        </w:numPr>
        <w:jc w:val="both"/>
        <w:rPr>
          <w:rFonts w:cstheme="minorHAnsi"/>
          <w:b/>
          <w:bCs/>
        </w:rPr>
      </w:pPr>
      <w:r w:rsidRPr="00B73E4F">
        <w:rPr>
          <w:rFonts w:eastAsia="Times New Roman" w:cstheme="minorHAnsi"/>
          <w:b/>
          <w:bCs/>
          <w:color w:val="000000"/>
        </w:rPr>
        <w:t>The availability of shorter time periods for tendering processes in particular circumstances. </w:t>
      </w:r>
    </w:p>
    <w:p w14:paraId="543D5FD9" w14:textId="77777777" w:rsidR="0046538F" w:rsidRDefault="0046538F" w:rsidP="0046538F">
      <w:pPr>
        <w:jc w:val="both"/>
        <w:rPr>
          <w:rFonts w:cstheme="minorHAnsi"/>
        </w:rPr>
      </w:pPr>
    </w:p>
    <w:p w14:paraId="5192FD8B" w14:textId="7FBA1A54" w:rsidR="0046538F" w:rsidRDefault="0046538F" w:rsidP="0046538F">
      <w:pPr>
        <w:ind w:firstLine="720"/>
        <w:jc w:val="both"/>
        <w:rPr>
          <w:rFonts w:cstheme="minorHAnsi"/>
        </w:rPr>
      </w:pPr>
      <w:r>
        <w:rPr>
          <w:rFonts w:cstheme="minorHAnsi"/>
        </w:rPr>
        <w:t xml:space="preserve">As the first, </w:t>
      </w:r>
      <w:r w:rsidR="00F14C64">
        <w:rPr>
          <w:rFonts w:cstheme="minorHAnsi"/>
        </w:rPr>
        <w:t>simple but helpful</w:t>
      </w:r>
      <w:r w:rsidR="00473721">
        <w:rPr>
          <w:rFonts w:cstheme="minorHAnsi"/>
        </w:rPr>
        <w:t>,</w:t>
      </w:r>
      <w:r w:rsidR="00F14C64">
        <w:rPr>
          <w:rFonts w:cstheme="minorHAnsi"/>
        </w:rPr>
        <w:t xml:space="preserve"> </w:t>
      </w:r>
      <w:r>
        <w:rPr>
          <w:rFonts w:cstheme="minorHAnsi"/>
        </w:rPr>
        <w:t xml:space="preserve">measure, the GPA provides flexibility </w:t>
      </w:r>
      <w:r w:rsidR="00473721">
        <w:rPr>
          <w:rFonts w:cstheme="minorHAnsi"/>
        </w:rPr>
        <w:t xml:space="preserve">in regard to time periods </w:t>
      </w:r>
      <w:r>
        <w:rPr>
          <w:rFonts w:cstheme="minorHAnsi"/>
        </w:rPr>
        <w:t xml:space="preserve">for the procurement of goods, services and construction services in whose regard expedited procurement is needed in times of crisis. </w:t>
      </w:r>
      <w:r w:rsidR="00004701">
        <w:rPr>
          <w:rFonts w:cstheme="minorHAnsi"/>
        </w:rPr>
        <w:t>Specifically</w:t>
      </w:r>
      <w:r>
        <w:rPr>
          <w:rFonts w:cstheme="minorHAnsi"/>
        </w:rPr>
        <w:t xml:space="preserve">, Article XI:4 of the GPA allows a procuring entity to reduce applicable time periods from the baseline minimum time period for tendering set out in Article XI:3 of 40 days to not less than 10 days where “a state of urgency duly substantiated by the procuring entity renders the time-period for tendering established in accordance with paragraph 3 impracticable.” </w:t>
      </w:r>
      <w:r w:rsidR="00B26833">
        <w:rPr>
          <w:rFonts w:cstheme="minorHAnsi"/>
        </w:rPr>
        <w:t>A</w:t>
      </w:r>
      <w:r w:rsidR="00F14C64">
        <w:rPr>
          <w:rFonts w:cstheme="minorHAnsi"/>
        </w:rPr>
        <w:t>ll other transparency and procedural requirements remain in place</w:t>
      </w:r>
      <w:r w:rsidR="00B26833">
        <w:rPr>
          <w:rFonts w:cstheme="minorHAnsi"/>
        </w:rPr>
        <w:t>, under this approach</w:t>
      </w:r>
      <w:r w:rsidR="00F14C64">
        <w:rPr>
          <w:rFonts w:cstheme="minorHAnsi"/>
        </w:rPr>
        <w:t>.</w:t>
      </w:r>
    </w:p>
    <w:p w14:paraId="2191099F" w14:textId="77777777" w:rsidR="00576EE1" w:rsidRDefault="00576EE1" w:rsidP="0046538F">
      <w:pPr>
        <w:ind w:firstLine="720"/>
        <w:jc w:val="both"/>
        <w:rPr>
          <w:rFonts w:cstheme="minorHAnsi"/>
        </w:rPr>
      </w:pPr>
    </w:p>
    <w:p w14:paraId="62395D8F" w14:textId="77777777" w:rsidR="00C74B56" w:rsidRPr="00885443" w:rsidRDefault="00C74B56" w:rsidP="00BF4EEE">
      <w:pPr>
        <w:jc w:val="both"/>
        <w:rPr>
          <w:rFonts w:cstheme="minorHAnsi"/>
        </w:rPr>
      </w:pPr>
    </w:p>
    <w:p w14:paraId="3D2274D5" w14:textId="36DE49D8" w:rsidR="007A61A7" w:rsidRPr="00FF5A02" w:rsidRDefault="003E04A4" w:rsidP="00FF5A02">
      <w:pPr>
        <w:pStyle w:val="ListParagraph"/>
        <w:numPr>
          <w:ilvl w:val="0"/>
          <w:numId w:val="6"/>
        </w:numPr>
        <w:rPr>
          <w:rFonts w:eastAsia="Times New Roman" w:cstheme="minorHAnsi"/>
          <w:b/>
          <w:bCs/>
          <w:color w:val="000000"/>
        </w:rPr>
      </w:pPr>
      <w:r w:rsidRPr="00A11EE5">
        <w:rPr>
          <w:rFonts w:eastAsia="Times New Roman" w:cstheme="minorHAnsi"/>
          <w:b/>
          <w:bCs/>
          <w:color w:val="000000"/>
        </w:rPr>
        <w:t>The use of limited tendering in response to public health emergencies</w:t>
      </w:r>
    </w:p>
    <w:p w14:paraId="183FBDF0" w14:textId="73E2CA1B" w:rsidR="007A61A7" w:rsidRPr="003E04A4" w:rsidRDefault="007A61A7" w:rsidP="007A61A7">
      <w:pPr>
        <w:jc w:val="both"/>
        <w:rPr>
          <w:rFonts w:cstheme="minorHAnsi"/>
        </w:rPr>
      </w:pPr>
    </w:p>
    <w:p w14:paraId="461D86E9" w14:textId="08E83F9B" w:rsidR="00C94955" w:rsidRDefault="00576EE1" w:rsidP="000A6CA1">
      <w:pPr>
        <w:ind w:firstLine="720"/>
        <w:jc w:val="both"/>
        <w:rPr>
          <w:rFonts w:cstheme="minorHAnsi"/>
        </w:rPr>
      </w:pPr>
      <w:r>
        <w:rPr>
          <w:rFonts w:cstheme="minorHAnsi"/>
        </w:rPr>
        <w:t>T</w:t>
      </w:r>
      <w:r w:rsidR="008526F9">
        <w:rPr>
          <w:rFonts w:cstheme="minorHAnsi"/>
        </w:rPr>
        <w:t xml:space="preserve">he Agreement also contains more targeted </w:t>
      </w:r>
      <w:r w:rsidR="006E03A6">
        <w:rPr>
          <w:rFonts w:cstheme="minorHAnsi"/>
        </w:rPr>
        <w:t>procedural exceptions</w:t>
      </w:r>
      <w:r w:rsidR="008526F9">
        <w:rPr>
          <w:rFonts w:cstheme="minorHAnsi"/>
        </w:rPr>
        <w:t xml:space="preserve"> for Parties </w:t>
      </w:r>
      <w:r w:rsidR="005D4743">
        <w:rPr>
          <w:rFonts w:cstheme="minorHAnsi"/>
        </w:rPr>
        <w:t>needing to take extraordinary measures but wishing to continue to observe</w:t>
      </w:r>
      <w:r w:rsidR="008526F9">
        <w:rPr>
          <w:rFonts w:cstheme="minorHAnsi"/>
        </w:rPr>
        <w:t xml:space="preserve"> the beneficial transparency and competition enhancing </w:t>
      </w:r>
      <w:r w:rsidR="006E03A6">
        <w:rPr>
          <w:rFonts w:cstheme="minorHAnsi"/>
        </w:rPr>
        <w:t xml:space="preserve">disciplines of the GPA </w:t>
      </w:r>
      <w:r>
        <w:rPr>
          <w:rFonts w:cstheme="minorHAnsi"/>
        </w:rPr>
        <w:t>to the full extent</w:t>
      </w:r>
      <w:r w:rsidR="006E03A6">
        <w:rPr>
          <w:rFonts w:cstheme="minorHAnsi"/>
        </w:rPr>
        <w:t xml:space="preserve"> possible. </w:t>
      </w:r>
      <w:r w:rsidR="00C94955">
        <w:rPr>
          <w:rFonts w:cstheme="minorHAnsi"/>
        </w:rPr>
        <w:t xml:space="preserve">In </w:t>
      </w:r>
      <w:r w:rsidR="00B73E4F">
        <w:rPr>
          <w:rFonts w:cstheme="minorHAnsi"/>
        </w:rPr>
        <w:t>particular</w:t>
      </w:r>
      <w:r w:rsidR="00C94955">
        <w:rPr>
          <w:rFonts w:cstheme="minorHAnsi"/>
        </w:rPr>
        <w:t xml:space="preserve">, Article </w:t>
      </w:r>
      <w:r w:rsidR="000F6EDF">
        <w:rPr>
          <w:rFonts w:cstheme="minorHAnsi"/>
        </w:rPr>
        <w:t>XIII</w:t>
      </w:r>
      <w:r w:rsidR="007C55CB">
        <w:rPr>
          <w:rFonts w:cstheme="minorHAnsi"/>
        </w:rPr>
        <w:t>:</w:t>
      </w:r>
      <w:r w:rsidR="00434FE2">
        <w:rPr>
          <w:rFonts w:cstheme="minorHAnsi"/>
        </w:rPr>
        <w:t xml:space="preserve">1(d) </w:t>
      </w:r>
      <w:r w:rsidR="00B73E4F">
        <w:rPr>
          <w:rFonts w:cstheme="minorHAnsi"/>
        </w:rPr>
        <w:t xml:space="preserve">of the Agreement </w:t>
      </w:r>
      <w:r w:rsidR="00434FE2">
        <w:rPr>
          <w:rFonts w:cstheme="minorHAnsi"/>
        </w:rPr>
        <w:t xml:space="preserve">allows for the application of limited tendering </w:t>
      </w:r>
      <w:r w:rsidR="000C7709">
        <w:rPr>
          <w:rFonts w:cstheme="minorHAnsi"/>
        </w:rPr>
        <w:t>“</w:t>
      </w:r>
      <w:r w:rsidR="00312609">
        <w:rPr>
          <w:rFonts w:cstheme="minorHAnsi"/>
        </w:rPr>
        <w:t>i</w:t>
      </w:r>
      <w:r w:rsidR="00312609" w:rsidRPr="00312609">
        <w:rPr>
          <w:rFonts w:cstheme="minorHAnsi"/>
        </w:rPr>
        <w:t>nsofar as is strictly necessary where, for reasons of extreme urgency brought about by events unforeseeable by the procuring entity, the goods or services could not be obtained in time using open tendering or selective tendering</w:t>
      </w:r>
      <w:r w:rsidR="00312609">
        <w:rPr>
          <w:rFonts w:cstheme="minorHAnsi"/>
        </w:rPr>
        <w:t xml:space="preserve">”. </w:t>
      </w:r>
    </w:p>
    <w:p w14:paraId="79EB78F6" w14:textId="598C7438" w:rsidR="00101917" w:rsidRDefault="00101917" w:rsidP="003E04A4">
      <w:pPr>
        <w:ind w:firstLine="720"/>
        <w:jc w:val="both"/>
        <w:rPr>
          <w:rFonts w:cstheme="minorHAnsi"/>
        </w:rPr>
      </w:pPr>
    </w:p>
    <w:p w14:paraId="7C53761C" w14:textId="53C539EB" w:rsidR="00101917" w:rsidRDefault="00101917" w:rsidP="003E04A4">
      <w:pPr>
        <w:ind w:firstLine="720"/>
        <w:jc w:val="both"/>
        <w:rPr>
          <w:rFonts w:cstheme="minorHAnsi"/>
        </w:rPr>
      </w:pPr>
      <w:r>
        <w:rPr>
          <w:rFonts w:cstheme="minorHAnsi"/>
        </w:rPr>
        <w:t xml:space="preserve">The effect of Article XIII:1(d) is to render </w:t>
      </w:r>
      <w:r w:rsidR="00D97EB5">
        <w:rPr>
          <w:rFonts w:cstheme="minorHAnsi"/>
        </w:rPr>
        <w:t xml:space="preserve">inapplicable to the procurement in question </w:t>
      </w:r>
      <w:r>
        <w:rPr>
          <w:rFonts w:cstheme="minorHAnsi"/>
        </w:rPr>
        <w:t xml:space="preserve">a </w:t>
      </w:r>
      <w:r w:rsidR="00943157">
        <w:rPr>
          <w:rFonts w:cstheme="minorHAnsi"/>
        </w:rPr>
        <w:t>number of the</w:t>
      </w:r>
      <w:r>
        <w:rPr>
          <w:rFonts w:cstheme="minorHAnsi"/>
        </w:rPr>
        <w:t xml:space="preserve"> transparency and procedural measures of the GPA</w:t>
      </w:r>
      <w:r w:rsidR="00D402D6">
        <w:rPr>
          <w:rFonts w:cstheme="minorHAnsi"/>
        </w:rPr>
        <w:t xml:space="preserve">, notably </w:t>
      </w:r>
      <w:r w:rsidR="00512B3B">
        <w:rPr>
          <w:rFonts w:cstheme="minorHAnsi"/>
        </w:rPr>
        <w:t>Articles VII to</w:t>
      </w:r>
      <w:r w:rsidR="00225EB2" w:rsidRPr="00225EB2">
        <w:rPr>
          <w:rFonts w:cstheme="minorHAnsi"/>
        </w:rPr>
        <w:t xml:space="preserve"> IX</w:t>
      </w:r>
      <w:r w:rsidR="00225EB2">
        <w:rPr>
          <w:rFonts w:cstheme="minorHAnsi"/>
        </w:rPr>
        <w:t xml:space="preserve"> – putting in place notice</w:t>
      </w:r>
      <w:r w:rsidR="00937EA0">
        <w:rPr>
          <w:rFonts w:cstheme="minorHAnsi"/>
        </w:rPr>
        <w:t xml:space="preserve"> publication</w:t>
      </w:r>
      <w:r w:rsidR="00225EB2">
        <w:rPr>
          <w:rFonts w:cstheme="minorHAnsi"/>
        </w:rPr>
        <w:t xml:space="preserve"> requirements </w:t>
      </w:r>
      <w:r w:rsidR="007C7DFC">
        <w:rPr>
          <w:rFonts w:cstheme="minorHAnsi"/>
        </w:rPr>
        <w:t>as well as conditions for the participation and qualification of suppliers</w:t>
      </w:r>
      <w:r w:rsidR="002938F8">
        <w:rPr>
          <w:rFonts w:cstheme="minorHAnsi"/>
        </w:rPr>
        <w:t>; Article</w:t>
      </w:r>
      <w:r w:rsidR="00225EB2" w:rsidRPr="00225EB2">
        <w:rPr>
          <w:rFonts w:cstheme="minorHAnsi"/>
        </w:rPr>
        <w:t xml:space="preserve"> X (paragraphs 7 through 11)</w:t>
      </w:r>
      <w:r w:rsidR="00937EA0">
        <w:rPr>
          <w:rFonts w:cstheme="minorHAnsi"/>
        </w:rPr>
        <w:t xml:space="preserve"> – requiring the </w:t>
      </w:r>
      <w:r w:rsidR="0061487F">
        <w:rPr>
          <w:rFonts w:cstheme="minorHAnsi"/>
        </w:rPr>
        <w:t>publication of tender documentation setting out technical specifications and evaluation criteria; Article</w:t>
      </w:r>
      <w:r w:rsidR="00225EB2" w:rsidRPr="00225EB2">
        <w:rPr>
          <w:rFonts w:cstheme="minorHAnsi"/>
        </w:rPr>
        <w:t xml:space="preserve"> XI</w:t>
      </w:r>
      <w:r w:rsidR="0061487F">
        <w:rPr>
          <w:rFonts w:cstheme="minorHAnsi"/>
        </w:rPr>
        <w:t xml:space="preserve"> </w:t>
      </w:r>
      <w:r w:rsidR="00B22A6C">
        <w:rPr>
          <w:rFonts w:cstheme="minorHAnsi"/>
        </w:rPr>
        <w:t>–</w:t>
      </w:r>
      <w:r w:rsidR="0061487F">
        <w:rPr>
          <w:rFonts w:cstheme="minorHAnsi"/>
        </w:rPr>
        <w:t xml:space="preserve"> </w:t>
      </w:r>
      <w:r w:rsidR="00B22A6C">
        <w:rPr>
          <w:rFonts w:cstheme="minorHAnsi"/>
        </w:rPr>
        <w:t>setting out minimum time periods to be respected</w:t>
      </w:r>
      <w:r w:rsidR="00225EB2" w:rsidRPr="00225EB2">
        <w:rPr>
          <w:rFonts w:cstheme="minorHAnsi"/>
        </w:rPr>
        <w:t xml:space="preserve">, </w:t>
      </w:r>
      <w:r w:rsidR="00B22A6C">
        <w:rPr>
          <w:rFonts w:cstheme="minorHAnsi"/>
        </w:rPr>
        <w:t xml:space="preserve">Article </w:t>
      </w:r>
      <w:r w:rsidR="00225EB2" w:rsidRPr="00225EB2">
        <w:rPr>
          <w:rFonts w:cstheme="minorHAnsi"/>
        </w:rPr>
        <w:t>XII</w:t>
      </w:r>
      <w:r w:rsidR="00B22A6C">
        <w:rPr>
          <w:rFonts w:cstheme="minorHAnsi"/>
        </w:rPr>
        <w:t xml:space="preserve"> – applicable to negotiations; Article</w:t>
      </w:r>
      <w:r w:rsidR="00225EB2" w:rsidRPr="00225EB2">
        <w:rPr>
          <w:rFonts w:cstheme="minorHAnsi"/>
        </w:rPr>
        <w:t xml:space="preserve"> XIV</w:t>
      </w:r>
      <w:r w:rsidR="00B22A6C">
        <w:rPr>
          <w:rFonts w:cstheme="minorHAnsi"/>
        </w:rPr>
        <w:t xml:space="preserve"> </w:t>
      </w:r>
      <w:r w:rsidR="00836B3E">
        <w:rPr>
          <w:rFonts w:cstheme="minorHAnsi"/>
        </w:rPr>
        <w:t>on elect</w:t>
      </w:r>
      <w:r w:rsidR="000D2629">
        <w:rPr>
          <w:rFonts w:cstheme="minorHAnsi"/>
        </w:rPr>
        <w:t>roni</w:t>
      </w:r>
      <w:r w:rsidR="00836B3E">
        <w:rPr>
          <w:rFonts w:cstheme="minorHAnsi"/>
        </w:rPr>
        <w:t>c auctions</w:t>
      </w:r>
      <w:r w:rsidR="00E748FF">
        <w:rPr>
          <w:rFonts w:cstheme="minorHAnsi"/>
        </w:rPr>
        <w:t>,</w:t>
      </w:r>
      <w:r w:rsidR="00225EB2" w:rsidRPr="00225EB2">
        <w:rPr>
          <w:rFonts w:cstheme="minorHAnsi"/>
        </w:rPr>
        <w:t xml:space="preserve"> and XV</w:t>
      </w:r>
      <w:r w:rsidR="00836B3E">
        <w:rPr>
          <w:rFonts w:cstheme="minorHAnsi"/>
        </w:rPr>
        <w:t xml:space="preserve"> on the awarding of contracts.</w:t>
      </w:r>
    </w:p>
    <w:p w14:paraId="278B33E9" w14:textId="225327D2" w:rsidR="000D2629" w:rsidRDefault="000D2629" w:rsidP="003E04A4">
      <w:pPr>
        <w:ind w:firstLine="720"/>
        <w:jc w:val="both"/>
        <w:rPr>
          <w:rFonts w:cstheme="minorHAnsi"/>
        </w:rPr>
      </w:pPr>
    </w:p>
    <w:p w14:paraId="7991D993" w14:textId="77777777" w:rsidR="00E16F84" w:rsidRDefault="000D2629" w:rsidP="000A6CA1">
      <w:pPr>
        <w:ind w:firstLine="720"/>
        <w:jc w:val="both"/>
        <w:rPr>
          <w:rFonts w:cstheme="minorHAnsi"/>
        </w:rPr>
      </w:pPr>
      <w:r>
        <w:rPr>
          <w:rFonts w:cstheme="minorHAnsi"/>
        </w:rPr>
        <w:t xml:space="preserve">Notably, however, the limited tendering provisions still require the procuring entity to </w:t>
      </w:r>
      <w:r w:rsidR="00256B7B">
        <w:rPr>
          <w:rFonts w:cstheme="minorHAnsi"/>
        </w:rPr>
        <w:t xml:space="preserve">respect </w:t>
      </w:r>
      <w:r w:rsidR="00916730">
        <w:rPr>
          <w:rFonts w:cstheme="minorHAnsi"/>
        </w:rPr>
        <w:t>certain core</w:t>
      </w:r>
      <w:r w:rsidR="00256B7B">
        <w:rPr>
          <w:rFonts w:cstheme="minorHAnsi"/>
        </w:rPr>
        <w:t xml:space="preserve"> provisions of the GPA that support </w:t>
      </w:r>
      <w:r w:rsidR="00DA50E4">
        <w:rPr>
          <w:rFonts w:cstheme="minorHAnsi"/>
        </w:rPr>
        <w:t>efficient and open sourcing even in circumstances of extreme urgency</w:t>
      </w:r>
      <w:r w:rsidR="004B1306">
        <w:rPr>
          <w:rFonts w:cstheme="minorHAnsi"/>
        </w:rPr>
        <w:t>. This concerns in</w:t>
      </w:r>
      <w:r w:rsidR="00633927">
        <w:rPr>
          <w:rFonts w:cstheme="minorHAnsi"/>
        </w:rPr>
        <w:t xml:space="preserve"> particular Article X:1-6, </w:t>
      </w:r>
      <w:r w:rsidR="004B1306">
        <w:rPr>
          <w:rFonts w:cstheme="minorHAnsi"/>
        </w:rPr>
        <w:t>which inter alia requires technical specifications to</w:t>
      </w:r>
      <w:r w:rsidR="00E821FF">
        <w:rPr>
          <w:rFonts w:cstheme="minorHAnsi"/>
        </w:rPr>
        <w:t xml:space="preserve"> be kept as open</w:t>
      </w:r>
      <w:r w:rsidR="00E821FF" w:rsidRPr="00E821FF">
        <w:rPr>
          <w:rFonts w:cstheme="minorHAnsi"/>
        </w:rPr>
        <w:t xml:space="preserve"> </w:t>
      </w:r>
      <w:r w:rsidR="00E821FF">
        <w:rPr>
          <w:rFonts w:cstheme="minorHAnsi"/>
        </w:rPr>
        <w:t>and to apply international standards as much as possible, in order for them</w:t>
      </w:r>
      <w:r w:rsidR="004B1306">
        <w:rPr>
          <w:rFonts w:cstheme="minorHAnsi"/>
        </w:rPr>
        <w:t xml:space="preserve"> </w:t>
      </w:r>
      <w:r w:rsidR="007C0E10">
        <w:rPr>
          <w:rFonts w:cstheme="minorHAnsi"/>
        </w:rPr>
        <w:t>not pose any unnecessary obstacles to international trade.</w:t>
      </w:r>
    </w:p>
    <w:p w14:paraId="31E4F4F4" w14:textId="77777777" w:rsidR="00E16F84" w:rsidRDefault="00E16F84" w:rsidP="000A6CA1">
      <w:pPr>
        <w:ind w:firstLine="720"/>
        <w:jc w:val="both"/>
        <w:rPr>
          <w:rFonts w:cstheme="minorHAnsi"/>
        </w:rPr>
      </w:pPr>
    </w:p>
    <w:p w14:paraId="4008B862" w14:textId="192F0988" w:rsidR="002423BB" w:rsidRPr="000A6CA1" w:rsidRDefault="002C2641" w:rsidP="000A6CA1">
      <w:pPr>
        <w:ind w:firstLine="720"/>
        <w:jc w:val="both"/>
        <w:rPr>
          <w:rFonts w:cstheme="minorHAnsi"/>
        </w:rPr>
      </w:pPr>
      <w:r>
        <w:rPr>
          <w:rFonts w:cstheme="minorHAnsi"/>
        </w:rPr>
        <w:t xml:space="preserve">Importantly, </w:t>
      </w:r>
      <w:r w:rsidR="00D71E10">
        <w:rPr>
          <w:rFonts w:cstheme="minorHAnsi"/>
        </w:rPr>
        <w:t>in this context</w:t>
      </w:r>
      <w:r>
        <w:rPr>
          <w:rFonts w:cstheme="minorHAnsi"/>
        </w:rPr>
        <w:t xml:space="preserve">, </w:t>
      </w:r>
      <w:r w:rsidRPr="00D71E10">
        <w:rPr>
          <w:rFonts w:cstheme="minorHAnsi"/>
          <w:i/>
          <w:iCs/>
        </w:rPr>
        <w:t xml:space="preserve">the post-award transparency requirements contained in Article XVI of the GPA </w:t>
      </w:r>
      <w:r w:rsidR="00041E8E" w:rsidRPr="00D71E10">
        <w:rPr>
          <w:rFonts w:cstheme="minorHAnsi"/>
          <w:i/>
          <w:iCs/>
        </w:rPr>
        <w:t>remain applicable</w:t>
      </w:r>
      <w:r w:rsidR="00041E8E">
        <w:rPr>
          <w:rFonts w:cstheme="minorHAnsi"/>
        </w:rPr>
        <w:t xml:space="preserve">. </w:t>
      </w:r>
      <w:r w:rsidR="000A6CA1">
        <w:rPr>
          <w:rFonts w:cstheme="minorHAnsi"/>
        </w:rPr>
        <w:t>These require the publication of award notices within 72 days as well as the eventual publication of statistics, including with respect to the extent to which limited tendering has been used for covered procurement.</w:t>
      </w:r>
      <w:r w:rsidR="000A6CA1">
        <w:rPr>
          <w:rStyle w:val="FootnoteReference"/>
          <w:rFonts w:cstheme="minorHAnsi"/>
        </w:rPr>
        <w:footnoteReference w:id="16"/>
      </w:r>
      <w:r w:rsidR="000A6CA1">
        <w:rPr>
          <w:rFonts w:cstheme="minorHAnsi"/>
        </w:rPr>
        <w:t xml:space="preserve"> In these ways, the</w:t>
      </w:r>
      <w:r w:rsidR="00041E8E">
        <w:rPr>
          <w:rFonts w:cstheme="minorHAnsi"/>
        </w:rPr>
        <w:t xml:space="preserve"> GPA, while not standing in the way of efficient procurement including, if necessary, direct sourcing from a particular supplier, </w:t>
      </w:r>
      <w:r w:rsidR="000A6CA1">
        <w:rPr>
          <w:rFonts w:cstheme="minorHAnsi"/>
        </w:rPr>
        <w:t>nevertheless upholds</w:t>
      </w:r>
      <w:r w:rsidR="003937B2">
        <w:rPr>
          <w:rFonts w:cstheme="minorHAnsi"/>
        </w:rPr>
        <w:t xml:space="preserve"> certain basic values aimed at keeping markets open and </w:t>
      </w:r>
      <w:r w:rsidR="00E36FAD">
        <w:rPr>
          <w:rFonts w:cstheme="minorHAnsi"/>
        </w:rPr>
        <w:t>permitting a</w:t>
      </w:r>
      <w:r w:rsidR="00916730">
        <w:rPr>
          <w:rFonts w:cstheme="minorHAnsi"/>
        </w:rPr>
        <w:t>ppropriate</w:t>
      </w:r>
      <w:r w:rsidR="00E36FAD">
        <w:rPr>
          <w:rFonts w:cstheme="minorHAnsi"/>
        </w:rPr>
        <w:t xml:space="preserve"> ex-post evaluation and monitoring of procurement through basic post-award transparency measures.</w:t>
      </w:r>
    </w:p>
    <w:p w14:paraId="547473E6" w14:textId="128F19BF" w:rsidR="003E04A4" w:rsidRPr="003E04A4" w:rsidRDefault="003E04A4" w:rsidP="007A61A7">
      <w:pPr>
        <w:jc w:val="both"/>
        <w:rPr>
          <w:rFonts w:cstheme="minorHAnsi"/>
        </w:rPr>
      </w:pPr>
    </w:p>
    <w:p w14:paraId="6EF90DDC" w14:textId="77777777" w:rsidR="0046538F" w:rsidRPr="00AB6E8F" w:rsidRDefault="0046538F" w:rsidP="00FF5A02">
      <w:pPr>
        <w:pStyle w:val="ListParagraph"/>
        <w:numPr>
          <w:ilvl w:val="0"/>
          <w:numId w:val="6"/>
        </w:numPr>
        <w:rPr>
          <w:rFonts w:eastAsia="Times New Roman" w:cstheme="minorHAnsi"/>
          <w:b/>
          <w:bCs/>
        </w:rPr>
      </w:pPr>
      <w:r w:rsidRPr="00AB6E8F">
        <w:rPr>
          <w:rFonts w:eastAsia="Times New Roman" w:cstheme="minorHAnsi"/>
          <w:b/>
          <w:bCs/>
          <w:color w:val="000000"/>
        </w:rPr>
        <w:t xml:space="preserve">The General Exception in Article III:2 for measures necessary for the protection of human life and health </w:t>
      </w:r>
    </w:p>
    <w:p w14:paraId="6395B338" w14:textId="77777777" w:rsidR="0046538F" w:rsidRPr="003E04A4" w:rsidRDefault="0046538F" w:rsidP="0046538F">
      <w:pPr>
        <w:jc w:val="both"/>
        <w:rPr>
          <w:rFonts w:cstheme="minorHAnsi"/>
        </w:rPr>
      </w:pPr>
    </w:p>
    <w:p w14:paraId="010966C1" w14:textId="0C37D59D" w:rsidR="0046538F" w:rsidRDefault="00C861F3" w:rsidP="0046538F">
      <w:pPr>
        <w:ind w:firstLine="720"/>
        <w:jc w:val="both"/>
        <w:rPr>
          <w:rFonts w:cstheme="minorHAnsi"/>
        </w:rPr>
      </w:pPr>
      <w:r>
        <w:rPr>
          <w:rFonts w:cstheme="minorHAnsi"/>
        </w:rPr>
        <w:t xml:space="preserve">Third, </w:t>
      </w:r>
      <w:r w:rsidR="00691283">
        <w:rPr>
          <w:rFonts w:cstheme="minorHAnsi"/>
        </w:rPr>
        <w:t>to provide</w:t>
      </w:r>
      <w:r>
        <w:rPr>
          <w:rFonts w:cstheme="minorHAnsi"/>
        </w:rPr>
        <w:t xml:space="preserve"> maximum flexibility</w:t>
      </w:r>
      <w:r w:rsidR="00691283">
        <w:rPr>
          <w:rFonts w:cstheme="minorHAnsi"/>
        </w:rPr>
        <w:t xml:space="preserve"> to protect</w:t>
      </w:r>
      <w:r w:rsidR="0044651B">
        <w:rPr>
          <w:rFonts w:cstheme="minorHAnsi"/>
        </w:rPr>
        <w:t xml:space="preserve"> citizens’ health</w:t>
      </w:r>
      <w:r w:rsidR="00877C1D">
        <w:rPr>
          <w:rFonts w:cstheme="minorHAnsi"/>
        </w:rPr>
        <w:t xml:space="preserve"> and address any situation that may not already be adequately addressed through the above</w:t>
      </w:r>
      <w:r w:rsidR="00320DBC">
        <w:rPr>
          <w:rFonts w:cstheme="minorHAnsi"/>
        </w:rPr>
        <w:t>-</w:t>
      </w:r>
      <w:r w:rsidR="00877C1D">
        <w:rPr>
          <w:rFonts w:cstheme="minorHAnsi"/>
        </w:rPr>
        <w:t>mentioned flexibilities</w:t>
      </w:r>
      <w:r w:rsidR="0046538F">
        <w:rPr>
          <w:rFonts w:cstheme="minorHAnsi"/>
        </w:rPr>
        <w:t>, the GPA contains a broad exception to the application of the Agreement in its Article III:2, which provides that:</w:t>
      </w:r>
    </w:p>
    <w:p w14:paraId="60B7B3CE" w14:textId="77777777" w:rsidR="0046538F" w:rsidRDefault="0046538F" w:rsidP="0046538F">
      <w:pPr>
        <w:ind w:firstLine="720"/>
        <w:jc w:val="both"/>
        <w:rPr>
          <w:rFonts w:cstheme="minorHAnsi"/>
        </w:rPr>
      </w:pPr>
    </w:p>
    <w:p w14:paraId="0279E0CC" w14:textId="77777777" w:rsidR="0046538F" w:rsidRDefault="0046538F" w:rsidP="0046538F">
      <w:pPr>
        <w:ind w:left="720"/>
        <w:jc w:val="both"/>
        <w:rPr>
          <w:rFonts w:cstheme="minorHAnsi"/>
          <w:lang w:val="en-GB"/>
        </w:rPr>
      </w:pPr>
      <w:r>
        <w:rPr>
          <w:rFonts w:cstheme="minorHAnsi"/>
          <w:lang w:val="en-GB"/>
        </w:rPr>
        <w:t>[….]</w:t>
      </w:r>
    </w:p>
    <w:p w14:paraId="18B1B3D3" w14:textId="77777777" w:rsidR="0046538F" w:rsidRPr="006121FE" w:rsidRDefault="0046538F" w:rsidP="0046538F">
      <w:pPr>
        <w:ind w:left="720"/>
        <w:jc w:val="both"/>
        <w:rPr>
          <w:rFonts w:cstheme="minorHAnsi"/>
          <w:lang w:val="en-GB"/>
        </w:rPr>
      </w:pPr>
      <w:r w:rsidRPr="006121FE">
        <w:rPr>
          <w:rFonts w:cstheme="minorHAnsi"/>
          <w:lang w:val="en-GB"/>
        </w:rPr>
        <w:t xml:space="preserve">2. </w:t>
      </w:r>
      <w:r w:rsidRPr="00785268">
        <w:rPr>
          <w:rFonts w:cstheme="minorHAnsi"/>
        </w:rPr>
        <w:t xml:space="preserve">Subject to the requirement that such measures are not applied in a manner that would constitute a means of arbitrary or unjustifiable discrimination between Parties where the same conditions prevail or a disguised restriction on international trade, </w:t>
      </w:r>
      <w:r w:rsidRPr="001E7114">
        <w:rPr>
          <w:rFonts w:cstheme="minorHAnsi"/>
          <w:b/>
          <w:bCs/>
        </w:rPr>
        <w:t>nothing in this Agreement shall be construed to prevent any Party from imposing or enforcing measures</w:t>
      </w:r>
      <w:r w:rsidRPr="00785268">
        <w:rPr>
          <w:rFonts w:cstheme="minorHAnsi"/>
        </w:rPr>
        <w:t>:</w:t>
      </w:r>
      <w:r w:rsidRPr="006121FE">
        <w:rPr>
          <w:rFonts w:cstheme="minorHAnsi"/>
          <w:lang w:val="en-GB"/>
        </w:rPr>
        <w:t xml:space="preserve"> </w:t>
      </w:r>
      <w:r>
        <w:rPr>
          <w:rFonts w:cstheme="minorHAnsi"/>
          <w:lang w:val="en-GB"/>
        </w:rPr>
        <w:t>[…]</w:t>
      </w:r>
    </w:p>
    <w:p w14:paraId="744C6497" w14:textId="77777777" w:rsidR="0046538F" w:rsidRPr="00785268" w:rsidRDefault="0046538F" w:rsidP="0046538F">
      <w:pPr>
        <w:ind w:firstLine="720"/>
        <w:jc w:val="both"/>
        <w:rPr>
          <w:rFonts w:cstheme="minorHAnsi"/>
        </w:rPr>
      </w:pPr>
      <w:r w:rsidRPr="006121FE">
        <w:rPr>
          <w:rFonts w:cstheme="minorHAnsi"/>
          <w:lang w:val="en-GB"/>
        </w:rPr>
        <w:t xml:space="preserve">(b) </w:t>
      </w:r>
      <w:r w:rsidRPr="001E7114">
        <w:rPr>
          <w:rFonts w:cstheme="minorHAnsi"/>
          <w:b/>
          <w:bCs/>
        </w:rPr>
        <w:t xml:space="preserve">necessary to protect human, </w:t>
      </w:r>
      <w:r w:rsidRPr="00FF5A02">
        <w:rPr>
          <w:rFonts w:cstheme="minorHAnsi"/>
        </w:rPr>
        <w:t>animal or plant</w:t>
      </w:r>
      <w:r w:rsidRPr="001E7114">
        <w:rPr>
          <w:rFonts w:cstheme="minorHAnsi"/>
          <w:b/>
          <w:bCs/>
        </w:rPr>
        <w:t xml:space="preserve"> life or health</w:t>
      </w:r>
      <w:r w:rsidRPr="00785268">
        <w:rPr>
          <w:rFonts w:cstheme="minorHAnsi"/>
        </w:rPr>
        <w:t>;</w:t>
      </w:r>
    </w:p>
    <w:p w14:paraId="31BBFBE1" w14:textId="77777777" w:rsidR="0046538F" w:rsidRPr="00857A13" w:rsidRDefault="0046538F" w:rsidP="0046538F">
      <w:pPr>
        <w:ind w:left="720"/>
        <w:jc w:val="both"/>
        <w:rPr>
          <w:rFonts w:cstheme="minorHAnsi"/>
          <w:lang w:val="en-GB"/>
        </w:rPr>
      </w:pPr>
      <w:r w:rsidRPr="00857A13">
        <w:rPr>
          <w:rFonts w:cstheme="minorHAnsi"/>
          <w:lang w:val="en-GB"/>
        </w:rPr>
        <w:t>[...] [Emphasis added]</w:t>
      </w:r>
    </w:p>
    <w:p w14:paraId="13BAA681" w14:textId="77777777" w:rsidR="0046538F" w:rsidRDefault="0046538F" w:rsidP="0046538F">
      <w:pPr>
        <w:jc w:val="both"/>
        <w:rPr>
          <w:rFonts w:cstheme="minorHAnsi"/>
        </w:rPr>
      </w:pPr>
    </w:p>
    <w:p w14:paraId="7A926C71" w14:textId="77777777" w:rsidR="0046538F" w:rsidRDefault="0046538F" w:rsidP="0046538F">
      <w:pPr>
        <w:jc w:val="both"/>
        <w:rPr>
          <w:rFonts w:cstheme="minorHAnsi"/>
        </w:rPr>
      </w:pPr>
      <w:r>
        <w:rPr>
          <w:rFonts w:cstheme="minorHAnsi"/>
        </w:rPr>
        <w:t>The foregoing is subject only to the conditions set out in the chapeau to Article III.2.</w:t>
      </w:r>
      <w:r>
        <w:rPr>
          <w:rStyle w:val="FootnoteReference"/>
          <w:rFonts w:cstheme="minorHAnsi"/>
        </w:rPr>
        <w:footnoteReference w:id="17"/>
      </w:r>
    </w:p>
    <w:p w14:paraId="5E571320" w14:textId="77777777" w:rsidR="0046538F" w:rsidRDefault="0046538F" w:rsidP="0046538F">
      <w:pPr>
        <w:jc w:val="both"/>
        <w:rPr>
          <w:rFonts w:cstheme="minorHAnsi"/>
        </w:rPr>
      </w:pPr>
    </w:p>
    <w:p w14:paraId="4D859801" w14:textId="77777777" w:rsidR="0046538F" w:rsidRDefault="0046538F" w:rsidP="0046538F">
      <w:pPr>
        <w:ind w:firstLine="720"/>
        <w:jc w:val="both"/>
        <w:rPr>
          <w:rFonts w:cstheme="minorHAnsi"/>
        </w:rPr>
      </w:pPr>
      <w:r>
        <w:rPr>
          <w:rFonts w:cstheme="minorHAnsi"/>
        </w:rPr>
        <w:t>The wording of GPA Article III:2 has not been interpreted by the WTO Appellate Body (AB) or a dispute settlement panel in the specific context of the GPA. However, a similarly structured and worded exception is contained in Article XX GATT. In the context of that provision, the AB has noted that:</w:t>
      </w:r>
    </w:p>
    <w:p w14:paraId="19252EFD" w14:textId="77777777" w:rsidR="0046538F" w:rsidRDefault="0046538F" w:rsidP="0046538F">
      <w:pPr>
        <w:jc w:val="both"/>
        <w:rPr>
          <w:rFonts w:cstheme="minorHAnsi"/>
        </w:rPr>
      </w:pPr>
    </w:p>
    <w:p w14:paraId="42886478" w14:textId="77777777" w:rsidR="0046538F" w:rsidRDefault="0046538F" w:rsidP="0046538F">
      <w:pPr>
        <w:ind w:left="360"/>
        <w:jc w:val="both"/>
        <w:rPr>
          <w:rFonts w:cstheme="minorHAnsi"/>
        </w:rPr>
      </w:pPr>
      <w:r w:rsidRPr="005162E3">
        <w:rPr>
          <w:rFonts w:cstheme="minorHAnsi"/>
        </w:rPr>
        <w:t xml:space="preserve">In order that the justifying protection </w:t>
      </w:r>
      <w:r>
        <w:rPr>
          <w:rFonts w:cstheme="minorHAnsi"/>
        </w:rPr>
        <w:t xml:space="preserve">[…] </w:t>
      </w:r>
      <w:r w:rsidRPr="005162E3">
        <w:rPr>
          <w:rFonts w:cstheme="minorHAnsi"/>
        </w:rPr>
        <w:t xml:space="preserve">may be extended to it, the measure at issue must not only come under one or another of the particular exceptions </w:t>
      </w:r>
      <w:r>
        <w:rPr>
          <w:rFonts w:cstheme="minorHAnsi"/>
        </w:rPr>
        <w:t>[…]</w:t>
      </w:r>
      <w:r w:rsidRPr="005162E3">
        <w:rPr>
          <w:rFonts w:cstheme="minorHAnsi"/>
        </w:rPr>
        <w:t xml:space="preserve">;  it must also satisfy the requirements imposed by the opening clauses </w:t>
      </w:r>
      <w:r>
        <w:rPr>
          <w:rFonts w:cstheme="minorHAnsi"/>
        </w:rPr>
        <w:t>[…]</w:t>
      </w:r>
      <w:r w:rsidRPr="005162E3">
        <w:rPr>
          <w:rFonts w:cstheme="minorHAnsi"/>
        </w:rPr>
        <w:t xml:space="preserve">.  The analysis is, in other words, two-tiered:  first, provisional justification by reason of characterization of the measure </w:t>
      </w:r>
      <w:r>
        <w:rPr>
          <w:rFonts w:cstheme="minorHAnsi"/>
        </w:rPr>
        <w:t>[…]</w:t>
      </w:r>
      <w:r w:rsidRPr="005162E3">
        <w:rPr>
          <w:rFonts w:cstheme="minorHAnsi"/>
        </w:rPr>
        <w:t xml:space="preserve">; second, further appraisal of the same measure under the introductory clauses </w:t>
      </w:r>
      <w:r>
        <w:rPr>
          <w:rFonts w:cstheme="minorHAnsi"/>
        </w:rPr>
        <w:t>[…]</w:t>
      </w:r>
      <w:r w:rsidRPr="005162E3">
        <w:rPr>
          <w:rFonts w:cstheme="minorHAnsi"/>
        </w:rPr>
        <w:t>."</w:t>
      </w:r>
      <w:r>
        <w:rPr>
          <w:rStyle w:val="FootnoteReference"/>
          <w:rFonts w:cstheme="minorHAnsi"/>
        </w:rPr>
        <w:footnoteReference w:id="18"/>
      </w:r>
    </w:p>
    <w:p w14:paraId="05833127" w14:textId="77777777" w:rsidR="0046538F" w:rsidRDefault="0046538F" w:rsidP="0046538F">
      <w:pPr>
        <w:jc w:val="both"/>
        <w:rPr>
          <w:rFonts w:cstheme="minorHAnsi"/>
        </w:rPr>
      </w:pPr>
    </w:p>
    <w:p w14:paraId="15016BAE" w14:textId="77777777" w:rsidR="0046538F" w:rsidRDefault="0046538F" w:rsidP="0046538F">
      <w:pPr>
        <w:jc w:val="both"/>
        <w:rPr>
          <w:rFonts w:cstheme="minorHAnsi"/>
        </w:rPr>
      </w:pPr>
      <w:r>
        <w:rPr>
          <w:rFonts w:cstheme="minorHAnsi"/>
        </w:rPr>
        <w:t xml:space="preserve">Further to the above, </w:t>
      </w:r>
      <w:r w:rsidRPr="00920C56">
        <w:rPr>
          <w:rFonts w:cstheme="minorHAnsi"/>
        </w:rPr>
        <w:t>in Colombia</w:t>
      </w:r>
      <w:r>
        <w:rPr>
          <w:rFonts w:cstheme="minorHAnsi"/>
        </w:rPr>
        <w:t xml:space="preserve"> - Textiles, the AB stated, again with regard to the corresponding language in Article XX</w:t>
      </w:r>
      <w:r w:rsidRPr="007A0D52">
        <w:rPr>
          <w:rFonts w:cstheme="minorHAnsi"/>
        </w:rPr>
        <w:t xml:space="preserve"> </w:t>
      </w:r>
      <w:r>
        <w:rPr>
          <w:rFonts w:cstheme="minorHAnsi"/>
        </w:rPr>
        <w:t>GATT</w:t>
      </w:r>
      <w:r w:rsidRPr="00920C56">
        <w:rPr>
          <w:rFonts w:cstheme="minorHAnsi"/>
        </w:rPr>
        <w:t>:</w:t>
      </w:r>
    </w:p>
    <w:p w14:paraId="728CA2C3" w14:textId="77777777" w:rsidR="0046538F" w:rsidRPr="00920C56" w:rsidRDefault="0046538F" w:rsidP="0046538F">
      <w:pPr>
        <w:jc w:val="both"/>
        <w:rPr>
          <w:rFonts w:cstheme="minorHAnsi"/>
        </w:rPr>
      </w:pPr>
    </w:p>
    <w:p w14:paraId="184D07A8" w14:textId="77777777" w:rsidR="0046538F" w:rsidRDefault="0046538F" w:rsidP="0046538F">
      <w:pPr>
        <w:ind w:left="720"/>
        <w:jc w:val="both"/>
        <w:rPr>
          <w:rFonts w:cstheme="minorHAnsi"/>
        </w:rPr>
      </w:pPr>
      <w:r>
        <w:rPr>
          <w:rFonts w:cstheme="minorHAnsi"/>
        </w:rPr>
        <w:t xml:space="preserve">[…] </w:t>
      </w:r>
      <w:r w:rsidRPr="00920C56">
        <w:rPr>
          <w:rFonts w:cstheme="minorHAnsi"/>
        </w:rPr>
        <w:t>The more vital or important the interests or values that are reflected in the objective of the measure, the easier it would be to accept a measure as 'necessary'.</w:t>
      </w:r>
      <w:r>
        <w:rPr>
          <w:rStyle w:val="FootnoteReference"/>
          <w:rFonts w:cstheme="minorHAnsi"/>
        </w:rPr>
        <w:footnoteReference w:id="19"/>
      </w:r>
    </w:p>
    <w:p w14:paraId="5E2B7266" w14:textId="77777777" w:rsidR="0046538F" w:rsidRPr="00920C56" w:rsidRDefault="0046538F" w:rsidP="0046538F">
      <w:pPr>
        <w:ind w:left="720"/>
        <w:jc w:val="both"/>
        <w:rPr>
          <w:rFonts w:cstheme="minorHAnsi"/>
        </w:rPr>
      </w:pPr>
    </w:p>
    <w:p w14:paraId="43D0A000" w14:textId="77777777" w:rsidR="0046538F" w:rsidRDefault="0046538F" w:rsidP="0046538F">
      <w:pPr>
        <w:jc w:val="both"/>
        <w:rPr>
          <w:rFonts w:cstheme="minorHAnsi"/>
        </w:rPr>
      </w:pPr>
      <w:r>
        <w:rPr>
          <w:rFonts w:cstheme="minorHAnsi"/>
        </w:rPr>
        <w:t xml:space="preserve">It found also that </w:t>
      </w:r>
      <w:r w:rsidRPr="00920C56">
        <w:rPr>
          <w:rFonts w:cstheme="minorHAnsi"/>
        </w:rPr>
        <w:t>'[t]he greater the contribution, the more easily a measure might be considered to be 'necessary'.'</w:t>
      </w:r>
      <w:r>
        <w:rPr>
          <w:rStyle w:val="FootnoteReference"/>
          <w:rFonts w:cstheme="minorHAnsi"/>
        </w:rPr>
        <w:footnoteReference w:id="20"/>
      </w:r>
    </w:p>
    <w:p w14:paraId="3596FDE3" w14:textId="77777777" w:rsidR="0046538F" w:rsidRDefault="0046538F" w:rsidP="0046538F">
      <w:pPr>
        <w:jc w:val="both"/>
        <w:rPr>
          <w:rFonts w:cstheme="minorHAnsi"/>
        </w:rPr>
      </w:pPr>
    </w:p>
    <w:p w14:paraId="7C96B7CA" w14:textId="4DC4A082" w:rsidR="0046538F" w:rsidRDefault="0046538F" w:rsidP="0046538F">
      <w:pPr>
        <w:ind w:firstLine="720"/>
        <w:jc w:val="both"/>
        <w:rPr>
          <w:rFonts w:cstheme="minorHAnsi"/>
        </w:rPr>
      </w:pPr>
      <w:r>
        <w:rPr>
          <w:rFonts w:cstheme="minorHAnsi"/>
        </w:rPr>
        <w:t>Certainly, the acceptability of all conceivable measures taken in response to the COVID-19 crisis cannot be assumed</w:t>
      </w:r>
      <w:r w:rsidR="006D7A2B">
        <w:rPr>
          <w:rFonts w:cstheme="minorHAnsi"/>
        </w:rPr>
        <w:t>,</w:t>
      </w:r>
      <w:r>
        <w:rPr>
          <w:rFonts w:cstheme="minorHAnsi"/>
        </w:rPr>
        <w:t xml:space="preserve"> in advance</w:t>
      </w:r>
      <w:r w:rsidR="006D7A2B">
        <w:rPr>
          <w:rFonts w:cstheme="minorHAnsi"/>
        </w:rPr>
        <w:t>, vis-à-vis the elements of Article III:2</w:t>
      </w:r>
      <w:r>
        <w:rPr>
          <w:rFonts w:cstheme="minorHAnsi"/>
        </w:rPr>
        <w:t xml:space="preserve">. </w:t>
      </w:r>
      <w:r w:rsidR="00B87D85">
        <w:rPr>
          <w:rFonts w:cstheme="minorHAnsi"/>
        </w:rPr>
        <w:t>Still</w:t>
      </w:r>
      <w:r>
        <w:rPr>
          <w:rFonts w:cstheme="minorHAnsi"/>
        </w:rPr>
        <w:t xml:space="preserve">, the COVID-19 </w:t>
      </w:r>
      <w:r>
        <w:rPr>
          <w:rFonts w:cstheme="minorHAnsi"/>
        </w:rPr>
        <w:lastRenderedPageBreak/>
        <w:t xml:space="preserve">crisis has already resulted in the deaths of (minimally) </w:t>
      </w:r>
      <w:r w:rsidR="00B87D85">
        <w:rPr>
          <w:rFonts w:cstheme="minorHAnsi"/>
        </w:rPr>
        <w:t>hundreds</w:t>
      </w:r>
      <w:r>
        <w:rPr>
          <w:rFonts w:cstheme="minorHAnsi"/>
        </w:rPr>
        <w:t xml:space="preserve"> of thousands of people worldwide and has been compared</w:t>
      </w:r>
      <w:r w:rsidR="00EF3404">
        <w:rPr>
          <w:rFonts w:cstheme="minorHAnsi"/>
        </w:rPr>
        <w:t>,</w:t>
      </w:r>
      <w:r>
        <w:rPr>
          <w:rFonts w:cstheme="minorHAnsi"/>
        </w:rPr>
        <w:t xml:space="preserve"> in its impact</w:t>
      </w:r>
      <w:r w:rsidR="00EF3404">
        <w:rPr>
          <w:rFonts w:cstheme="minorHAnsi"/>
        </w:rPr>
        <w:t xml:space="preserve"> and lessons to be learned,</w:t>
      </w:r>
      <w:r>
        <w:rPr>
          <w:rFonts w:cstheme="minorHAnsi"/>
        </w:rPr>
        <w:t xml:space="preserve"> to the “Spanish Flu” of 1918.</w:t>
      </w:r>
      <w:r>
        <w:rPr>
          <w:rStyle w:val="FootnoteReference"/>
          <w:rFonts w:cstheme="minorHAnsi"/>
        </w:rPr>
        <w:footnoteReference w:id="21"/>
      </w:r>
      <w:r>
        <w:rPr>
          <w:rFonts w:cstheme="minorHAnsi"/>
        </w:rPr>
        <w:t xml:space="preserve"> In this context, there would seem to be broad scope to invoke the GPA’s general exception for human (or animal or plant) life and health in relation to measures taken to enhance the speed and efficacy of procurements of goods and services such as medicines, mask, gloves, ventilators and other medical apparel and equipment that appear currently to be desperately needed to relieve suffering and death, and defeat the virus.</w:t>
      </w:r>
      <w:r>
        <w:rPr>
          <w:rStyle w:val="FootnoteReference"/>
          <w:rFonts w:cstheme="minorHAnsi"/>
        </w:rPr>
        <w:footnoteReference w:id="22"/>
      </w:r>
      <w:r w:rsidR="00C1668F">
        <w:rPr>
          <w:rFonts w:cstheme="minorHAnsi"/>
        </w:rPr>
        <w:t xml:space="preserve"> </w:t>
      </w:r>
    </w:p>
    <w:p w14:paraId="2CAF3634" w14:textId="58BF2DAC" w:rsidR="008B1EFB" w:rsidRDefault="008B1EFB" w:rsidP="003E04A4">
      <w:pPr>
        <w:ind w:firstLine="720"/>
        <w:jc w:val="both"/>
        <w:rPr>
          <w:rFonts w:cstheme="minorHAnsi"/>
        </w:rPr>
      </w:pPr>
    </w:p>
    <w:p w14:paraId="664155D5" w14:textId="50D288CF" w:rsidR="00D71F86" w:rsidRDefault="00262DFA" w:rsidP="00262DFA">
      <w:pPr>
        <w:ind w:firstLine="720"/>
        <w:jc w:val="both"/>
        <w:rPr>
          <w:rFonts w:cstheme="minorHAnsi"/>
        </w:rPr>
      </w:pPr>
      <w:r>
        <w:rPr>
          <w:rFonts w:cstheme="minorHAnsi"/>
        </w:rPr>
        <w:t>Overall</w:t>
      </w:r>
      <w:r w:rsidR="00C4170F">
        <w:rPr>
          <w:rFonts w:cstheme="minorHAnsi"/>
        </w:rPr>
        <w:t xml:space="preserve">, </w:t>
      </w:r>
      <w:r w:rsidR="0004441D">
        <w:rPr>
          <w:rFonts w:cstheme="minorHAnsi"/>
        </w:rPr>
        <w:t xml:space="preserve">as outlined above, </w:t>
      </w:r>
      <w:r w:rsidR="00C4170F">
        <w:rPr>
          <w:rFonts w:cstheme="minorHAnsi"/>
        </w:rPr>
        <w:t>the</w:t>
      </w:r>
      <w:r w:rsidR="005C79AD">
        <w:rPr>
          <w:rFonts w:cstheme="minorHAnsi"/>
        </w:rPr>
        <w:t xml:space="preserve"> GPA </w:t>
      </w:r>
      <w:r w:rsidR="00C4170F">
        <w:rPr>
          <w:rFonts w:cstheme="minorHAnsi"/>
        </w:rPr>
        <w:t>e</w:t>
      </w:r>
      <w:r>
        <w:rPr>
          <w:rFonts w:cstheme="minorHAnsi"/>
        </w:rPr>
        <w:t xml:space="preserve">stablishes a </w:t>
      </w:r>
      <w:r w:rsidR="005C79AD">
        <w:rPr>
          <w:rFonts w:cstheme="minorHAnsi"/>
        </w:rPr>
        <w:t xml:space="preserve">tiered approach, depending on </w:t>
      </w:r>
      <w:r w:rsidR="00256B50">
        <w:rPr>
          <w:rFonts w:cstheme="minorHAnsi"/>
        </w:rPr>
        <w:t xml:space="preserve">the evolution of </w:t>
      </w:r>
      <w:r w:rsidR="00C4170F">
        <w:rPr>
          <w:rFonts w:cstheme="minorHAnsi"/>
        </w:rPr>
        <w:t>a</w:t>
      </w:r>
      <w:r w:rsidR="00256B50">
        <w:rPr>
          <w:rFonts w:cstheme="minorHAnsi"/>
        </w:rPr>
        <w:t xml:space="preserve"> crisis and on </w:t>
      </w:r>
      <w:r w:rsidR="005C79AD">
        <w:rPr>
          <w:rFonts w:cstheme="minorHAnsi"/>
        </w:rPr>
        <w:t xml:space="preserve">how critical the goods and services procurement are </w:t>
      </w:r>
      <w:r w:rsidR="004069B4">
        <w:rPr>
          <w:rFonts w:cstheme="minorHAnsi"/>
        </w:rPr>
        <w:t xml:space="preserve">for crisis response. </w:t>
      </w:r>
      <w:r w:rsidR="002D340F">
        <w:rPr>
          <w:rFonts w:cstheme="minorHAnsi"/>
        </w:rPr>
        <w:t xml:space="preserve">As we have stressed, in the limit, </w:t>
      </w:r>
      <w:r w:rsidR="005F503F">
        <w:rPr>
          <w:rFonts w:cstheme="minorHAnsi"/>
        </w:rPr>
        <w:t xml:space="preserve">Parties can impose </w:t>
      </w:r>
      <w:r w:rsidR="005F503F" w:rsidRPr="00894EE8">
        <w:rPr>
          <w:rFonts w:cstheme="minorHAnsi"/>
          <w:i/>
          <w:iCs/>
        </w:rPr>
        <w:t xml:space="preserve">“any measure” </w:t>
      </w:r>
      <w:r w:rsidR="0004441D" w:rsidRPr="00894EE8">
        <w:rPr>
          <w:rFonts w:cstheme="minorHAnsi"/>
          <w:i/>
          <w:iCs/>
        </w:rPr>
        <w:t xml:space="preserve">necessary </w:t>
      </w:r>
      <w:r w:rsidR="005F503F" w:rsidRPr="00894EE8">
        <w:rPr>
          <w:rFonts w:cstheme="minorHAnsi"/>
          <w:i/>
          <w:iCs/>
        </w:rPr>
        <w:t>to protect human health</w:t>
      </w:r>
      <w:r w:rsidR="002D340F">
        <w:rPr>
          <w:rFonts w:cstheme="minorHAnsi"/>
        </w:rPr>
        <w:t xml:space="preserve">. They </w:t>
      </w:r>
      <w:r w:rsidR="00C27895">
        <w:rPr>
          <w:rFonts w:cstheme="minorHAnsi"/>
        </w:rPr>
        <w:t>may not</w:t>
      </w:r>
      <w:r w:rsidR="002D340F">
        <w:rPr>
          <w:rFonts w:cstheme="minorHAnsi"/>
        </w:rPr>
        <w:t>, however,</w:t>
      </w:r>
      <w:r w:rsidR="00C27895">
        <w:rPr>
          <w:rFonts w:cstheme="minorHAnsi"/>
        </w:rPr>
        <w:t xml:space="preserve"> have to resort to reliance on </w:t>
      </w:r>
      <w:r w:rsidR="00894EE8">
        <w:rPr>
          <w:rFonts w:cstheme="minorHAnsi"/>
        </w:rPr>
        <w:t>this</w:t>
      </w:r>
      <w:r w:rsidR="00C27895">
        <w:rPr>
          <w:rFonts w:cstheme="minorHAnsi"/>
        </w:rPr>
        <w:t xml:space="preserve"> general exception</w:t>
      </w:r>
      <w:r w:rsidR="002D340F">
        <w:rPr>
          <w:rFonts w:cstheme="minorHAnsi"/>
        </w:rPr>
        <w:t>,</w:t>
      </w:r>
      <w:r w:rsidR="00C27895">
        <w:rPr>
          <w:rFonts w:cstheme="minorHAnsi"/>
        </w:rPr>
        <w:t xml:space="preserve"> as they</w:t>
      </w:r>
      <w:r w:rsidR="00663724">
        <w:rPr>
          <w:rFonts w:cstheme="minorHAnsi"/>
        </w:rPr>
        <w:t xml:space="preserve"> can</w:t>
      </w:r>
      <w:r w:rsidR="00C27895">
        <w:rPr>
          <w:rFonts w:cstheme="minorHAnsi"/>
        </w:rPr>
        <w:t xml:space="preserve"> also</w:t>
      </w:r>
      <w:r w:rsidR="00663724">
        <w:rPr>
          <w:rFonts w:cstheme="minorHAnsi"/>
        </w:rPr>
        <w:t xml:space="preserve"> procure necessary goods and services</w:t>
      </w:r>
      <w:r w:rsidR="001136C0">
        <w:rPr>
          <w:rFonts w:cstheme="minorHAnsi"/>
        </w:rPr>
        <w:t xml:space="preserve"> </w:t>
      </w:r>
      <w:r w:rsidR="001C45EA">
        <w:rPr>
          <w:rFonts w:cstheme="minorHAnsi"/>
        </w:rPr>
        <w:t>through limited tendering in conditions of</w:t>
      </w:r>
      <w:r w:rsidR="001136C0">
        <w:rPr>
          <w:rFonts w:cstheme="minorHAnsi"/>
        </w:rPr>
        <w:t xml:space="preserve"> “extreme urgency”, and </w:t>
      </w:r>
      <w:r w:rsidR="00F75177">
        <w:rPr>
          <w:rFonts w:cstheme="minorHAnsi"/>
        </w:rPr>
        <w:t xml:space="preserve">generally </w:t>
      </w:r>
      <w:r w:rsidR="00894EE8">
        <w:rPr>
          <w:rFonts w:cstheme="minorHAnsi"/>
        </w:rPr>
        <w:t>expedite</w:t>
      </w:r>
      <w:r w:rsidR="00F75177">
        <w:rPr>
          <w:rFonts w:cstheme="minorHAnsi"/>
        </w:rPr>
        <w:t xml:space="preserve"> procurements for reasons of </w:t>
      </w:r>
      <w:r w:rsidR="003C53BB">
        <w:rPr>
          <w:rFonts w:cstheme="minorHAnsi"/>
        </w:rPr>
        <w:t xml:space="preserve">duly substantiated urgency </w:t>
      </w:r>
      <w:r w:rsidR="00F75177">
        <w:rPr>
          <w:rFonts w:cstheme="minorHAnsi"/>
        </w:rPr>
        <w:t xml:space="preserve">even </w:t>
      </w:r>
      <w:r w:rsidR="003C53BB">
        <w:rPr>
          <w:rFonts w:cstheme="minorHAnsi"/>
        </w:rPr>
        <w:t xml:space="preserve">when </w:t>
      </w:r>
      <w:r w:rsidR="00843C15">
        <w:rPr>
          <w:rFonts w:cstheme="minorHAnsi"/>
        </w:rPr>
        <w:t>normal</w:t>
      </w:r>
      <w:r w:rsidR="00F75177">
        <w:rPr>
          <w:rFonts w:cstheme="minorHAnsi"/>
        </w:rPr>
        <w:t xml:space="preserve"> procurement methods </w:t>
      </w:r>
      <w:r w:rsidR="00843C15">
        <w:rPr>
          <w:rFonts w:cstheme="minorHAnsi"/>
        </w:rPr>
        <w:t>are</w:t>
      </w:r>
      <w:r w:rsidR="003C53BB">
        <w:rPr>
          <w:rFonts w:cstheme="minorHAnsi"/>
        </w:rPr>
        <w:t xml:space="preserve"> used.</w:t>
      </w:r>
      <w:r>
        <w:rPr>
          <w:rFonts w:cstheme="minorHAnsi"/>
        </w:rPr>
        <w:t xml:space="preserve"> </w:t>
      </w:r>
      <w:r w:rsidR="00C27895">
        <w:rPr>
          <w:rFonts w:cstheme="minorHAnsi"/>
        </w:rPr>
        <w:t>In this way</w:t>
      </w:r>
      <w:r w:rsidR="003C53BB">
        <w:rPr>
          <w:rFonts w:cstheme="minorHAnsi"/>
        </w:rPr>
        <w:t xml:space="preserve">, </w:t>
      </w:r>
      <w:r w:rsidR="00602BA8">
        <w:rPr>
          <w:rFonts w:cstheme="minorHAnsi"/>
        </w:rPr>
        <w:t>post-award transparency measures</w:t>
      </w:r>
      <w:r w:rsidR="00D71F86">
        <w:rPr>
          <w:rFonts w:cstheme="minorHAnsi"/>
        </w:rPr>
        <w:t>, inter alia,</w:t>
      </w:r>
      <w:r w:rsidR="00602BA8">
        <w:rPr>
          <w:rFonts w:cstheme="minorHAnsi"/>
        </w:rPr>
        <w:t xml:space="preserve"> remain applicable</w:t>
      </w:r>
      <w:r w:rsidR="006B0513">
        <w:rPr>
          <w:rFonts w:cstheme="minorHAnsi"/>
        </w:rPr>
        <w:t xml:space="preserve"> to the largest extent possible</w:t>
      </w:r>
      <w:r w:rsidR="00602BA8">
        <w:rPr>
          <w:rFonts w:cstheme="minorHAnsi"/>
        </w:rPr>
        <w:t xml:space="preserve">. </w:t>
      </w:r>
      <w:r>
        <w:rPr>
          <w:rFonts w:cstheme="minorHAnsi"/>
        </w:rPr>
        <w:t xml:space="preserve">From this perspective, </w:t>
      </w:r>
      <w:r w:rsidR="006D31FC">
        <w:t xml:space="preserve">the GPA </w:t>
      </w:r>
      <w:r>
        <w:t xml:space="preserve">supports and </w:t>
      </w:r>
      <w:r w:rsidR="00843C15">
        <w:t>embodies</w:t>
      </w:r>
      <w:r w:rsidR="00067293">
        <w:t xml:space="preserve"> </w:t>
      </w:r>
      <w:r w:rsidR="00A0659A">
        <w:t xml:space="preserve">the </w:t>
      </w:r>
      <w:r>
        <w:t>principle</w:t>
      </w:r>
      <w:r w:rsidR="00A0659A">
        <w:t xml:space="preserve">, </w:t>
      </w:r>
      <w:r>
        <w:t xml:space="preserve">enunciated </w:t>
      </w:r>
      <w:r w:rsidR="00843C15">
        <w:t>for example</w:t>
      </w:r>
      <w:r w:rsidR="004877B2">
        <w:t xml:space="preserve"> by the Open Contracting Partnership</w:t>
      </w:r>
      <w:r>
        <w:t>,</w:t>
      </w:r>
      <w:r w:rsidR="004877B2">
        <w:t xml:space="preserve"> </w:t>
      </w:r>
      <w:r>
        <w:t>that</w:t>
      </w:r>
      <w:r w:rsidR="004877B2">
        <w:t xml:space="preserve"> </w:t>
      </w:r>
      <w:r w:rsidR="00843C15">
        <w:t xml:space="preserve">even </w:t>
      </w:r>
      <w:r w:rsidR="004877B2">
        <w:t xml:space="preserve">emergency procedures </w:t>
      </w:r>
      <w:r w:rsidR="00843C15">
        <w:t xml:space="preserve">should </w:t>
      </w:r>
      <w:r>
        <w:t>remain as open and transparent as possible</w:t>
      </w:r>
      <w:r w:rsidR="004877B2">
        <w:t>.</w:t>
      </w:r>
      <w:r w:rsidR="004877B2">
        <w:rPr>
          <w:rStyle w:val="FootnoteReference"/>
        </w:rPr>
        <w:footnoteReference w:id="23"/>
      </w:r>
      <w:r w:rsidR="004877B2">
        <w:t xml:space="preserve"> Argu</w:t>
      </w:r>
      <w:r w:rsidR="00776004">
        <w:t xml:space="preserve">ably, </w:t>
      </w:r>
      <w:r>
        <w:t>th</w:t>
      </w:r>
      <w:r w:rsidR="00843C15">
        <w:t>is is</w:t>
      </w:r>
      <w:r>
        <w:t xml:space="preserve"> essential </w:t>
      </w:r>
      <w:r w:rsidR="00A210A2">
        <w:t xml:space="preserve">not only </w:t>
      </w:r>
      <w:r w:rsidR="0061459D">
        <w:t xml:space="preserve">to </w:t>
      </w:r>
      <w:r w:rsidR="00A210A2">
        <w:t xml:space="preserve">maintain </w:t>
      </w:r>
      <w:r w:rsidR="0061459D">
        <w:t xml:space="preserve">public </w:t>
      </w:r>
      <w:r w:rsidR="00A210A2">
        <w:t xml:space="preserve">trust in the procurement system during </w:t>
      </w:r>
      <w:r w:rsidR="0061459D">
        <w:t>a</w:t>
      </w:r>
      <w:r w:rsidR="00A210A2">
        <w:t xml:space="preserve"> crisis, but also </w:t>
      </w:r>
      <w:r w:rsidR="0061459D">
        <w:t>to enable appropriate</w:t>
      </w:r>
      <w:r w:rsidR="00A210A2">
        <w:t xml:space="preserve"> post-crisis audits and monitoring.</w:t>
      </w:r>
    </w:p>
    <w:p w14:paraId="14830BE4" w14:textId="77777777" w:rsidR="00D71F86" w:rsidRDefault="00D71F86" w:rsidP="00262DFA">
      <w:pPr>
        <w:ind w:firstLine="720"/>
        <w:jc w:val="both"/>
        <w:rPr>
          <w:rFonts w:cstheme="minorHAnsi"/>
        </w:rPr>
      </w:pPr>
    </w:p>
    <w:p w14:paraId="09766D1D" w14:textId="1DE7A45E" w:rsidR="007A61A7" w:rsidRDefault="00D71F86" w:rsidP="00262DFA">
      <w:pPr>
        <w:ind w:firstLine="720"/>
        <w:jc w:val="both"/>
      </w:pPr>
      <w:r>
        <w:rPr>
          <w:rFonts w:cstheme="minorHAnsi"/>
        </w:rPr>
        <w:t>F</w:t>
      </w:r>
      <w:r w:rsidR="00F53418">
        <w:rPr>
          <w:rFonts w:cstheme="minorHAnsi"/>
        </w:rPr>
        <w:t xml:space="preserve">urthermore, to </w:t>
      </w:r>
      <w:r>
        <w:rPr>
          <w:rFonts w:cstheme="minorHAnsi"/>
        </w:rPr>
        <w:t>para</w:t>
      </w:r>
      <w:r w:rsidR="00F53418">
        <w:rPr>
          <w:rFonts w:cstheme="minorHAnsi"/>
        </w:rPr>
        <w:t xml:space="preserve">phrase the legal terms of the chapeau of Article III:2 of the GPA, even </w:t>
      </w:r>
      <w:r>
        <w:rPr>
          <w:rFonts w:cstheme="minorHAnsi"/>
        </w:rPr>
        <w:t>where</w:t>
      </w:r>
      <w:r w:rsidR="00F53418">
        <w:rPr>
          <w:rFonts w:cstheme="minorHAnsi"/>
        </w:rPr>
        <w:t xml:space="preserve"> general exceptions are </w:t>
      </w:r>
      <w:r w:rsidR="00B40021">
        <w:rPr>
          <w:rFonts w:cstheme="minorHAnsi"/>
        </w:rPr>
        <w:t>put to use</w:t>
      </w:r>
      <w:r w:rsidR="00F53418">
        <w:rPr>
          <w:rFonts w:cstheme="minorHAnsi"/>
        </w:rPr>
        <w:t xml:space="preserve">, GPA Parties have affirmed their general belief in upholding the most-favored nation principle among each other, and to refrain from using any crisis opportunistically to close markets. </w:t>
      </w:r>
      <w:r w:rsidR="00B40021">
        <w:rPr>
          <w:rFonts w:cstheme="minorHAnsi"/>
        </w:rPr>
        <w:t>Again</w:t>
      </w:r>
      <w:r w:rsidR="00F53418">
        <w:rPr>
          <w:rFonts w:cstheme="minorHAnsi"/>
        </w:rPr>
        <w:t xml:space="preserve">, given the changing nature of crises the world may face, and economies’ mutual interdependence in responding to them, these principles </w:t>
      </w:r>
      <w:r>
        <w:rPr>
          <w:rFonts w:cstheme="minorHAnsi"/>
        </w:rPr>
        <w:t xml:space="preserve">would </w:t>
      </w:r>
      <w:r w:rsidR="00B40021">
        <w:rPr>
          <w:rFonts w:cstheme="minorHAnsi"/>
        </w:rPr>
        <w:t>seem to be</w:t>
      </w:r>
      <w:r w:rsidR="00F53418">
        <w:rPr>
          <w:rFonts w:cstheme="minorHAnsi"/>
        </w:rPr>
        <w:t xml:space="preserve"> help</w:t>
      </w:r>
      <w:r w:rsidR="00B40021">
        <w:rPr>
          <w:rFonts w:cstheme="minorHAnsi"/>
        </w:rPr>
        <w:t xml:space="preserve">ful </w:t>
      </w:r>
      <w:r>
        <w:rPr>
          <w:rFonts w:cstheme="minorHAnsi"/>
        </w:rPr>
        <w:t xml:space="preserve">or, at the very least, benign </w:t>
      </w:r>
      <w:r w:rsidR="00F53418">
        <w:rPr>
          <w:rFonts w:cstheme="minorHAnsi"/>
        </w:rPr>
        <w:t xml:space="preserve">in </w:t>
      </w:r>
      <w:r>
        <w:rPr>
          <w:rFonts w:cstheme="minorHAnsi"/>
        </w:rPr>
        <w:t>terms of facilitating</w:t>
      </w:r>
      <w:r w:rsidR="00F53418">
        <w:rPr>
          <w:rFonts w:cstheme="minorHAnsi"/>
        </w:rPr>
        <w:t xml:space="preserve"> </w:t>
      </w:r>
      <w:r w:rsidR="002D340F">
        <w:rPr>
          <w:rFonts w:cstheme="minorHAnsi"/>
        </w:rPr>
        <w:t xml:space="preserve">robust </w:t>
      </w:r>
      <w:r w:rsidR="00F53418">
        <w:rPr>
          <w:rFonts w:cstheme="minorHAnsi"/>
        </w:rPr>
        <w:t>global solutions to global cris</w:t>
      </w:r>
      <w:r w:rsidR="002D340F">
        <w:rPr>
          <w:rFonts w:cstheme="minorHAnsi"/>
        </w:rPr>
        <w:t>e</w:t>
      </w:r>
      <w:r w:rsidR="00F53418">
        <w:rPr>
          <w:rFonts w:cstheme="minorHAnsi"/>
        </w:rPr>
        <w:t>s.</w:t>
      </w:r>
    </w:p>
    <w:p w14:paraId="52CF975A" w14:textId="77777777" w:rsidR="006D31FC" w:rsidRDefault="006D31FC" w:rsidP="007A61A7">
      <w:pPr>
        <w:jc w:val="both"/>
      </w:pPr>
    </w:p>
    <w:p w14:paraId="4B617271" w14:textId="77777777" w:rsidR="00C4170F" w:rsidRDefault="00C4170F" w:rsidP="007A61A7">
      <w:pPr>
        <w:pStyle w:val="ListParagraph"/>
        <w:numPr>
          <w:ilvl w:val="0"/>
          <w:numId w:val="1"/>
        </w:numPr>
        <w:jc w:val="both"/>
        <w:rPr>
          <w:b/>
          <w:bCs/>
        </w:rPr>
      </w:pPr>
      <w:r>
        <w:rPr>
          <w:b/>
          <w:bCs/>
        </w:rPr>
        <w:t>Concluding remarks</w:t>
      </w:r>
    </w:p>
    <w:p w14:paraId="4DA31114" w14:textId="68571468" w:rsidR="00A270B5" w:rsidRPr="00A270B5" w:rsidRDefault="002423BB" w:rsidP="00FF5A02">
      <w:pPr>
        <w:pStyle w:val="c-article-bodytext"/>
        <w:ind w:firstLine="720"/>
        <w:jc w:val="both"/>
        <w:rPr>
          <w:rFonts w:asciiTheme="minorHAnsi" w:hAnsiTheme="minorHAnsi" w:cstheme="minorHAnsi"/>
          <w:color w:val="191919"/>
        </w:rPr>
      </w:pPr>
      <w:r w:rsidRPr="00A270B5">
        <w:rPr>
          <w:rFonts w:asciiTheme="minorHAnsi" w:hAnsiTheme="minorHAnsi" w:cstheme="minorHAnsi"/>
          <w:color w:val="191919"/>
        </w:rPr>
        <w:t xml:space="preserve">In normal times, the WTO Agreement on Government Procurement serves as a bulwark of open and transparent markets in the public procurement sector. This has been </w:t>
      </w:r>
      <w:r w:rsidR="00803837">
        <w:rPr>
          <w:rFonts w:asciiTheme="minorHAnsi" w:hAnsiTheme="minorHAnsi" w:cstheme="minorHAnsi"/>
          <w:color w:val="191919"/>
        </w:rPr>
        <w:t>considered</w:t>
      </w:r>
      <w:r w:rsidRPr="00A270B5">
        <w:rPr>
          <w:rFonts w:asciiTheme="minorHAnsi" w:hAnsiTheme="minorHAnsi" w:cstheme="minorHAnsi"/>
          <w:color w:val="191919"/>
        </w:rPr>
        <w:t xml:space="preserve"> by </w:t>
      </w:r>
      <w:r w:rsidRPr="00A270B5">
        <w:rPr>
          <w:rFonts w:asciiTheme="minorHAnsi" w:hAnsiTheme="minorHAnsi" w:cstheme="minorHAnsi"/>
          <w:color w:val="191919"/>
        </w:rPr>
        <w:lastRenderedPageBreak/>
        <w:t xml:space="preserve">the Parties to the Agreement, over </w:t>
      </w:r>
      <w:r w:rsidR="00803837">
        <w:rPr>
          <w:rFonts w:asciiTheme="minorHAnsi" w:hAnsiTheme="minorHAnsi" w:cstheme="minorHAnsi"/>
          <w:color w:val="191919"/>
        </w:rPr>
        <w:t>many</w:t>
      </w:r>
      <w:r w:rsidRPr="00A270B5">
        <w:rPr>
          <w:rFonts w:asciiTheme="minorHAnsi" w:hAnsiTheme="minorHAnsi" w:cstheme="minorHAnsi"/>
          <w:color w:val="191919"/>
        </w:rPr>
        <w:t xml:space="preserve"> years, to be an important guarantor of both the rights of the Parties’ suppliers and of best value for money for governments and citizens. </w:t>
      </w:r>
      <w:r w:rsidR="00803837">
        <w:rPr>
          <w:rFonts w:asciiTheme="minorHAnsi" w:hAnsiTheme="minorHAnsi" w:cstheme="minorHAnsi"/>
          <w:color w:val="191919"/>
        </w:rPr>
        <w:t xml:space="preserve">The Agreement also promotes the use of modern e-procurement tools and embodies important commitments to the avoidance of conflicts of interest and the prevention of corrupt practices. </w:t>
      </w:r>
      <w:r w:rsidR="00A270B5" w:rsidRPr="00A270B5">
        <w:rPr>
          <w:rFonts w:asciiTheme="minorHAnsi" w:hAnsiTheme="minorHAnsi" w:cstheme="minorHAnsi"/>
        </w:rPr>
        <w:t>As has been set out in this article, the Agreement includes substantial coverage of medicines, PPEs and other medical equipment</w:t>
      </w:r>
      <w:r w:rsidR="00386D52">
        <w:rPr>
          <w:rFonts w:asciiTheme="minorHAnsi" w:hAnsiTheme="minorHAnsi" w:cstheme="minorHAnsi"/>
        </w:rPr>
        <w:t>,</w:t>
      </w:r>
      <w:r w:rsidR="00A270B5" w:rsidRPr="00A270B5">
        <w:rPr>
          <w:rFonts w:asciiTheme="minorHAnsi" w:hAnsiTheme="minorHAnsi" w:cstheme="minorHAnsi"/>
        </w:rPr>
        <w:t xml:space="preserve"> and (to a degree) related services. </w:t>
      </w:r>
    </w:p>
    <w:p w14:paraId="1DC242A3" w14:textId="26040D91" w:rsidR="00293901" w:rsidRDefault="00A270B5" w:rsidP="00014AC9">
      <w:pPr>
        <w:ind w:firstLine="720"/>
        <w:jc w:val="both"/>
        <w:rPr>
          <w:rFonts w:cstheme="minorHAnsi"/>
        </w:rPr>
      </w:pPr>
      <w:r w:rsidRPr="00A270B5">
        <w:rPr>
          <w:rFonts w:cstheme="minorHAnsi"/>
        </w:rPr>
        <w:t xml:space="preserve"> </w:t>
      </w:r>
      <w:r w:rsidR="000E3F73">
        <w:rPr>
          <w:rFonts w:cstheme="minorHAnsi"/>
        </w:rPr>
        <w:t>Notwithstanding the above</w:t>
      </w:r>
      <w:r w:rsidRPr="00A270B5">
        <w:rPr>
          <w:rFonts w:cstheme="minorHAnsi"/>
        </w:rPr>
        <w:t xml:space="preserve">, the GPA </w:t>
      </w:r>
      <w:r w:rsidR="00D72241">
        <w:rPr>
          <w:rFonts w:cstheme="minorHAnsi"/>
        </w:rPr>
        <w:t xml:space="preserve">also </w:t>
      </w:r>
      <w:r w:rsidRPr="00A270B5">
        <w:rPr>
          <w:rFonts w:cstheme="minorHAnsi"/>
        </w:rPr>
        <w:t xml:space="preserve">incorporates important flexibilities that preserve the discretion of governments to respond to public health crises and to act decisively in the interests of their citizens, in a timely manner. </w:t>
      </w:r>
      <w:r w:rsidR="00883ABF">
        <w:rPr>
          <w:rFonts w:cstheme="minorHAnsi"/>
        </w:rPr>
        <w:t>As elaborated above, these</w:t>
      </w:r>
      <w:r w:rsidRPr="00A270B5">
        <w:rPr>
          <w:rFonts w:cstheme="minorHAnsi"/>
        </w:rPr>
        <w:t xml:space="preserve"> flexibilities include: (</w:t>
      </w:r>
      <w:proofErr w:type="spellStart"/>
      <w:r w:rsidRPr="00A270B5">
        <w:rPr>
          <w:rFonts w:cstheme="minorHAnsi"/>
        </w:rPr>
        <w:t>i</w:t>
      </w:r>
      <w:proofErr w:type="spellEnd"/>
      <w:r w:rsidRPr="00A270B5">
        <w:rPr>
          <w:rFonts w:cstheme="minorHAnsi"/>
        </w:rPr>
        <w:t xml:space="preserve">) </w:t>
      </w:r>
      <w:r w:rsidR="00D72241" w:rsidRPr="00A270B5">
        <w:rPr>
          <w:rFonts w:cstheme="minorHAnsi"/>
        </w:rPr>
        <w:t>the availability of shorter time periods for tendering processes in particular circumstances</w:t>
      </w:r>
      <w:r w:rsidR="00D72241">
        <w:rPr>
          <w:rFonts w:cstheme="minorHAnsi"/>
        </w:rPr>
        <w:t xml:space="preserve">; (ii) </w:t>
      </w:r>
      <w:r w:rsidR="00D72241" w:rsidRPr="00A270B5">
        <w:rPr>
          <w:rFonts w:cstheme="minorHAnsi"/>
        </w:rPr>
        <w:t>(ii) the use of limited tendering in response to public health emergencies;</w:t>
      </w:r>
      <w:r w:rsidR="00D72241">
        <w:rPr>
          <w:rFonts w:cstheme="minorHAnsi"/>
        </w:rPr>
        <w:t xml:space="preserve"> and (iii) </w:t>
      </w:r>
      <w:r w:rsidR="00DA1E14">
        <w:rPr>
          <w:rFonts w:cstheme="minorHAnsi"/>
        </w:rPr>
        <w:t xml:space="preserve">where necessary, </w:t>
      </w:r>
      <w:r w:rsidRPr="00A270B5">
        <w:rPr>
          <w:rFonts w:cstheme="minorHAnsi"/>
        </w:rPr>
        <w:t xml:space="preserve">the General Exception in Article III:2 for measures necessary for the protection of human life and health. These flexibilities ensure that the Agreement </w:t>
      </w:r>
      <w:r w:rsidR="00DA1E14">
        <w:rPr>
          <w:rFonts w:cstheme="minorHAnsi"/>
        </w:rPr>
        <w:t xml:space="preserve">absolutely </w:t>
      </w:r>
      <w:r w:rsidR="002603A2">
        <w:rPr>
          <w:rFonts w:cstheme="minorHAnsi"/>
        </w:rPr>
        <w:t xml:space="preserve">need not and </w:t>
      </w:r>
      <w:r w:rsidRPr="00A270B5">
        <w:rPr>
          <w:rFonts w:cstheme="minorHAnsi"/>
        </w:rPr>
        <w:t xml:space="preserve">will not serve as an obstacle to swift, efficient responses by governments in a time of crisis including, very much, the current COVID-19 </w:t>
      </w:r>
      <w:r w:rsidR="005C20A1">
        <w:rPr>
          <w:rFonts w:cstheme="minorHAnsi"/>
        </w:rPr>
        <w:t>pandemic</w:t>
      </w:r>
      <w:r w:rsidRPr="00A270B5">
        <w:rPr>
          <w:rFonts w:cstheme="minorHAnsi"/>
        </w:rPr>
        <w:t>.</w:t>
      </w:r>
      <w:r w:rsidR="00293901">
        <w:rPr>
          <w:rFonts w:cstheme="minorHAnsi"/>
        </w:rPr>
        <w:br w:type="page"/>
      </w:r>
    </w:p>
    <w:p w14:paraId="4785E0B6" w14:textId="77777777" w:rsidR="009627AA" w:rsidRPr="00C538E2" w:rsidRDefault="009627AA" w:rsidP="00C538E2">
      <w:pPr>
        <w:ind w:firstLine="720"/>
        <w:jc w:val="both"/>
        <w:rPr>
          <w:rFonts w:cstheme="minorHAnsi"/>
        </w:rPr>
      </w:pPr>
    </w:p>
    <w:p w14:paraId="34968A23" w14:textId="56BB82E3" w:rsidR="00A756E1" w:rsidRPr="005A0914" w:rsidRDefault="00293901" w:rsidP="005A0914">
      <w:pPr>
        <w:jc w:val="center"/>
        <w:rPr>
          <w:b/>
          <w:bCs/>
        </w:rPr>
      </w:pPr>
      <w:r>
        <w:rPr>
          <w:b/>
          <w:bCs/>
        </w:rPr>
        <w:t>Appendix</w:t>
      </w:r>
      <w:r w:rsidR="006775E8" w:rsidRPr="005A0914">
        <w:rPr>
          <w:b/>
          <w:bCs/>
        </w:rPr>
        <w:t xml:space="preserve"> Table 1 – GPA Parties’ Coverage of Health Sector and Emergency-related Entities</w:t>
      </w:r>
    </w:p>
    <w:p w14:paraId="517236E6" w14:textId="25B0F17E" w:rsidR="006775E8" w:rsidRDefault="006775E8"/>
    <w:tbl>
      <w:tblPr>
        <w:tblStyle w:val="GridTable5Dark-Accent11"/>
        <w:tblW w:w="0" w:type="auto"/>
        <w:shd w:val="clear" w:color="auto" w:fill="F2F2F2" w:themeFill="background1" w:themeFillShade="F2"/>
        <w:tblLook w:val="04A0" w:firstRow="1" w:lastRow="0" w:firstColumn="1" w:lastColumn="0" w:noHBand="0" w:noVBand="1"/>
      </w:tblPr>
      <w:tblGrid>
        <w:gridCol w:w="2405"/>
        <w:gridCol w:w="2308"/>
        <w:gridCol w:w="2939"/>
        <w:gridCol w:w="1698"/>
      </w:tblGrid>
      <w:tr w:rsidR="006775E8" w14:paraId="66D0F17C" w14:textId="77777777" w:rsidTr="00484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338CA91D" w14:textId="77777777" w:rsidR="006775E8" w:rsidRPr="00321087" w:rsidRDefault="006775E8" w:rsidP="007B671D">
            <w:pPr>
              <w:rPr>
                <w:lang w:val="en-GB"/>
              </w:rPr>
            </w:pPr>
            <w:r w:rsidRPr="00DC6FED">
              <w:rPr>
                <w:lang w:val="en-GB"/>
              </w:rPr>
              <w:t>Parties</w:t>
            </w:r>
          </w:p>
        </w:tc>
        <w:tc>
          <w:tcPr>
            <w:tcW w:w="6945" w:type="dxa"/>
            <w:gridSpan w:val="3"/>
            <w:shd w:val="clear" w:color="auto" w:fill="808080" w:themeFill="background1" w:themeFillShade="80"/>
          </w:tcPr>
          <w:p w14:paraId="36409640" w14:textId="04826BA1" w:rsidR="006775E8" w:rsidRPr="001253DE" w:rsidRDefault="005A0914" w:rsidP="007B671D">
            <w:pPr>
              <w:cnfStyle w:val="100000000000" w:firstRow="1" w:lastRow="0" w:firstColumn="0" w:lastColumn="0" w:oddVBand="0" w:evenVBand="0" w:oddHBand="0" w:evenHBand="0" w:firstRowFirstColumn="0" w:firstRowLastColumn="0" w:lastRowFirstColumn="0" w:lastRowLastColumn="0"/>
              <w:rPr>
                <w:lang w:val="en-GB"/>
              </w:rPr>
            </w:pPr>
            <w:r>
              <w:rPr>
                <w:lang w:val="en-GB"/>
              </w:rPr>
              <w:t>Coverage of relevant entities in Annex 1, 2 or 3</w:t>
            </w:r>
          </w:p>
        </w:tc>
      </w:tr>
      <w:tr w:rsidR="006775E8" w14:paraId="23CF5DB2"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0B978D3B" w14:textId="77777777" w:rsidR="006775E8" w:rsidRPr="00321087" w:rsidRDefault="006775E8" w:rsidP="007B671D">
            <w:pPr>
              <w:rPr>
                <w:lang w:val="en-GB"/>
              </w:rPr>
            </w:pPr>
          </w:p>
        </w:tc>
        <w:tc>
          <w:tcPr>
            <w:tcW w:w="2308" w:type="dxa"/>
            <w:tcBorders>
              <w:bottom w:val="single" w:sz="4" w:space="0" w:color="FFFFFF" w:themeColor="background1"/>
            </w:tcBorders>
            <w:shd w:val="clear" w:color="auto" w:fill="BFBFBF" w:themeFill="background1" w:themeFillShade="BF"/>
          </w:tcPr>
          <w:p w14:paraId="5011D810" w14:textId="77777777" w:rsidR="006775E8" w:rsidRPr="001253DE"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Annex 1 – Central Government Entities</w:t>
            </w:r>
          </w:p>
        </w:tc>
        <w:tc>
          <w:tcPr>
            <w:tcW w:w="0" w:type="auto"/>
            <w:tcBorders>
              <w:bottom w:val="single" w:sz="4" w:space="0" w:color="FFFFFF" w:themeColor="background1"/>
            </w:tcBorders>
            <w:shd w:val="clear" w:color="auto" w:fill="BFBFBF" w:themeFill="background1" w:themeFillShade="BF"/>
          </w:tcPr>
          <w:p w14:paraId="579AD087" w14:textId="77777777" w:rsidR="006775E8" w:rsidRPr="004A37CD" w:rsidRDefault="006775E8" w:rsidP="007B671D">
            <w:pPr>
              <w:cnfStyle w:val="000000100000" w:firstRow="0" w:lastRow="0" w:firstColumn="0" w:lastColumn="0" w:oddVBand="0" w:evenVBand="0" w:oddHBand="1" w:evenHBand="0" w:firstRowFirstColumn="0" w:firstRowLastColumn="0" w:lastRowFirstColumn="0" w:lastRowLastColumn="0"/>
              <w:rPr>
                <w:lang w:val="en-GB"/>
              </w:rPr>
            </w:pPr>
            <w:r w:rsidRPr="004A37CD">
              <w:rPr>
                <w:lang w:val="en-GB"/>
              </w:rPr>
              <w:t>Annex 2 – Sub-central Government E</w:t>
            </w:r>
            <w:r>
              <w:rPr>
                <w:lang w:val="en-GB"/>
              </w:rPr>
              <w:t>ntities</w:t>
            </w:r>
          </w:p>
        </w:tc>
        <w:tc>
          <w:tcPr>
            <w:tcW w:w="0" w:type="auto"/>
            <w:tcBorders>
              <w:bottom w:val="single" w:sz="4" w:space="0" w:color="FFFFFF" w:themeColor="background1"/>
              <w:right w:val="single" w:sz="4" w:space="0" w:color="auto"/>
            </w:tcBorders>
            <w:shd w:val="clear" w:color="auto" w:fill="BFBFBF" w:themeFill="background1" w:themeFillShade="BF"/>
          </w:tcPr>
          <w:p w14:paraId="693EA867" w14:textId="77777777" w:rsidR="006775E8" w:rsidRPr="001253DE"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Annex 3 – Other Entities</w:t>
            </w:r>
          </w:p>
        </w:tc>
      </w:tr>
      <w:tr w:rsidR="006775E8" w14:paraId="1863051D"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654A4D2E" w14:textId="77777777" w:rsidR="006775E8" w:rsidRPr="00321087" w:rsidRDefault="006775E8" w:rsidP="007B671D">
            <w:pPr>
              <w:rPr>
                <w:lang w:val="en-GB"/>
              </w:rPr>
            </w:pPr>
            <w:r w:rsidRPr="00DC6FED">
              <w:rPr>
                <w:lang w:val="en-GB"/>
              </w:rPr>
              <w:t xml:space="preserve">Armenia </w:t>
            </w:r>
          </w:p>
        </w:tc>
        <w:tc>
          <w:tcPr>
            <w:tcW w:w="2308" w:type="dxa"/>
            <w:tcBorders>
              <w:bottom w:val="single" w:sz="4" w:space="0" w:color="auto"/>
              <w:right w:val="single" w:sz="4" w:space="0" w:color="auto"/>
            </w:tcBorders>
            <w:shd w:val="clear" w:color="auto" w:fill="F2F2F2" w:themeFill="background1" w:themeFillShade="F2"/>
          </w:tcPr>
          <w:p w14:paraId="6E7FBD8B" w14:textId="7AD679B7" w:rsidR="006775E8" w:rsidRPr="00151D05" w:rsidRDefault="008B049F"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w:t>
            </w:r>
            <w:r w:rsidR="006775E8">
              <w:rPr>
                <w:lang w:val="de-CH"/>
              </w:rPr>
              <w:t>es</w:t>
            </w:r>
            <w:r w:rsidR="00FB1CC9">
              <w:rPr>
                <w:lang w:val="de-CH"/>
              </w:rPr>
              <w:t>, emergency related</w:t>
            </w:r>
            <w:r>
              <w:rPr>
                <w:lang w:val="de-CH"/>
              </w:rPr>
              <w:t xml:space="preserve"> entity</w:t>
            </w:r>
            <w:r w:rsidR="00FB1CC9">
              <w:rPr>
                <w:lang w:val="de-CH"/>
              </w:rPr>
              <w:t>.</w:t>
            </w:r>
          </w:p>
          <w:p w14:paraId="3597638D"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p>
        </w:tc>
        <w:tc>
          <w:tcPr>
            <w:tcW w:w="0" w:type="auto"/>
            <w:tcBorders>
              <w:left w:val="single" w:sz="4" w:space="0" w:color="auto"/>
              <w:bottom w:val="single" w:sz="4" w:space="0" w:color="auto"/>
              <w:right w:val="single" w:sz="4" w:space="0" w:color="auto"/>
            </w:tcBorders>
            <w:shd w:val="clear" w:color="auto" w:fill="F2F2F2" w:themeFill="background1" w:themeFillShade="F2"/>
          </w:tcPr>
          <w:p w14:paraId="0BD2DAFD" w14:textId="77777777" w:rsidR="006775E8" w:rsidRPr="002D771A"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left w:val="single" w:sz="4" w:space="0" w:color="auto"/>
              <w:bottom w:val="single" w:sz="4" w:space="0" w:color="auto"/>
              <w:right w:val="single" w:sz="4" w:space="0" w:color="auto"/>
            </w:tcBorders>
            <w:shd w:val="clear" w:color="auto" w:fill="F2F2F2" w:themeFill="background1" w:themeFillShade="F2"/>
          </w:tcPr>
          <w:p w14:paraId="3327C951" w14:textId="77777777" w:rsidR="006775E8" w:rsidRPr="002D771A"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18AEA478"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29C7F776" w14:textId="77777777" w:rsidR="006775E8" w:rsidRPr="00321087" w:rsidRDefault="006775E8" w:rsidP="007B671D">
            <w:pPr>
              <w:rPr>
                <w:lang w:val="en-GB"/>
              </w:rPr>
            </w:pPr>
            <w:r w:rsidRPr="00DC6FED">
              <w:rPr>
                <w:lang w:val="en-GB"/>
              </w:rPr>
              <w:t xml:space="preserve">Australia </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776D401B"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p w14:paraId="35414EA2" w14:textId="77777777" w:rsidR="006775E8" w:rsidRDefault="006775E8" w:rsidP="007B671D">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27C63" w14:textId="0C4C29F1"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en-GB"/>
              </w:rPr>
            </w:pPr>
            <w:r w:rsidRPr="00151D05">
              <w:rPr>
                <w:lang w:val="en-GB"/>
              </w:rPr>
              <w:t>y</w:t>
            </w:r>
            <w:r>
              <w:t>es</w:t>
            </w:r>
            <w:r w:rsidRPr="00151D05">
              <w:rPr>
                <w:lang w:val="en-GB"/>
              </w:rPr>
              <w:t xml:space="preserve">, </w:t>
            </w:r>
            <w:r w:rsidR="008B049F">
              <w:rPr>
                <w:lang w:val="en-GB"/>
              </w:rPr>
              <w:t xml:space="preserve">including emergency related entities, </w:t>
            </w:r>
            <w:r w:rsidRPr="00151D05">
              <w:rPr>
                <w:lang w:val="en-GB"/>
              </w:rPr>
              <w:t>some exclusions of c</w:t>
            </w:r>
            <w:r>
              <w:rPr>
                <w:lang w:val="en-GB"/>
              </w:rPr>
              <w:t>ertain services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AAC25"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p w14:paraId="7E4ADA89" w14:textId="77777777" w:rsidR="006775E8" w:rsidRDefault="006775E8" w:rsidP="007B671D">
            <w:pPr>
              <w:cnfStyle w:val="000000100000" w:firstRow="0" w:lastRow="0" w:firstColumn="0" w:lastColumn="0" w:oddVBand="0" w:evenVBand="0" w:oddHBand="1" w:evenHBand="0" w:firstRowFirstColumn="0" w:firstRowLastColumn="0" w:lastRowFirstColumn="0" w:lastRowLastColumn="0"/>
            </w:pPr>
          </w:p>
        </w:tc>
      </w:tr>
      <w:tr w:rsidR="006775E8" w14:paraId="0FD817A4"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7EE85C3E" w14:textId="77777777" w:rsidR="006775E8" w:rsidRPr="00321087" w:rsidRDefault="006775E8" w:rsidP="007B671D">
            <w:pPr>
              <w:rPr>
                <w:lang w:val="en-GB"/>
              </w:rPr>
            </w:pPr>
            <w:r w:rsidRPr="00DC6FED">
              <w:rPr>
                <w:lang w:val="en-GB"/>
              </w:rPr>
              <w:t>Canada</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3327AFC2" w14:textId="0902CF0D" w:rsidR="006775E8" w:rsidRPr="008B049F" w:rsidRDefault="008B049F"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y</w:t>
            </w:r>
            <w:r w:rsidR="006775E8" w:rsidRPr="008B049F">
              <w:rPr>
                <w:lang w:val="en-GB"/>
              </w:rPr>
              <w:t>es</w:t>
            </w:r>
            <w:r w:rsidRPr="008B049F">
              <w:rPr>
                <w:lang w:val="en-GB"/>
              </w:rPr>
              <w:t xml:space="preserve">, </w:t>
            </w:r>
            <w:r>
              <w:rPr>
                <w:lang w:val="en-GB"/>
              </w:rPr>
              <w:t>including emergency related entity.</w:t>
            </w:r>
          </w:p>
          <w:p w14:paraId="148E7B6C"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19ED3" w14:textId="77777777" w:rsidR="006775E8" w:rsidRPr="00CF08F3" w:rsidRDefault="006775E8" w:rsidP="007B671D">
            <w:pPr>
              <w:cnfStyle w:val="000000000000" w:firstRow="0" w:lastRow="0" w:firstColumn="0" w:lastColumn="0" w:oddVBand="0" w:evenVBand="0" w:oddHBand="0" w:evenHBand="0" w:firstRowFirstColumn="0" w:firstRowLastColumn="0" w:lastRowFirstColumn="0" w:lastRowLastColumn="0"/>
              <w:rPr>
                <w:lang w:val="en-GB"/>
              </w:rPr>
            </w:pPr>
            <w:r w:rsidRPr="00CF08F3">
              <w:rPr>
                <w:lang w:val="en-GB"/>
              </w:rPr>
              <w:t>yes, partial, some ex</w:t>
            </w:r>
            <w:r>
              <w:rPr>
                <w:lang w:val="en-GB"/>
              </w:rPr>
              <w:t>clusions of certain services</w:t>
            </w:r>
          </w:p>
          <w:p w14:paraId="59D6CE28"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FB5A4" w14:textId="77777777" w:rsidR="006775E8" w:rsidRPr="00BF10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77267865"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700FB7DB" w14:textId="77777777" w:rsidR="006775E8" w:rsidRPr="00321087" w:rsidRDefault="006775E8" w:rsidP="007B671D">
            <w:pPr>
              <w:rPr>
                <w:lang w:val="en-GB"/>
              </w:rPr>
            </w:pPr>
            <w:r w:rsidRPr="00DC6FED">
              <w:rPr>
                <w:lang w:val="en-GB"/>
              </w:rPr>
              <w:t>European Union</w:t>
            </w:r>
            <w:r w:rsidRPr="00DC6FED">
              <w:rPr>
                <w:lang w:val="en-GB"/>
              </w:rPr>
              <w:br/>
              <w:t>with regard to its 27 member states and the United Kingdom:</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260D3F20" w14:textId="31AAFB5E" w:rsidR="006775E8" w:rsidRPr="00B721B8"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w:t>
            </w:r>
            <w:r w:rsidR="006775E8">
              <w:rPr>
                <w:lang w:val="de-CH"/>
              </w:rPr>
              <w:t>es</w:t>
            </w:r>
            <w:r>
              <w:rPr>
                <w:lang w:val="de-CH"/>
              </w:rPr>
              <w:t>,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B7E1F" w14:textId="6FA8283F" w:rsidR="006775E8" w:rsidRDefault="008B049F" w:rsidP="007B671D">
            <w:pPr>
              <w:cnfStyle w:val="000000100000" w:firstRow="0" w:lastRow="0" w:firstColumn="0" w:lastColumn="0" w:oddVBand="0" w:evenVBand="0" w:oddHBand="1" w:evenHBand="0" w:firstRowFirstColumn="0" w:firstRowLastColumn="0" w:lastRowFirstColumn="0" w:lastRowLastColumn="0"/>
            </w:pPr>
            <w:r>
              <w:rPr>
                <w:lang w:val="de-CH"/>
              </w:rPr>
              <w:t>y</w:t>
            </w:r>
            <w:r w:rsidR="006775E8">
              <w:rPr>
                <w:lang w:val="de-CH"/>
              </w:rPr>
              <w:t>es</w:t>
            </w:r>
            <w:r>
              <w:rPr>
                <w:lang w:val="de-CH"/>
              </w:rPr>
              <w:t>,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260C0" w14:textId="77777777" w:rsidR="006775E8" w:rsidRPr="00136FCB"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6775E8" w14:paraId="192CCDE8"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19E5A1F2" w14:textId="77777777" w:rsidR="006775E8" w:rsidRPr="00321087" w:rsidRDefault="006775E8" w:rsidP="007B671D">
            <w:pPr>
              <w:rPr>
                <w:lang w:val="en-GB"/>
              </w:rPr>
            </w:pPr>
            <w:r w:rsidRPr="00DC6FED">
              <w:rPr>
                <w:lang w:val="en-GB"/>
              </w:rPr>
              <w:t>Hong Kong , China</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19828015" w14:textId="77777777" w:rsidR="006775E8" w:rsidRPr="00151D0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p w14:paraId="3E785DD3"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44A56" w14:textId="77777777" w:rsidR="006775E8" w:rsidRPr="00B721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not applicable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4812F" w14:textId="77777777" w:rsidR="006775E8" w:rsidRPr="00151D0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r>
      <w:tr w:rsidR="006775E8" w14:paraId="012923AC"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66E3EAFC" w14:textId="77777777" w:rsidR="006775E8" w:rsidRPr="00321087" w:rsidRDefault="006775E8" w:rsidP="007B671D">
            <w:pPr>
              <w:rPr>
                <w:lang w:val="en-GB"/>
              </w:rPr>
            </w:pPr>
            <w:r w:rsidRPr="00DC6FED">
              <w:rPr>
                <w:lang w:val="en-GB"/>
              </w:rPr>
              <w:t>Iceland</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50BABE1B" w14:textId="784F126D" w:rsidR="006775E8" w:rsidRPr="00B721B8"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w:t>
            </w:r>
            <w:r w:rsidR="006775E8">
              <w:rPr>
                <w:lang w:val="de-CH"/>
              </w:rPr>
              <w:t>es</w:t>
            </w:r>
            <w:r>
              <w:rPr>
                <w:lang w:val="de-CH"/>
              </w:rPr>
              <w:t>,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BF59D" w14:textId="79458F6B" w:rsidR="006775E8" w:rsidRPr="00B721B8"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A5FC6" w14:textId="77777777" w:rsidR="006775E8" w:rsidRPr="00763E7F"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6775E8" w14:paraId="4191BFB7"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224A30F6" w14:textId="77777777" w:rsidR="006775E8" w:rsidRPr="00321087" w:rsidRDefault="006775E8" w:rsidP="007B671D">
            <w:pPr>
              <w:rPr>
                <w:lang w:val="en-GB"/>
              </w:rPr>
            </w:pPr>
            <w:r w:rsidRPr="00DC6FED">
              <w:rPr>
                <w:lang w:val="en-GB"/>
              </w:rPr>
              <w:t>Israel</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13451F0B" w14:textId="663D8F30" w:rsidR="006775E8" w:rsidRPr="00151D05" w:rsidRDefault="006775E8" w:rsidP="007B671D">
            <w:pPr>
              <w:cnfStyle w:val="000000000000" w:firstRow="0" w:lastRow="0" w:firstColumn="0" w:lastColumn="0" w:oddVBand="0" w:evenVBand="0" w:oddHBand="0" w:evenHBand="0" w:firstRowFirstColumn="0" w:firstRowLastColumn="0" w:lastRowFirstColumn="0" w:lastRowLastColumn="0"/>
              <w:rPr>
                <w:lang w:val="en-GB"/>
              </w:rPr>
            </w:pPr>
            <w:r w:rsidRPr="004A37CD">
              <w:rPr>
                <w:lang w:val="en-GB"/>
              </w:rPr>
              <w:t>y</w:t>
            </w:r>
            <w:r>
              <w:t>es, exclusion of certain g</w:t>
            </w:r>
            <w:r w:rsidRPr="00151D05">
              <w:rPr>
                <w:lang w:val="en-GB"/>
              </w:rPr>
              <w:t>o</w:t>
            </w:r>
            <w:r>
              <w:rPr>
                <w:lang w:val="en-GB"/>
              </w:rPr>
              <w:t>ods</w:t>
            </w:r>
            <w:r w:rsidR="008B049F">
              <w:rPr>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4A786" w14:textId="77777777" w:rsidR="006775E8" w:rsidRPr="00BF10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B9C8D" w14:textId="77777777" w:rsidR="006775E8" w:rsidRPr="00BF10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23C44BA0"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0F7497F0" w14:textId="77777777" w:rsidR="006775E8" w:rsidRPr="00321087" w:rsidRDefault="006775E8" w:rsidP="007B671D">
            <w:pPr>
              <w:rPr>
                <w:lang w:val="en-GB"/>
              </w:rPr>
            </w:pPr>
            <w:r w:rsidRPr="00DC6FED">
              <w:rPr>
                <w:lang w:val="en-GB"/>
              </w:rPr>
              <w:t>Japan</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06F59E78"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D11A0" w14:textId="77777777" w:rsidR="006775E8" w:rsidRPr="00BF10B8"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9EB29"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p w14:paraId="302F5B0A" w14:textId="77777777" w:rsidR="006775E8" w:rsidRDefault="006775E8" w:rsidP="007B671D">
            <w:pPr>
              <w:cnfStyle w:val="000000100000" w:firstRow="0" w:lastRow="0" w:firstColumn="0" w:lastColumn="0" w:oddVBand="0" w:evenVBand="0" w:oddHBand="1" w:evenHBand="0" w:firstRowFirstColumn="0" w:firstRowLastColumn="0" w:lastRowFirstColumn="0" w:lastRowLastColumn="0"/>
            </w:pPr>
          </w:p>
        </w:tc>
      </w:tr>
      <w:tr w:rsidR="006775E8" w14:paraId="105CEA0C"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3C960D6B" w14:textId="77777777" w:rsidR="006775E8" w:rsidRPr="00321087" w:rsidRDefault="006775E8" w:rsidP="007B671D">
            <w:pPr>
              <w:rPr>
                <w:lang w:val="en-GB"/>
              </w:rPr>
            </w:pPr>
            <w:r w:rsidRPr="00DC6FED">
              <w:rPr>
                <w:lang w:val="en-GB"/>
              </w:rPr>
              <w:t>Korea, Republic of</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638DA8F8" w14:textId="77777777" w:rsidR="006775E8" w:rsidRPr="00151D0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82FE6" w14:textId="77777777" w:rsidR="006775E8" w:rsidRPr="00BF10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2636C" w14:textId="77777777" w:rsidR="006775E8" w:rsidRPr="00BF10B8"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09FC242E"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578B9098" w14:textId="77777777" w:rsidR="006775E8" w:rsidRPr="00321087" w:rsidRDefault="006775E8" w:rsidP="007B671D">
            <w:pPr>
              <w:rPr>
                <w:lang w:val="en-GB"/>
              </w:rPr>
            </w:pPr>
            <w:r w:rsidRPr="00DC6FED">
              <w:rPr>
                <w:lang w:val="en-GB"/>
              </w:rPr>
              <w:t>Liechtenstein</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203706F0" w14:textId="7A96C5C4" w:rsidR="006775E8" w:rsidRPr="00136FCB"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1F85B" w14:textId="4FF0A625" w:rsidR="006775E8" w:rsidRPr="00136FCB"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1ACBA" w14:textId="77777777" w:rsidR="006775E8" w:rsidRPr="00136FCB"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6775E8" w14:paraId="3D9066BB"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2904AC90" w14:textId="77777777" w:rsidR="006775E8" w:rsidRPr="00321087" w:rsidRDefault="006775E8" w:rsidP="007B671D">
            <w:pPr>
              <w:rPr>
                <w:lang w:val="en-GB"/>
              </w:rPr>
            </w:pPr>
            <w:r w:rsidRPr="00DC6FED">
              <w:rPr>
                <w:lang w:val="en-GB"/>
              </w:rPr>
              <w:t xml:space="preserve">Moldova, Republic of </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335CDE77"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r>
              <w:rPr>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4005" w14:textId="77777777" w:rsidR="006775E8" w:rsidRPr="00F64329"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7A98E"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r>
              <w:rPr>
                <w:lang w:val="en-GB"/>
              </w:rPr>
              <w:t>yes</w:t>
            </w:r>
          </w:p>
        </w:tc>
      </w:tr>
      <w:tr w:rsidR="006775E8" w14:paraId="68FDE67D"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67C1EBF9" w14:textId="77777777" w:rsidR="006775E8" w:rsidRPr="00321087" w:rsidRDefault="006775E8" w:rsidP="007B671D">
            <w:pPr>
              <w:rPr>
                <w:lang w:val="en-GB"/>
              </w:rPr>
            </w:pPr>
            <w:r w:rsidRPr="00DC6FED">
              <w:rPr>
                <w:lang w:val="en-GB"/>
              </w:rPr>
              <w:t>Montenegro</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158699B5" w14:textId="77777777" w:rsidR="006775E8" w:rsidRDefault="006775E8" w:rsidP="007B671D">
            <w:pPr>
              <w:cnfStyle w:val="000000100000" w:firstRow="0" w:lastRow="0" w:firstColumn="0" w:lastColumn="0" w:oddVBand="0" w:evenVBand="0" w:oddHBand="1" w:evenHBand="0" w:firstRowFirstColumn="0" w:firstRowLastColumn="0" w:lastRowFirstColumn="0" w:lastRowLastColumn="0"/>
            </w:pPr>
            <w:r>
              <w:rPr>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37DF5" w14:textId="77777777" w:rsidR="006775E8" w:rsidRPr="00F64329"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40B9A" w14:textId="77777777" w:rsidR="006775E8" w:rsidRPr="00F64329"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6775E8" w14:paraId="30AA3CD6"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6F80378D" w14:textId="77777777" w:rsidR="006775E8" w:rsidRPr="00321087" w:rsidRDefault="006775E8" w:rsidP="007B671D">
            <w:pPr>
              <w:rPr>
                <w:lang w:val="en-GB"/>
              </w:rPr>
            </w:pPr>
            <w:r w:rsidRPr="00DC6FED">
              <w:rPr>
                <w:lang w:val="en-GB"/>
              </w:rPr>
              <w:t>Netherlands with respect to Aruba</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24E01CE0" w14:textId="77777777" w:rsidR="006775E8" w:rsidRPr="00151D0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09292" w14:textId="77777777" w:rsidR="006775E8" w:rsidRPr="005F21C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not applicable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3B2AC" w14:textId="77777777" w:rsidR="006775E8" w:rsidRPr="005F21C5"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291AACB0"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0DECBB1B" w14:textId="77777777" w:rsidR="006775E8" w:rsidRPr="00321087" w:rsidRDefault="006775E8" w:rsidP="007B671D">
            <w:pPr>
              <w:rPr>
                <w:lang w:val="en-GB"/>
              </w:rPr>
            </w:pPr>
            <w:r w:rsidRPr="00DC6FED">
              <w:rPr>
                <w:lang w:val="en-GB"/>
              </w:rPr>
              <w:t>New Zealand</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4DD2BAB9"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222BA"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AF30A" w14:textId="52400405" w:rsidR="006775E8" w:rsidRPr="00151D05" w:rsidRDefault="008B049F"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 emergency related  entity.</w:t>
            </w:r>
          </w:p>
        </w:tc>
      </w:tr>
      <w:tr w:rsidR="006775E8" w14:paraId="47047D4B"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7F5F9EB2" w14:textId="77777777" w:rsidR="006775E8" w:rsidRPr="00321087" w:rsidRDefault="006775E8" w:rsidP="007B671D">
            <w:pPr>
              <w:rPr>
                <w:lang w:val="en-GB"/>
              </w:rPr>
            </w:pPr>
            <w:r w:rsidRPr="00DC6FED">
              <w:rPr>
                <w:lang w:val="en-GB"/>
              </w:rPr>
              <w:t>Norway</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12580CCD" w14:textId="2D268CE2" w:rsidR="006775E8" w:rsidRPr="008B049F" w:rsidRDefault="008B049F" w:rsidP="007B671D">
            <w:pPr>
              <w:cnfStyle w:val="000000000000" w:firstRow="0" w:lastRow="0" w:firstColumn="0" w:lastColumn="0" w:oddVBand="0" w:evenVBand="0" w:oddHBand="0" w:evenHBand="0" w:firstRowFirstColumn="0" w:firstRowLastColumn="0" w:lastRowFirstColumn="0" w:lastRowLastColumn="0"/>
              <w:rPr>
                <w:lang w:val="en-GB"/>
              </w:rPr>
            </w:pPr>
            <w:r w:rsidRPr="008B049F">
              <w:rPr>
                <w:lang w:val="en-GB"/>
              </w:rPr>
              <w:t>yes, including emergency related e</w:t>
            </w:r>
            <w:r>
              <w:rPr>
                <w:lang w:val="en-GB"/>
              </w:rPr>
              <w:t>ntities.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FCAF2"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r>
              <w:rPr>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81C7" w14:textId="77777777" w:rsidR="006775E8" w:rsidRDefault="006775E8" w:rsidP="007B671D">
            <w:pPr>
              <w:cnfStyle w:val="000000000000" w:firstRow="0" w:lastRow="0" w:firstColumn="0" w:lastColumn="0" w:oddVBand="0" w:evenVBand="0" w:oddHBand="0" w:evenHBand="0" w:firstRowFirstColumn="0" w:firstRowLastColumn="0" w:lastRowFirstColumn="0" w:lastRowLastColumn="0"/>
            </w:pPr>
          </w:p>
        </w:tc>
      </w:tr>
      <w:tr w:rsidR="006775E8" w14:paraId="19429644"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12478376" w14:textId="77777777" w:rsidR="006775E8" w:rsidRPr="00321087" w:rsidRDefault="006775E8" w:rsidP="007B671D">
            <w:pPr>
              <w:rPr>
                <w:lang w:val="en-GB"/>
              </w:rPr>
            </w:pPr>
            <w:r w:rsidRPr="00DC6FED">
              <w:rPr>
                <w:lang w:val="en-GB"/>
              </w:rPr>
              <w:t>Singapore</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5C8AF7D8"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2F93A" w14:textId="77777777" w:rsidR="006775E8" w:rsidRPr="00006C9C"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not applicable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00528" w14:textId="77777777" w:rsidR="006775E8" w:rsidRPr="00006C9C"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6775E8" w14:paraId="5429E0D0"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2A8B742A" w14:textId="77777777" w:rsidR="006775E8" w:rsidRPr="00321087" w:rsidRDefault="006775E8" w:rsidP="007B671D">
            <w:pPr>
              <w:rPr>
                <w:lang w:val="en-GB"/>
              </w:rPr>
            </w:pPr>
            <w:r w:rsidRPr="00DC6FED">
              <w:rPr>
                <w:lang w:val="en-GB"/>
              </w:rPr>
              <w:t>Switzerland</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42F43158" w14:textId="2DA2E17C" w:rsidR="006775E8" w:rsidRDefault="008B049F" w:rsidP="007B671D">
            <w:pPr>
              <w:cnfStyle w:val="000000000000" w:firstRow="0" w:lastRow="0" w:firstColumn="0" w:lastColumn="0" w:oddVBand="0" w:evenVBand="0" w:oddHBand="0" w:evenHBand="0" w:firstRowFirstColumn="0" w:firstRowLastColumn="0" w:lastRowFirstColumn="0" w:lastRowLastColumn="0"/>
            </w:pPr>
            <w:r>
              <w:rPr>
                <w:lang w:val="en-GB"/>
              </w:rPr>
              <w:t>y</w:t>
            </w:r>
            <w:r w:rsidR="006775E8">
              <w:rPr>
                <w:lang w:val="en-GB"/>
              </w:rPr>
              <w:t>es</w:t>
            </w:r>
            <w:r>
              <w:rPr>
                <w:lang w:val="en-GB"/>
              </w:rPr>
              <w:t>, general coverage.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5DEC0" w14:textId="77777777" w:rsidR="006775E8" w:rsidRPr="00006C9C"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F472A" w14:textId="77777777" w:rsidR="006775E8" w:rsidRPr="00006C9C"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6D02473C"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65A25B22" w14:textId="77777777" w:rsidR="006775E8" w:rsidRPr="00321087" w:rsidRDefault="006775E8" w:rsidP="007B671D">
            <w:pPr>
              <w:rPr>
                <w:lang w:val="en-GB"/>
              </w:rPr>
            </w:pPr>
            <w:r w:rsidRPr="00DC6FED">
              <w:rPr>
                <w:lang w:val="en-GB"/>
              </w:rPr>
              <w:t>Chinese Taipei</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208F23CF"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D8ABA"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FC2D5" w14:textId="77777777" w:rsidR="006775E8" w:rsidRPr="00151D05"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yes</w:t>
            </w:r>
          </w:p>
        </w:tc>
      </w:tr>
      <w:tr w:rsidR="006775E8" w14:paraId="64F7E30A" w14:textId="77777777" w:rsidTr="00484D08">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0B73AB2E" w14:textId="77777777" w:rsidR="006775E8" w:rsidRPr="00321087" w:rsidRDefault="006775E8" w:rsidP="007B671D">
            <w:pPr>
              <w:rPr>
                <w:lang w:val="en-GB"/>
              </w:rPr>
            </w:pPr>
            <w:r w:rsidRPr="00DC6FED">
              <w:rPr>
                <w:lang w:val="en-GB"/>
              </w:rPr>
              <w:t xml:space="preserve">Ukraine </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6F7ACA37" w14:textId="43CCDC5E" w:rsidR="006775E8" w:rsidRDefault="00A026E3" w:rsidP="007B671D">
            <w:pPr>
              <w:cnfStyle w:val="000000000000" w:firstRow="0" w:lastRow="0" w:firstColumn="0" w:lastColumn="0" w:oddVBand="0" w:evenVBand="0" w:oddHBand="0" w:evenHBand="0" w:firstRowFirstColumn="0" w:firstRowLastColumn="0" w:lastRowFirstColumn="0" w:lastRowLastColumn="0"/>
            </w:pPr>
            <w:r>
              <w:rPr>
                <w:lang w:val="en-GB"/>
              </w:rPr>
              <w:t>y</w:t>
            </w:r>
            <w:r w:rsidR="006775E8">
              <w:rPr>
                <w:lang w:val="en-GB"/>
              </w:rPr>
              <w:t>es</w:t>
            </w:r>
            <w:r>
              <w:rPr>
                <w:lang w:val="en-GB"/>
              </w:rPr>
              <w:t>, emergency related entity.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C9D42" w14:textId="77777777" w:rsidR="006775E8" w:rsidRPr="0014633B"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9E1C9" w14:textId="77777777" w:rsidR="006775E8" w:rsidRPr="0014633B" w:rsidRDefault="006775E8"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6775E8" w14:paraId="4DE628FF"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tcPr>
          <w:p w14:paraId="14CDDCC3" w14:textId="77777777" w:rsidR="006775E8" w:rsidRPr="00321087" w:rsidRDefault="006775E8" w:rsidP="007B671D">
            <w:pPr>
              <w:rPr>
                <w:lang w:val="en-GB"/>
              </w:rPr>
            </w:pPr>
            <w:r w:rsidRPr="00DC6FED">
              <w:rPr>
                <w:lang w:val="en-GB"/>
              </w:rPr>
              <w:t>United States</w:t>
            </w:r>
          </w:p>
        </w:tc>
        <w:tc>
          <w:tcPr>
            <w:tcW w:w="2308" w:type="dxa"/>
            <w:tcBorders>
              <w:top w:val="single" w:sz="4" w:space="0" w:color="auto"/>
              <w:bottom w:val="single" w:sz="4" w:space="0" w:color="auto"/>
              <w:right w:val="single" w:sz="4" w:space="0" w:color="auto"/>
            </w:tcBorders>
            <w:shd w:val="clear" w:color="auto" w:fill="F2F2F2" w:themeFill="background1" w:themeFillShade="F2"/>
          </w:tcPr>
          <w:p w14:paraId="389AEE6C" w14:textId="1799B6B7" w:rsidR="006775E8" w:rsidRPr="0021528C" w:rsidRDefault="00303B42" w:rsidP="007B671D">
            <w:pPr>
              <w:cnfStyle w:val="000000100000" w:firstRow="0" w:lastRow="0" w:firstColumn="0" w:lastColumn="0" w:oddVBand="0" w:evenVBand="0" w:oddHBand="1" w:evenHBand="0" w:firstRowFirstColumn="0" w:firstRowLastColumn="0" w:lastRowFirstColumn="0" w:lastRowLastColumn="0"/>
              <w:rPr>
                <w:lang w:val="en"/>
              </w:rPr>
            </w:pPr>
            <w:r>
              <w:rPr>
                <w:lang w:val="en"/>
              </w:rPr>
              <w:t>y</w:t>
            </w:r>
            <w:r w:rsidR="006775E8">
              <w:rPr>
                <w:lang w:val="en"/>
              </w:rPr>
              <w:t>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966F3" w14:textId="3462BA43" w:rsidR="006775E8" w:rsidRPr="00A026E3" w:rsidRDefault="006775E8" w:rsidP="007B671D">
            <w:pPr>
              <w:cnfStyle w:val="000000100000" w:firstRow="0" w:lastRow="0" w:firstColumn="0" w:lastColumn="0" w:oddVBand="0" w:evenVBand="0" w:oddHBand="1" w:evenHBand="0" w:firstRowFirstColumn="0" w:firstRowLastColumn="0" w:lastRowFirstColumn="0" w:lastRowLastColumn="0"/>
              <w:rPr>
                <w:lang w:val="en-GB"/>
              </w:rPr>
            </w:pPr>
            <w:r w:rsidRPr="00A026E3">
              <w:rPr>
                <w:lang w:val="en-GB"/>
              </w:rPr>
              <w:t>yes, partial</w:t>
            </w:r>
            <w:r w:rsidR="00A026E3" w:rsidRPr="00A026E3">
              <w:rPr>
                <w:lang w:val="en-GB"/>
              </w:rPr>
              <w:t>, including emergency r</w:t>
            </w:r>
            <w:r w:rsidR="00A026E3">
              <w:rPr>
                <w:lang w:val="en-GB"/>
              </w:rPr>
              <w:t>elated entities.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F3738" w14:textId="77777777" w:rsidR="006775E8" w:rsidRPr="0014633B" w:rsidRDefault="006775E8"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bl>
    <w:p w14:paraId="4C927F6A" w14:textId="1748F2FF" w:rsidR="005A0914" w:rsidRPr="007B346E" w:rsidRDefault="008904E2" w:rsidP="005A0914">
      <w:pPr>
        <w:jc w:val="center"/>
        <w:rPr>
          <w:b/>
          <w:bCs/>
        </w:rPr>
      </w:pPr>
      <w:r>
        <w:rPr>
          <w:b/>
          <w:bCs/>
        </w:rPr>
        <w:lastRenderedPageBreak/>
        <w:t>Appendix</w:t>
      </w:r>
      <w:r w:rsidR="005A0914" w:rsidRPr="007B346E">
        <w:rPr>
          <w:b/>
          <w:bCs/>
        </w:rPr>
        <w:t xml:space="preserve"> Table 2 – Coverage of Health and Emergency-related Services, and Construction Services</w:t>
      </w:r>
    </w:p>
    <w:tbl>
      <w:tblPr>
        <w:tblStyle w:val="GridTable5Dark-Accent11"/>
        <w:tblW w:w="5000" w:type="pct"/>
        <w:tblLook w:val="04A0" w:firstRow="1" w:lastRow="0" w:firstColumn="1" w:lastColumn="0" w:noHBand="0" w:noVBand="1"/>
      </w:tblPr>
      <w:tblGrid>
        <w:gridCol w:w="1654"/>
        <w:gridCol w:w="1509"/>
        <w:gridCol w:w="1694"/>
        <w:gridCol w:w="2986"/>
        <w:gridCol w:w="1507"/>
      </w:tblGrid>
      <w:tr w:rsidR="000559CE" w14:paraId="2A47CF96" w14:textId="77777777" w:rsidTr="00484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2B2EEF3C" w14:textId="77777777" w:rsidR="00A026E3" w:rsidRPr="00321087" w:rsidRDefault="00A026E3" w:rsidP="007B671D">
            <w:pPr>
              <w:rPr>
                <w:lang w:val="en-GB"/>
              </w:rPr>
            </w:pPr>
            <w:r w:rsidRPr="00DC6FED">
              <w:rPr>
                <w:lang w:val="en-GB"/>
              </w:rPr>
              <w:t>Parties</w:t>
            </w:r>
          </w:p>
        </w:tc>
        <w:tc>
          <w:tcPr>
            <w:tcW w:w="1713" w:type="pct"/>
            <w:gridSpan w:val="2"/>
            <w:shd w:val="clear" w:color="auto" w:fill="808080" w:themeFill="background1" w:themeFillShade="80"/>
          </w:tcPr>
          <w:p w14:paraId="429C8F96" w14:textId="77777777" w:rsidR="00A026E3" w:rsidRPr="001253DE" w:rsidRDefault="00A026E3" w:rsidP="007B671D">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Services</w:t>
            </w:r>
          </w:p>
        </w:tc>
        <w:tc>
          <w:tcPr>
            <w:tcW w:w="2403" w:type="pct"/>
            <w:gridSpan w:val="2"/>
            <w:shd w:val="clear" w:color="auto" w:fill="808080" w:themeFill="background1" w:themeFillShade="80"/>
          </w:tcPr>
          <w:p w14:paraId="4A228B53" w14:textId="09BEF395" w:rsidR="00A026E3" w:rsidRPr="001253DE" w:rsidRDefault="00A026E3" w:rsidP="007B671D">
            <w:pPr>
              <w:cnfStyle w:val="100000000000" w:firstRow="1" w:lastRow="0" w:firstColumn="0" w:lastColumn="0" w:oddVBand="0" w:evenVBand="0" w:oddHBand="0" w:evenHBand="0" w:firstRowFirstColumn="0" w:firstRowLastColumn="0" w:lastRowFirstColumn="0" w:lastRowLastColumn="0"/>
              <w:rPr>
                <w:lang w:val="en-GB"/>
              </w:rPr>
            </w:pPr>
            <w:r>
              <w:rPr>
                <w:lang w:val="en-GB"/>
              </w:rPr>
              <w:t>Exclusions and Exceptions</w:t>
            </w:r>
          </w:p>
        </w:tc>
      </w:tr>
      <w:tr w:rsidR="005B2DF2" w14:paraId="5D9657B8"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1FF37E91" w14:textId="77777777" w:rsidR="005A0914" w:rsidRPr="00321087" w:rsidRDefault="005A0914" w:rsidP="007B671D">
            <w:pPr>
              <w:rPr>
                <w:lang w:val="en-GB"/>
              </w:rPr>
            </w:pPr>
          </w:p>
        </w:tc>
        <w:tc>
          <w:tcPr>
            <w:tcW w:w="807" w:type="pct"/>
            <w:tcBorders>
              <w:bottom w:val="single" w:sz="4" w:space="0" w:color="FFFFFF" w:themeColor="background1"/>
            </w:tcBorders>
            <w:shd w:val="clear" w:color="auto" w:fill="BFBFBF" w:themeFill="background1" w:themeFillShade="BF"/>
          </w:tcPr>
          <w:p w14:paraId="5B4B48AE" w14:textId="77777777" w:rsidR="005A0914" w:rsidRPr="00FF5A02" w:rsidRDefault="005A0914" w:rsidP="00857A13">
            <w:pPr>
              <w:jc w:val="center"/>
              <w:cnfStyle w:val="000000100000" w:firstRow="0" w:lastRow="0" w:firstColumn="0" w:lastColumn="0" w:oddVBand="0" w:evenVBand="0" w:oddHBand="1" w:evenHBand="0" w:firstRowFirstColumn="0" w:firstRowLastColumn="0" w:lastRowFirstColumn="0" w:lastRowLastColumn="0"/>
              <w:rPr>
                <w:lang w:val="en-GB"/>
              </w:rPr>
            </w:pPr>
            <w:r w:rsidRPr="00FF5A02">
              <w:rPr>
                <w:lang w:val="en-GB"/>
              </w:rPr>
              <w:t>Health and social services</w:t>
            </w:r>
          </w:p>
          <w:p w14:paraId="72302A67" w14:textId="6423820C" w:rsidR="005A0914" w:rsidRPr="00FF5A02" w:rsidRDefault="005A0914" w:rsidP="00857A13">
            <w:pPr>
              <w:jc w:val="center"/>
              <w:cnfStyle w:val="000000100000" w:firstRow="0" w:lastRow="0" w:firstColumn="0" w:lastColumn="0" w:oddVBand="0" w:evenVBand="0" w:oddHBand="1" w:evenHBand="0" w:firstRowFirstColumn="0" w:firstRowLastColumn="0" w:lastRowFirstColumn="0" w:lastRowLastColumn="0"/>
              <w:rPr>
                <w:lang w:val="en-GB"/>
              </w:rPr>
            </w:pPr>
            <w:r w:rsidRPr="00FF5A02">
              <w:rPr>
                <w:lang w:val="en-GB"/>
              </w:rPr>
              <w:t>(CPC Prov. 931)</w:t>
            </w:r>
            <w:r w:rsidR="00A546E3" w:rsidRPr="00FF5A02">
              <w:rPr>
                <w:lang w:val="en-GB"/>
              </w:rPr>
              <w:t xml:space="preserve"> </w:t>
            </w:r>
            <w:r w:rsidR="000559CE" w:rsidRPr="00FF5A02">
              <w:rPr>
                <w:lang w:val="en-GB"/>
              </w:rPr>
              <w:t>–</w:t>
            </w:r>
            <w:r w:rsidR="00A546E3" w:rsidRPr="00FF5A02">
              <w:rPr>
                <w:lang w:val="en-GB"/>
              </w:rPr>
              <w:t xml:space="preserve"> </w:t>
            </w:r>
            <w:r w:rsidR="000559CE" w:rsidRPr="00FF5A02">
              <w:rPr>
                <w:lang w:val="en-GB"/>
              </w:rPr>
              <w:t xml:space="preserve">Parties using a negative list approach (see note </w:t>
            </w:r>
            <w:r w:rsidR="000559CE" w:rsidRPr="00FF5A02">
              <w:rPr>
                <w:lang w:val="en-GB"/>
              </w:rPr>
              <w:fldChar w:fldCharType="begin"/>
            </w:r>
            <w:r w:rsidR="000559CE" w:rsidRPr="00FF5A02">
              <w:rPr>
                <w:lang w:val="en-GB"/>
              </w:rPr>
              <w:instrText xml:space="preserve"> NOTEREF _Ref37863657 \h </w:instrText>
            </w:r>
            <w:r w:rsidR="00EF14D8" w:rsidRPr="00FF5A02">
              <w:rPr>
                <w:lang w:val="en-GB"/>
              </w:rPr>
              <w:instrText xml:space="preserve"> \* MERGEFORMAT </w:instrText>
            </w:r>
            <w:r w:rsidR="000559CE" w:rsidRPr="00FF5A02">
              <w:rPr>
                <w:lang w:val="en-GB"/>
              </w:rPr>
            </w:r>
            <w:r w:rsidR="000559CE" w:rsidRPr="00FF5A02">
              <w:rPr>
                <w:lang w:val="en-GB"/>
              </w:rPr>
              <w:fldChar w:fldCharType="separate"/>
            </w:r>
            <w:r w:rsidR="000559CE" w:rsidRPr="00FF5A02">
              <w:rPr>
                <w:lang w:val="en-GB"/>
              </w:rPr>
              <w:t>13</w:t>
            </w:r>
            <w:r w:rsidR="000559CE" w:rsidRPr="00FF5A02">
              <w:rPr>
                <w:lang w:val="en-GB"/>
              </w:rPr>
              <w:fldChar w:fldCharType="end"/>
            </w:r>
            <w:r w:rsidR="000559CE" w:rsidRPr="00FF5A02">
              <w:rPr>
                <w:lang w:val="en-GB"/>
              </w:rPr>
              <w:t xml:space="preserve">) are marked with an </w:t>
            </w:r>
            <w:proofErr w:type="spellStart"/>
            <w:r w:rsidR="000559CE" w:rsidRPr="00FF5A02">
              <w:rPr>
                <w:lang w:val="en-GB"/>
              </w:rPr>
              <w:t>asterix</w:t>
            </w:r>
            <w:proofErr w:type="spellEnd"/>
          </w:p>
        </w:tc>
        <w:tc>
          <w:tcPr>
            <w:tcW w:w="906" w:type="pct"/>
            <w:tcBorders>
              <w:bottom w:val="single" w:sz="4" w:space="0" w:color="FFFFFF" w:themeColor="background1"/>
            </w:tcBorders>
            <w:shd w:val="clear" w:color="auto" w:fill="BFBFBF" w:themeFill="background1" w:themeFillShade="BF"/>
          </w:tcPr>
          <w:p w14:paraId="3CD7A08A" w14:textId="735F7196" w:rsidR="00BD04D6" w:rsidRPr="00FF5A02" w:rsidRDefault="005A0914" w:rsidP="00BD04D6">
            <w:pPr>
              <w:jc w:val="center"/>
              <w:cnfStyle w:val="000000100000" w:firstRow="0" w:lastRow="0" w:firstColumn="0" w:lastColumn="0" w:oddVBand="0" w:evenVBand="0" w:oddHBand="1" w:evenHBand="0" w:firstRowFirstColumn="0" w:firstRowLastColumn="0" w:lastRowFirstColumn="0" w:lastRowLastColumn="0"/>
              <w:rPr>
                <w:lang w:val="en-GB"/>
              </w:rPr>
            </w:pPr>
            <w:r w:rsidRPr="00FF5A02">
              <w:rPr>
                <w:lang w:val="en-GB"/>
              </w:rPr>
              <w:t>Construction services – covered across the board by all Parties</w:t>
            </w:r>
            <w:r w:rsidR="00BD04D6">
              <w:rPr>
                <w:rStyle w:val="FootnoteReference"/>
                <w:lang w:val="en-GB"/>
              </w:rPr>
              <w:footnoteReference w:id="24"/>
            </w:r>
          </w:p>
          <w:p w14:paraId="02BAB078" w14:textId="30C9CD2B" w:rsidR="005A0914" w:rsidRPr="00FF5A02" w:rsidRDefault="005A0914" w:rsidP="00857A1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597" w:type="pct"/>
            <w:tcBorders>
              <w:bottom w:val="single" w:sz="4" w:space="0" w:color="FFFFFF" w:themeColor="background1"/>
            </w:tcBorders>
            <w:shd w:val="clear" w:color="auto" w:fill="BFBFBF" w:themeFill="background1" w:themeFillShade="BF"/>
          </w:tcPr>
          <w:p w14:paraId="4F108E23" w14:textId="77777777" w:rsidR="005A0914" w:rsidRPr="00FF5A02" w:rsidRDefault="005A0914" w:rsidP="00857A13">
            <w:pPr>
              <w:jc w:val="center"/>
              <w:cnfStyle w:val="000000100000" w:firstRow="0" w:lastRow="0" w:firstColumn="0" w:lastColumn="0" w:oddVBand="0" w:evenVBand="0" w:oddHBand="1" w:evenHBand="0" w:firstRowFirstColumn="0" w:firstRowLastColumn="0" w:lastRowFirstColumn="0" w:lastRowLastColumn="0"/>
              <w:rPr>
                <w:lang w:val="en-GB"/>
              </w:rPr>
            </w:pPr>
            <w:r w:rsidRPr="00FF5A02">
              <w:rPr>
                <w:lang w:val="en-GB"/>
              </w:rPr>
              <w:t>Notes to specific Annexes</w:t>
            </w:r>
          </w:p>
        </w:tc>
        <w:tc>
          <w:tcPr>
            <w:tcW w:w="806" w:type="pct"/>
            <w:tcBorders>
              <w:bottom w:val="single" w:sz="4" w:space="0" w:color="FFFFFF" w:themeColor="background1"/>
            </w:tcBorders>
            <w:shd w:val="clear" w:color="auto" w:fill="BFBFBF" w:themeFill="background1" w:themeFillShade="BF"/>
          </w:tcPr>
          <w:p w14:paraId="4929A471" w14:textId="77777777" w:rsidR="005A0914" w:rsidRPr="00FF5A02" w:rsidRDefault="005A0914" w:rsidP="00857A13">
            <w:pPr>
              <w:jc w:val="center"/>
              <w:cnfStyle w:val="000000100000" w:firstRow="0" w:lastRow="0" w:firstColumn="0" w:lastColumn="0" w:oddVBand="0" w:evenVBand="0" w:oddHBand="1" w:evenHBand="0" w:firstRowFirstColumn="0" w:firstRowLastColumn="0" w:lastRowFirstColumn="0" w:lastRowLastColumn="0"/>
              <w:rPr>
                <w:lang w:val="en-GB"/>
              </w:rPr>
            </w:pPr>
            <w:r w:rsidRPr="00FF5A02">
              <w:rPr>
                <w:lang w:val="en-GB"/>
              </w:rPr>
              <w:t>General Notes (Annex 7)</w:t>
            </w:r>
          </w:p>
        </w:tc>
      </w:tr>
      <w:tr w:rsidR="00FF5A02" w14:paraId="40DD4F98"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6BB0116C" w14:textId="49EB73CE" w:rsidR="005A0914" w:rsidRPr="00321087" w:rsidRDefault="005A0914" w:rsidP="007B671D">
            <w:pPr>
              <w:rPr>
                <w:lang w:val="en-GB"/>
              </w:rPr>
            </w:pPr>
            <w:r w:rsidRPr="00DC6FED">
              <w:rPr>
                <w:lang w:val="en-GB"/>
              </w:rPr>
              <w:t xml:space="preserve">Armenia </w:t>
            </w:r>
            <w:r w:rsidR="000559CE">
              <w:rPr>
                <w:lang w:val="en-GB"/>
              </w:rPr>
              <w:t>*</w:t>
            </w:r>
          </w:p>
        </w:tc>
        <w:tc>
          <w:tcPr>
            <w:tcW w:w="807" w:type="pct"/>
            <w:tcBorders>
              <w:bottom w:val="single" w:sz="4" w:space="0" w:color="auto"/>
              <w:right w:val="single" w:sz="4" w:space="0" w:color="auto"/>
            </w:tcBorders>
            <w:shd w:val="clear" w:color="auto" w:fill="F2F2F2" w:themeFill="background1" w:themeFillShade="F2"/>
          </w:tcPr>
          <w:p w14:paraId="5C99456F" w14:textId="77777777"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c>
          <w:tcPr>
            <w:tcW w:w="906" w:type="pct"/>
            <w:tcBorders>
              <w:left w:val="single" w:sz="4" w:space="0" w:color="auto"/>
              <w:bottom w:val="single" w:sz="4" w:space="0" w:color="auto"/>
              <w:right w:val="single" w:sz="4" w:space="0" w:color="auto"/>
            </w:tcBorders>
            <w:shd w:val="clear" w:color="auto" w:fill="F2F2F2" w:themeFill="background1" w:themeFillShade="F2"/>
          </w:tcPr>
          <w:p w14:paraId="7F098E0F" w14:textId="77777777" w:rsidR="005A0914" w:rsidRPr="00873A63"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c>
          <w:tcPr>
            <w:tcW w:w="1597" w:type="pct"/>
            <w:tcBorders>
              <w:left w:val="single" w:sz="4" w:space="0" w:color="auto"/>
              <w:bottom w:val="single" w:sz="4" w:space="0" w:color="auto"/>
              <w:right w:val="single" w:sz="4" w:space="0" w:color="auto"/>
            </w:tcBorders>
            <w:shd w:val="clear" w:color="auto" w:fill="F2F2F2" w:themeFill="background1" w:themeFillShade="F2"/>
          </w:tcPr>
          <w:p w14:paraId="2C9BD461"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left w:val="single" w:sz="4" w:space="0" w:color="auto"/>
              <w:bottom w:val="single" w:sz="4" w:space="0" w:color="auto"/>
              <w:right w:val="single" w:sz="4" w:space="0" w:color="auto"/>
            </w:tcBorders>
            <w:shd w:val="clear" w:color="auto" w:fill="F2F2F2" w:themeFill="background1" w:themeFillShade="F2"/>
          </w:tcPr>
          <w:p w14:paraId="712F5BAF"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0120A78D"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0543605A" w14:textId="68C68930" w:rsidR="005A0914" w:rsidRPr="00321087" w:rsidRDefault="005A0914" w:rsidP="007B671D">
            <w:pPr>
              <w:rPr>
                <w:lang w:val="en-GB"/>
              </w:rPr>
            </w:pPr>
            <w:r w:rsidRPr="00DC6FED">
              <w:rPr>
                <w:lang w:val="en-GB"/>
              </w:rPr>
              <w:t xml:space="preserve">Australia </w:t>
            </w:r>
            <w:r w:rsidR="000559CE">
              <w:rPr>
                <w:lang w:val="en-GB"/>
              </w:rPr>
              <w:t>*</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04D3FFEA" w14:textId="09B4D9D7" w:rsidR="005A0914" w:rsidRPr="00223CCF" w:rsidRDefault="00011AC0"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r w:rsidR="005A0914">
              <w:rPr>
                <w:lang w:val="en-GB"/>
              </w:rPr>
              <w:t xml:space="preserve"> (</w:t>
            </w:r>
            <w:r w:rsidR="005A0914" w:rsidRPr="005D32BF">
              <w:rPr>
                <w:lang w:val="en-GB"/>
              </w:rPr>
              <w:t>due to applicable e</w:t>
            </w:r>
            <w:r w:rsidR="005A0914">
              <w:rPr>
                <w:lang w:val="en-GB"/>
              </w:rPr>
              <w:t>xclusion)</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D75B8" w14:textId="77777777" w:rsidR="005A0914" w:rsidRDefault="005A0914" w:rsidP="007B671D">
            <w:pPr>
              <w:cnfStyle w:val="000000100000" w:firstRow="0" w:lastRow="0" w:firstColumn="0" w:lastColumn="0" w:oddVBand="0" w:evenVBand="0" w:oddHBand="1"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9F926" w14:textId="77777777" w:rsidR="005A0914" w:rsidRDefault="005A0914" w:rsidP="007B671D">
            <w:pPr>
              <w:cnfStyle w:val="000000100000" w:firstRow="0" w:lastRow="0" w:firstColumn="0" w:lastColumn="0" w:oddVBand="0" w:evenVBand="0" w:oddHBand="1" w:evenHBand="0" w:firstRowFirstColumn="0" w:firstRowLastColumn="0" w:lastRowFirstColumn="0" w:lastRowLastColumn="0"/>
            </w:pPr>
            <w:r w:rsidRPr="000B2D25">
              <w:rPr>
                <w:rFonts w:eastAsia="Times New Roman"/>
                <w:lang w:val="en-GB"/>
              </w:rPr>
              <w:t>Annex 5: Express exclusion of Health and welfare services</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7F076" w14:textId="77777777" w:rsidR="005A0914" w:rsidRPr="000B2D25"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sidRPr="000B2D25">
              <w:rPr>
                <w:lang w:val="en-GB"/>
              </w:rPr>
              <w:t>Annex 7: exclusion of measures for the health and welfare of Indigenous people</w:t>
            </w:r>
          </w:p>
        </w:tc>
      </w:tr>
      <w:tr w:rsidR="00FF5A02" w14:paraId="6F2D2D92"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5CC8870A" w14:textId="77777777" w:rsidR="005A0914" w:rsidRPr="00321087" w:rsidRDefault="005A0914" w:rsidP="007B671D">
            <w:pPr>
              <w:rPr>
                <w:lang w:val="en-GB"/>
              </w:rPr>
            </w:pPr>
            <w:r w:rsidRPr="00DC6FED">
              <w:rPr>
                <w:lang w:val="en-GB"/>
              </w:rPr>
              <w:t>Canada</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13F17B08" w14:textId="77777777" w:rsidR="005A0914" w:rsidRPr="00466A45"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98C2B"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3122E"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CF08F3">
              <w:rPr>
                <w:lang w:val="en-GB"/>
              </w:rPr>
              <w:t>Anne</w:t>
            </w:r>
            <w:r>
              <w:rPr>
                <w:lang w:val="en-GB"/>
              </w:rPr>
              <w:t xml:space="preserve">x 2: </w:t>
            </w:r>
            <w:r w:rsidRPr="00CF08F3">
              <w:t xml:space="preserve">For those provinces and territories marked by an obelisk (†), this Agreement does not cover the procurement of goods, services or construction services purchased for the benefit of, or which is to be transferred to the authority of, </w:t>
            </w:r>
            <w:r w:rsidRPr="00CF08F3">
              <w:rPr>
                <w:lang w:val="en-GB"/>
              </w:rPr>
              <w:t>[</w:t>
            </w:r>
            <w:r>
              <w:rPr>
                <w:lang w:val="en-GB"/>
              </w:rPr>
              <w:t xml:space="preserve">…] </w:t>
            </w:r>
            <w:r w:rsidRPr="00CF08F3">
              <w:t xml:space="preserve"> social services entities or hospitals.</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D5045"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5999370D"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333A3752" w14:textId="77777777" w:rsidR="005A0914" w:rsidRPr="00321087" w:rsidRDefault="005A0914" w:rsidP="007B671D">
            <w:pPr>
              <w:rPr>
                <w:lang w:val="en-GB"/>
              </w:rPr>
            </w:pPr>
            <w:r w:rsidRPr="00DC6FED">
              <w:rPr>
                <w:lang w:val="en-GB"/>
              </w:rPr>
              <w:t>European Union</w:t>
            </w:r>
            <w:r w:rsidRPr="00DC6FED">
              <w:rPr>
                <w:lang w:val="en-GB"/>
              </w:rPr>
              <w:br/>
              <w:t>with regard to its 27 member states and the United Kingdom:</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5B69133D" w14:textId="77777777" w:rsidR="005A0914" w:rsidRPr="00C805D9"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3EBD1" w14:textId="77777777" w:rsidR="005A0914" w:rsidRPr="00C805D9"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A96E7" w14:textId="77777777" w:rsidR="005A0914"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BFDED" w14:textId="77777777" w:rsidR="005A0914"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FF5A02" w14:paraId="22EED4F1"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65E1D246" w14:textId="77777777" w:rsidR="005A0914" w:rsidRPr="00321087" w:rsidRDefault="005A0914" w:rsidP="007B671D">
            <w:pPr>
              <w:rPr>
                <w:lang w:val="en-GB"/>
              </w:rPr>
            </w:pPr>
            <w:r w:rsidRPr="00DC6FED">
              <w:rPr>
                <w:lang w:val="en-GB"/>
              </w:rPr>
              <w:t>Hong Kong , China</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34CBE7E" w14:textId="77777777"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4B34D"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F6E68"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B7908"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605A6767"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3F6BDB65" w14:textId="77777777" w:rsidR="005A0914" w:rsidRPr="00321087" w:rsidRDefault="005A0914" w:rsidP="007B671D">
            <w:pPr>
              <w:rPr>
                <w:lang w:val="en-GB"/>
              </w:rPr>
            </w:pPr>
            <w:r w:rsidRPr="00DC6FED">
              <w:rPr>
                <w:lang w:val="en-GB"/>
              </w:rPr>
              <w:t>Iceland</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7CC9439" w14:textId="77777777" w:rsidR="005A0914" w:rsidRPr="00B721B8"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F2313" w14:textId="77777777" w:rsidR="005A0914" w:rsidRPr="00B721B8"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17DF9" w14:textId="77777777" w:rsidR="005A0914" w:rsidRPr="00B721B8"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A8CDA" w14:textId="77777777" w:rsidR="005A0914" w:rsidRPr="00B721B8"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FF5A02" w14:paraId="770E9F40"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073DBCF4" w14:textId="77777777" w:rsidR="005A0914" w:rsidRPr="00321087" w:rsidRDefault="005A0914" w:rsidP="007B671D">
            <w:pPr>
              <w:rPr>
                <w:lang w:val="en-GB"/>
              </w:rPr>
            </w:pPr>
            <w:r w:rsidRPr="00DC6FED">
              <w:rPr>
                <w:lang w:val="en-GB"/>
              </w:rPr>
              <w:t>Israel</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66868AA5"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1CA03"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FA869"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C9D63"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FF5A02" w14:paraId="016D5711"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0700549D" w14:textId="77777777" w:rsidR="005A0914" w:rsidRPr="00321087" w:rsidRDefault="005A0914" w:rsidP="007B671D">
            <w:pPr>
              <w:rPr>
                <w:lang w:val="en-GB"/>
              </w:rPr>
            </w:pPr>
            <w:r w:rsidRPr="00DC6FED">
              <w:rPr>
                <w:lang w:val="en-GB"/>
              </w:rPr>
              <w:lastRenderedPageBreak/>
              <w:t>Japan</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32BAAFFA"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DD25A"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B99F1" w14:textId="5CCCF8E4" w:rsidR="005A0914" w:rsidRPr="00CF08F3"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sidRPr="00CF08F3">
              <w:rPr>
                <w:lang w:val="en-GB"/>
              </w:rPr>
              <w:t>Annex 3: Procurement for safety-related activities aiming at utilization and management of radioactive materials and responding to emergencies of nuclear installation is not covered.</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D84D2" w14:textId="77777777" w:rsidR="005A0914" w:rsidRPr="00CF08F3"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FF5A02" w14:paraId="62D58D29"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5AB1D46E" w14:textId="77777777" w:rsidR="005A0914" w:rsidRPr="00321087" w:rsidRDefault="005A0914" w:rsidP="007B671D">
            <w:pPr>
              <w:rPr>
                <w:lang w:val="en-GB"/>
              </w:rPr>
            </w:pPr>
            <w:r w:rsidRPr="00DC6FED">
              <w:rPr>
                <w:lang w:val="en-GB"/>
              </w:rPr>
              <w:t>Korea, Republic of</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732F7512"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B3B88"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7C453"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357A1" w14:textId="77777777" w:rsidR="005A0914" w:rsidRPr="00151D05"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78D10C9C"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35953749" w14:textId="77777777" w:rsidR="005A0914" w:rsidRPr="00321087" w:rsidRDefault="005A0914" w:rsidP="007B671D">
            <w:pPr>
              <w:rPr>
                <w:lang w:val="en-GB"/>
              </w:rPr>
            </w:pPr>
            <w:r w:rsidRPr="00DC6FED">
              <w:rPr>
                <w:lang w:val="en-GB"/>
              </w:rPr>
              <w:t>Liechtenstein</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3876B9BF" w14:textId="77777777" w:rsidR="005A0914" w:rsidRPr="00136FCB"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0A024" w14:textId="77777777" w:rsidR="005A0914" w:rsidRPr="00136FCB"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C510F" w14:textId="77777777" w:rsidR="005A0914" w:rsidRPr="00136FCB"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E66F8" w14:textId="77777777" w:rsidR="005A0914" w:rsidRPr="00136FCB"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FF5A02" w14:paraId="034CFD4A"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06DDB8AF" w14:textId="77777777" w:rsidR="005A0914" w:rsidRPr="00321087" w:rsidRDefault="005A0914" w:rsidP="007B671D">
            <w:pPr>
              <w:rPr>
                <w:lang w:val="en-GB"/>
              </w:rPr>
            </w:pPr>
            <w:r w:rsidRPr="00DC6FED">
              <w:rPr>
                <w:lang w:val="en-GB"/>
              </w:rPr>
              <w:t xml:space="preserve">Moldova, Republic of </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0302B65E" w14:textId="77777777"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AEEBF"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5CA84"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6EC1E"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7989DC9B"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3B9DB0D0" w14:textId="77777777" w:rsidR="005A0914" w:rsidRPr="00321087" w:rsidRDefault="005A0914" w:rsidP="007B671D">
            <w:pPr>
              <w:rPr>
                <w:lang w:val="en-GB"/>
              </w:rPr>
            </w:pPr>
            <w:r w:rsidRPr="00DC6FED">
              <w:rPr>
                <w:lang w:val="en-GB"/>
              </w:rPr>
              <w:t>Montenegro</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B94E67F" w14:textId="77777777" w:rsidR="005A0914" w:rsidRPr="0092430A"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B52D5" w14:textId="77777777" w:rsidR="005A0914" w:rsidRDefault="005A0914" w:rsidP="007B671D">
            <w:pPr>
              <w:cnfStyle w:val="000000100000" w:firstRow="0" w:lastRow="0" w:firstColumn="0" w:lastColumn="0" w:oddVBand="0" w:evenVBand="0" w:oddHBand="1"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56DCC" w14:textId="77777777" w:rsidR="005A0914" w:rsidRPr="00A5435C"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222B2" w14:textId="77777777" w:rsidR="005A0914" w:rsidRPr="00A5435C"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FF5A02" w14:paraId="0CC26B8E"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38E10D43" w14:textId="77777777" w:rsidR="005A0914" w:rsidRPr="00321087" w:rsidRDefault="005A0914" w:rsidP="007B671D">
            <w:pPr>
              <w:rPr>
                <w:lang w:val="en-GB"/>
              </w:rPr>
            </w:pPr>
            <w:r w:rsidRPr="00DC6FED">
              <w:rPr>
                <w:lang w:val="en-GB"/>
              </w:rPr>
              <w:t>Netherlands with respect to Aruba</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CC68CFF" w14:textId="77777777" w:rsidR="005A0914" w:rsidRPr="00C805D9"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BDB51" w14:textId="77777777" w:rsidR="005A0914" w:rsidRPr="00C805D9"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9939C" w14:textId="77777777" w:rsidR="005A0914" w:rsidRPr="00C805D9"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091B3" w14:textId="77777777" w:rsidR="005A0914" w:rsidRPr="00C805D9" w:rsidRDefault="005A0914" w:rsidP="007B671D">
            <w:pP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FF5A02" w14:paraId="7D56E25B"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19A4CCCD" w14:textId="7DF30CD1" w:rsidR="005A0914" w:rsidRPr="00321087" w:rsidRDefault="005A0914" w:rsidP="007B671D">
            <w:pPr>
              <w:rPr>
                <w:lang w:val="en-GB"/>
              </w:rPr>
            </w:pPr>
            <w:r w:rsidRPr="00DC6FED">
              <w:rPr>
                <w:lang w:val="en-GB"/>
              </w:rPr>
              <w:t>New Zealand</w:t>
            </w:r>
            <w:r w:rsidR="000559CE">
              <w:rPr>
                <w:lang w:val="en-GB"/>
              </w:rPr>
              <w:t xml:space="preserve"> *</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6251A060" w14:textId="3E7530D3" w:rsidR="005A0914" w:rsidRPr="005D32BF" w:rsidRDefault="00011AC0"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r w:rsidR="005A0914" w:rsidRPr="005D32BF">
              <w:rPr>
                <w:lang w:val="en-GB"/>
              </w:rPr>
              <w:t xml:space="preserve"> (due to applicable e</w:t>
            </w:r>
            <w:r w:rsidR="005A0914">
              <w:rPr>
                <w:lang w:val="en-GB"/>
              </w:rPr>
              <w:t>xclusion)</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25CC9"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97CA0" w14:textId="77777777" w:rsidR="00A11F73" w:rsidRDefault="005A0914" w:rsidP="007B671D">
            <w:pPr>
              <w:cnfStyle w:val="000000100000" w:firstRow="0" w:lastRow="0" w:firstColumn="0" w:lastColumn="0" w:oddVBand="0" w:evenVBand="0" w:oddHBand="1" w:evenHBand="0" w:firstRowFirstColumn="0" w:firstRowLastColumn="0" w:lastRowFirstColumn="0" w:lastRowLastColumn="0"/>
            </w:pPr>
            <w:r w:rsidRPr="00136AF2">
              <w:rPr>
                <w:lang w:val="en-GB"/>
              </w:rPr>
              <w:t>An</w:t>
            </w:r>
            <w:r>
              <w:rPr>
                <w:lang w:val="en-GB"/>
              </w:rPr>
              <w:t xml:space="preserve">nex 3: </w:t>
            </w:r>
            <w:r w:rsidRPr="00136AF2">
              <w:t>Fire and Emergency New Zealand: This Agreement only covers procurement that was previously covered by the New Zealand Fire Service Commission. For the avoidance of doubt, the following procurements are excluded from cover: any procurement by Fire and Emergency New Zealand that was previously conducted by Rural Fire Authorities, Rural Fire Committees and/or Territorial Authorities (for the purposes of their functions under the Forest and Rural Fires Act 1977).</w:t>
            </w:r>
          </w:p>
          <w:p w14:paraId="542E8A06" w14:textId="336CE2E7" w:rsidR="005A0914" w:rsidRDefault="005A0914" w:rsidP="007B671D">
            <w:pPr>
              <w:cnfStyle w:val="000000100000" w:firstRow="0" w:lastRow="0" w:firstColumn="0" w:lastColumn="0" w:oddVBand="0" w:evenVBand="0" w:oddHBand="1" w:evenHBand="0" w:firstRowFirstColumn="0" w:firstRowLastColumn="0" w:lastRowFirstColumn="0" w:lastRowLastColumn="0"/>
              <w:rPr>
                <w:rFonts w:eastAsia="Times New Roman"/>
                <w:lang w:val="en-GB"/>
              </w:rPr>
            </w:pPr>
            <w:r w:rsidRPr="000B2D25">
              <w:rPr>
                <w:rFonts w:eastAsia="Times New Roman"/>
                <w:lang w:val="en-GB"/>
              </w:rPr>
              <w:t>Annex 5: Express exclusion of Health and welfare services</w:t>
            </w:r>
          </w:p>
          <w:p w14:paraId="1871DD87" w14:textId="77777777" w:rsidR="005A0914" w:rsidRPr="00332C5D" w:rsidRDefault="005A0914" w:rsidP="007B671D">
            <w:pPr>
              <w:cnfStyle w:val="000000100000" w:firstRow="0" w:lastRow="0" w:firstColumn="0" w:lastColumn="0" w:oddVBand="0" w:evenVBand="0" w:oddHBand="1" w:evenHBand="0" w:firstRowFirstColumn="0" w:firstRowLastColumn="0" w:lastRowFirstColumn="0" w:lastRowLastColumn="0"/>
            </w:pP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C333F" w14:textId="77777777" w:rsidR="005A0914" w:rsidRPr="00332C5D" w:rsidRDefault="005A0914" w:rsidP="007B671D">
            <w:pP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FF5A02" w14:paraId="5D5545B3"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0936C189" w14:textId="77777777" w:rsidR="005A0914" w:rsidRPr="00321087" w:rsidRDefault="005A0914" w:rsidP="007B671D">
            <w:pPr>
              <w:rPr>
                <w:lang w:val="en-GB"/>
              </w:rPr>
            </w:pPr>
            <w:r w:rsidRPr="00DC6FED">
              <w:rPr>
                <w:lang w:val="en-GB"/>
              </w:rPr>
              <w:t>Norway</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14AB5DA5" w14:textId="77777777"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43140"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22178"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ABB6E"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7087521E"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2B5FBC98" w14:textId="77777777" w:rsidR="005A0914" w:rsidRPr="00321087" w:rsidRDefault="005A0914" w:rsidP="007B671D">
            <w:pPr>
              <w:rPr>
                <w:lang w:val="en-GB"/>
              </w:rPr>
            </w:pPr>
            <w:r w:rsidRPr="00DC6FED">
              <w:rPr>
                <w:lang w:val="en-GB"/>
              </w:rPr>
              <w:t>Singapore</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12D2E186"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27E0A"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A0D7E"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455AB"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FF5A02" w14:paraId="0DBD0BD4"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1266304D" w14:textId="77777777" w:rsidR="005A0914" w:rsidRPr="00321087" w:rsidRDefault="005A0914" w:rsidP="007B671D">
            <w:pPr>
              <w:rPr>
                <w:lang w:val="en-GB"/>
              </w:rPr>
            </w:pPr>
            <w:r w:rsidRPr="00DC6FED">
              <w:rPr>
                <w:lang w:val="en-GB"/>
              </w:rPr>
              <w:t>Switzerland</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7557C6EC" w14:textId="77777777"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73A7B"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B4624"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EBB87"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29747990"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287B7911" w14:textId="77777777" w:rsidR="005A0914" w:rsidRPr="00321087" w:rsidRDefault="005A0914" w:rsidP="007B671D">
            <w:pPr>
              <w:rPr>
                <w:lang w:val="en-GB"/>
              </w:rPr>
            </w:pPr>
            <w:r w:rsidRPr="00DC6FED">
              <w:rPr>
                <w:lang w:val="en-GB"/>
              </w:rPr>
              <w:t>Chinese Taipei</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3E04BBB" w14:textId="3BBC8DE7" w:rsidR="005A0914" w:rsidRPr="00151D05" w:rsidRDefault="00011AC0"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61481"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0D9552"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63963" w14:textId="77777777" w:rsidR="005A0914" w:rsidRPr="00151D05" w:rsidRDefault="005A0914" w:rsidP="007B671D">
            <w:pPr>
              <w:cnfStyle w:val="000000100000" w:firstRow="0" w:lastRow="0" w:firstColumn="0" w:lastColumn="0" w:oddVBand="0" w:evenVBand="0" w:oddHBand="1" w:evenHBand="0" w:firstRowFirstColumn="0" w:firstRowLastColumn="0" w:lastRowFirstColumn="0" w:lastRowLastColumn="0"/>
              <w:rPr>
                <w:lang w:val="de-CH"/>
              </w:rPr>
            </w:pPr>
            <w:r>
              <w:rPr>
                <w:lang w:val="de-CH"/>
              </w:rPr>
              <w:t>x</w:t>
            </w:r>
          </w:p>
        </w:tc>
      </w:tr>
      <w:tr w:rsidR="00FF5A02" w14:paraId="052ACB8F" w14:textId="77777777" w:rsidTr="00484D08">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746840AE" w14:textId="703FABBA" w:rsidR="005A0914" w:rsidRPr="00321087" w:rsidRDefault="005A0914" w:rsidP="007B671D">
            <w:pPr>
              <w:rPr>
                <w:lang w:val="en-GB"/>
              </w:rPr>
            </w:pPr>
            <w:r w:rsidRPr="00DC6FED">
              <w:rPr>
                <w:lang w:val="en-GB"/>
              </w:rPr>
              <w:t xml:space="preserve">Ukraine </w:t>
            </w:r>
            <w:r w:rsidR="000559CE">
              <w:rPr>
                <w:lang w:val="en-GB"/>
              </w:rPr>
              <w:t>*</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5E865C54" w14:textId="30DEDB01" w:rsidR="005A0914" w:rsidRPr="0092430A"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yes</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0EBF0" w14:textId="77777777" w:rsidR="005A0914" w:rsidRDefault="005A0914" w:rsidP="007B671D">
            <w:pPr>
              <w:cnfStyle w:val="000000000000" w:firstRow="0" w:lastRow="0" w:firstColumn="0" w:lastColumn="0" w:oddVBand="0" w:evenVBand="0" w:oddHBand="0" w:evenHBand="0" w:firstRowFirstColumn="0" w:firstRowLastColumn="0" w:lastRowFirstColumn="0" w:lastRowLastColumn="0"/>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845D5"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BC895" w14:textId="77777777" w:rsidR="005A0914" w:rsidRPr="00A5435C" w:rsidRDefault="005A0914" w:rsidP="007B671D">
            <w:pPr>
              <w:cnfStyle w:val="000000000000" w:firstRow="0" w:lastRow="0" w:firstColumn="0" w:lastColumn="0" w:oddVBand="0" w:evenVBand="0" w:oddHBand="0" w:evenHBand="0" w:firstRowFirstColumn="0" w:firstRowLastColumn="0" w:lastRowFirstColumn="0" w:lastRowLastColumn="0"/>
              <w:rPr>
                <w:lang w:val="de-CH"/>
              </w:rPr>
            </w:pPr>
            <w:r>
              <w:rPr>
                <w:lang w:val="de-CH"/>
              </w:rPr>
              <w:t>x</w:t>
            </w:r>
          </w:p>
        </w:tc>
      </w:tr>
      <w:tr w:rsidR="00FF5A02" w14:paraId="706F1811" w14:textId="77777777" w:rsidTr="00484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808080" w:themeFill="background1" w:themeFillShade="80"/>
          </w:tcPr>
          <w:p w14:paraId="55CFCEBE" w14:textId="4237453B" w:rsidR="005A0914" w:rsidRPr="00321087" w:rsidRDefault="005A0914" w:rsidP="007B671D">
            <w:pPr>
              <w:rPr>
                <w:lang w:val="en-GB"/>
              </w:rPr>
            </w:pPr>
            <w:r w:rsidRPr="00DC6FED">
              <w:rPr>
                <w:lang w:val="en-GB"/>
              </w:rPr>
              <w:t>United States</w:t>
            </w:r>
            <w:r w:rsidR="000559CE">
              <w:rPr>
                <w:lang w:val="en-GB"/>
              </w:rPr>
              <w:t xml:space="preserve"> *</w:t>
            </w:r>
          </w:p>
        </w:tc>
        <w:tc>
          <w:tcPr>
            <w:tcW w:w="807" w:type="pct"/>
            <w:tcBorders>
              <w:top w:val="single" w:sz="4" w:space="0" w:color="auto"/>
              <w:bottom w:val="single" w:sz="4" w:space="0" w:color="auto"/>
              <w:right w:val="single" w:sz="4" w:space="0" w:color="auto"/>
            </w:tcBorders>
            <w:shd w:val="clear" w:color="auto" w:fill="F2F2F2" w:themeFill="background1" w:themeFillShade="F2"/>
          </w:tcPr>
          <w:p w14:paraId="203B25CB" w14:textId="77777777" w:rsidR="005A0914" w:rsidRPr="0021528C" w:rsidRDefault="005A0914" w:rsidP="007B671D">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9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59D43" w14:textId="77777777" w:rsidR="005A0914" w:rsidRPr="0021528C" w:rsidRDefault="005A0914" w:rsidP="007B671D">
            <w:pPr>
              <w:cnfStyle w:val="000000100000" w:firstRow="0" w:lastRow="0" w:firstColumn="0" w:lastColumn="0" w:oddVBand="0" w:evenVBand="0" w:oddHBand="1" w:evenHBand="0" w:firstRowFirstColumn="0" w:firstRowLastColumn="0" w:lastRowFirstColumn="0" w:lastRowLastColumn="0"/>
              <w:rPr>
                <w:lang w:val="en"/>
              </w:rPr>
            </w:pPr>
            <w:r w:rsidRPr="00521B9F">
              <w:rPr>
                <w:lang w:val="de-CH"/>
              </w:rPr>
              <w:t>yes</w:t>
            </w:r>
          </w:p>
        </w:tc>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ED5E0" w14:textId="77777777" w:rsidR="005A0914" w:rsidRPr="0021528C" w:rsidRDefault="005A0914" w:rsidP="007B671D">
            <w:pPr>
              <w:cnfStyle w:val="000000100000" w:firstRow="0" w:lastRow="0" w:firstColumn="0" w:lastColumn="0" w:oddVBand="0" w:evenVBand="0" w:oddHBand="1" w:evenHBand="0" w:firstRowFirstColumn="0" w:firstRowLastColumn="0" w:lastRowFirstColumn="0" w:lastRowLastColumn="0"/>
              <w:rPr>
                <w:lang w:val="en"/>
              </w:rPr>
            </w:pPr>
            <w:r>
              <w:rPr>
                <w:lang w:val="en"/>
              </w:rPr>
              <w:t>x</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FD79B" w14:textId="77777777" w:rsidR="005A0914" w:rsidRPr="0021528C" w:rsidRDefault="005A0914" w:rsidP="007B671D">
            <w:pPr>
              <w:cnfStyle w:val="000000100000" w:firstRow="0" w:lastRow="0" w:firstColumn="0" w:lastColumn="0" w:oddVBand="0" w:evenVBand="0" w:oddHBand="1" w:evenHBand="0" w:firstRowFirstColumn="0" w:firstRowLastColumn="0" w:lastRowFirstColumn="0" w:lastRowLastColumn="0"/>
              <w:rPr>
                <w:lang w:val="en"/>
              </w:rPr>
            </w:pPr>
            <w:r>
              <w:rPr>
                <w:lang w:val="en"/>
              </w:rPr>
              <w:t>x</w:t>
            </w:r>
          </w:p>
        </w:tc>
      </w:tr>
    </w:tbl>
    <w:p w14:paraId="70FB3E4E" w14:textId="77777777" w:rsidR="005A0914" w:rsidRDefault="005A0914" w:rsidP="004C0F2C"/>
    <w:sectPr w:rsidR="005A0914" w:rsidSect="00F4397C">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EB78" w14:textId="77777777" w:rsidR="00C629AF" w:rsidRDefault="00C629AF" w:rsidP="00C42808">
      <w:r>
        <w:separator/>
      </w:r>
    </w:p>
  </w:endnote>
  <w:endnote w:type="continuationSeparator" w:id="0">
    <w:p w14:paraId="06B9DBD4" w14:textId="77777777" w:rsidR="00C629AF" w:rsidRDefault="00C629AF" w:rsidP="00C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F4C5" w14:textId="77777777" w:rsidR="00C629AF" w:rsidRDefault="00C629AF" w:rsidP="00C42808">
      <w:r>
        <w:separator/>
      </w:r>
    </w:p>
  </w:footnote>
  <w:footnote w:type="continuationSeparator" w:id="0">
    <w:p w14:paraId="36CB8094" w14:textId="77777777" w:rsidR="00C629AF" w:rsidRDefault="00C629AF" w:rsidP="00C42808">
      <w:r>
        <w:continuationSeparator/>
      </w:r>
    </w:p>
  </w:footnote>
  <w:footnote w:id="1">
    <w:p w14:paraId="74C10257" w14:textId="616BD979" w:rsidR="00854446" w:rsidRDefault="00854446" w:rsidP="00DC515C">
      <w:pPr>
        <w:pStyle w:val="FootnoteText"/>
        <w:jc w:val="both"/>
      </w:pPr>
      <w:r>
        <w:rPr>
          <w:rStyle w:val="FootnoteReference"/>
        </w:rPr>
        <w:footnoteRef/>
      </w:r>
      <w:r>
        <w:t xml:space="preserve"> Honorary Professor, School of Law, University of Nottingham; External faculty member, International Master's Program in Public Procurement Management, University of Rome Tor </w:t>
      </w:r>
      <w:proofErr w:type="spellStart"/>
      <w:r>
        <w:t>Vergata</w:t>
      </w:r>
      <w:proofErr w:type="spellEnd"/>
      <w:r>
        <w:t>; and public policy consultant, Sarasota, Florida.</w:t>
      </w:r>
      <w:r w:rsidR="001B5FB6">
        <w:t xml:space="preserve"> Grateful thanks are extended to Anna Caroline </w:t>
      </w:r>
      <w:r w:rsidR="00B2472E">
        <w:t xml:space="preserve">Müller </w:t>
      </w:r>
      <w:r w:rsidR="001B5FB6">
        <w:t xml:space="preserve">for </w:t>
      </w:r>
      <w:r w:rsidR="003869E6">
        <w:t>valuable conversations</w:t>
      </w:r>
      <w:r w:rsidR="00C86C8F">
        <w:t>, advice</w:t>
      </w:r>
      <w:r w:rsidR="003869E6">
        <w:t xml:space="preserve"> and </w:t>
      </w:r>
      <w:r w:rsidR="001B5FB6">
        <w:t>help with the underlying analysis and research</w:t>
      </w:r>
      <w:r>
        <w:t xml:space="preserve">. </w:t>
      </w:r>
      <w:r w:rsidR="00C86C8F">
        <w:t>H</w:t>
      </w:r>
      <w:r>
        <w:t xml:space="preserve">elpful </w:t>
      </w:r>
      <w:r w:rsidR="00C86C8F">
        <w:t>related s</w:t>
      </w:r>
      <w:r>
        <w:t xml:space="preserve">uggestions </w:t>
      </w:r>
      <w:r w:rsidR="003869E6">
        <w:t xml:space="preserve">were received </w:t>
      </w:r>
      <w:r>
        <w:t xml:space="preserve">from Sue Arrowsmith. </w:t>
      </w:r>
      <w:r w:rsidRPr="00303772">
        <w:t>Th</w:t>
      </w:r>
      <w:r w:rsidR="003869E6">
        <w:t>e responsibility for all views expressed rests solely with the author</w:t>
      </w:r>
      <w:r>
        <w:t>.</w:t>
      </w:r>
    </w:p>
  </w:footnote>
  <w:footnote w:id="2">
    <w:p w14:paraId="2B83C1F0" w14:textId="77777777" w:rsidR="00854446" w:rsidRDefault="00854446" w:rsidP="00DC515C">
      <w:pPr>
        <w:pStyle w:val="FootnoteText"/>
        <w:jc w:val="both"/>
      </w:pPr>
      <w:r>
        <w:rPr>
          <w:rStyle w:val="FootnoteReference"/>
        </w:rPr>
        <w:footnoteRef/>
      </w:r>
      <w:r>
        <w:t xml:space="preserve"> </w:t>
      </w:r>
      <w:r w:rsidRPr="007A0836">
        <w:t>World Health Organization, World Intellectual Property Organization and the World Trade Organization</w:t>
      </w:r>
      <w:r>
        <w:t xml:space="preserve">, </w:t>
      </w:r>
      <w:r w:rsidRPr="00AA6C37">
        <w:t>Promoting Access to Medical Technologies and Innovation</w:t>
      </w:r>
      <w:r>
        <w:t xml:space="preserve">: Intersections between Public Health, Intellectual Property and Trade (Geneva: 2013), available here: </w:t>
      </w:r>
      <w:hyperlink r:id="rId1" w:history="1">
        <w:r w:rsidRPr="00122097">
          <w:rPr>
            <w:rStyle w:val="Hyperlink"/>
          </w:rPr>
          <w:t>https://www.wipo.int/policy/en/global_health/trilateral_cooperation.html</w:t>
        </w:r>
      </w:hyperlink>
      <w:r>
        <w:t>.</w:t>
      </w:r>
    </w:p>
  </w:footnote>
  <w:footnote w:id="3">
    <w:p w14:paraId="78B3D140" w14:textId="77777777" w:rsidR="00854446" w:rsidRDefault="00854446" w:rsidP="00DC515C">
      <w:pPr>
        <w:pStyle w:val="FootnoteText"/>
        <w:jc w:val="both"/>
      </w:pPr>
      <w:r>
        <w:rPr>
          <w:rStyle w:val="FootnoteReference"/>
        </w:rPr>
        <w:footnoteRef/>
      </w:r>
      <w:r>
        <w:t xml:space="preserve"> </w:t>
      </w:r>
      <w:r w:rsidRPr="007A0836">
        <w:t>World Health Organization, World Intellectual Property Organization and the World Trade Organization</w:t>
      </w:r>
      <w:r>
        <w:t xml:space="preserve">, id. The prevention of undue restrictions on international trade is an important objective of the International Health Regulations (IHR), developed by the World Health Organization in consultation with public health authorities worldwide. World Health Organization, International Health Regulations (2005), available here: </w:t>
      </w:r>
      <w:hyperlink r:id="rId2" w:history="1">
        <w:r w:rsidRPr="00524A2F">
          <w:rPr>
            <w:rStyle w:val="Hyperlink"/>
          </w:rPr>
          <w:t>https://www.who.int/ihr/publications/9789241580496/en/</w:t>
        </w:r>
      </w:hyperlink>
      <w:r>
        <w:t>.  The</w:t>
      </w:r>
      <w:r w:rsidRPr="00E72538">
        <w:t xml:space="preserve"> avowed purpose </w:t>
      </w:r>
      <w:r>
        <w:t xml:space="preserve">of the Regulations </w:t>
      </w:r>
      <w:r w:rsidRPr="00E72538">
        <w:t xml:space="preserve">is “to prevent, protect against, control and provide a public health response to the international spread of disease in ways that are commensurate with and restricted to public health risks, and which </w:t>
      </w:r>
      <w:r w:rsidRPr="00AE00A0">
        <w:rPr>
          <w:u w:val="single"/>
        </w:rPr>
        <w:t>avoid unnecessary interference with international traffic and trade</w:t>
      </w:r>
      <w:r w:rsidRPr="00E72538">
        <w:t>”</w:t>
      </w:r>
      <w:r>
        <w:t xml:space="preserve"> (emphasis added)</w:t>
      </w:r>
      <w:r w:rsidRPr="00E72538">
        <w:t>.</w:t>
      </w:r>
    </w:p>
  </w:footnote>
  <w:footnote w:id="4">
    <w:p w14:paraId="256F85E1" w14:textId="77777777" w:rsidR="00854446" w:rsidRPr="00D6467D" w:rsidRDefault="00854446" w:rsidP="00DC515C">
      <w:pPr>
        <w:pStyle w:val="FootnoteText"/>
        <w:jc w:val="both"/>
      </w:pPr>
      <w:r>
        <w:rPr>
          <w:rStyle w:val="FootnoteReference"/>
        </w:rPr>
        <w:footnoteRef/>
      </w:r>
      <w:r>
        <w:t xml:space="preserve"> G</w:t>
      </w:r>
      <w:r w:rsidRPr="00D6467D">
        <w:t>overnments spend around 30% of total general government spending on public procurement, and over 40% in some European countries (Belgium, Germany, Italy and the Slovak Republic) and in Japan (OECD, Government at a Glance 2019, available at: https://doi.org/10.1787/8ccf5c38-en. Health is the second largest spending area (over 9% of GDP).  These figures can be expected to be significantly higher during a crisis, in which governments are forced to significantly increase health spending, while general economic activity may decline in most sectors.</w:t>
      </w:r>
    </w:p>
  </w:footnote>
  <w:footnote w:id="5">
    <w:p w14:paraId="426FC581" w14:textId="77777777" w:rsidR="00854446" w:rsidRPr="00D6467D" w:rsidRDefault="00854446" w:rsidP="00DC515C">
      <w:pPr>
        <w:pStyle w:val="FootnoteText"/>
        <w:jc w:val="both"/>
      </w:pPr>
      <w:r w:rsidRPr="00D6467D">
        <w:rPr>
          <w:rStyle w:val="FootnoteReference"/>
        </w:rPr>
        <w:footnoteRef/>
      </w:r>
      <w:r w:rsidRPr="00D6467D">
        <w:t xml:space="preserve"> See e.g. </w:t>
      </w:r>
      <w:hyperlink r:id="rId3" w:history="1">
        <w:r w:rsidRPr="00D6467D">
          <w:rPr>
            <w:rStyle w:val="Hyperlink"/>
          </w:rPr>
          <w:t>https://www.wto.org/english/news_e/news20_e/gpro_26feb20_e.htm</w:t>
        </w:r>
      </w:hyperlink>
      <w:r w:rsidRPr="00D6467D">
        <w:t>.</w:t>
      </w:r>
    </w:p>
  </w:footnote>
  <w:footnote w:id="6">
    <w:p w14:paraId="54F8CB9D" w14:textId="0899EC19" w:rsidR="00854446" w:rsidRPr="00D6467D" w:rsidRDefault="00854446" w:rsidP="00DC515C">
      <w:pPr>
        <w:pStyle w:val="FootnoteText"/>
        <w:jc w:val="both"/>
      </w:pPr>
      <w:r w:rsidRPr="00D6467D">
        <w:rPr>
          <w:rStyle w:val="FootnoteReference"/>
        </w:rPr>
        <w:footnoteRef/>
      </w:r>
      <w:r w:rsidRPr="00D6467D">
        <w:t xml:space="preserve"> See, for a</w:t>
      </w:r>
      <w:r>
        <w:t xml:space="preserve">uthoritative </w:t>
      </w:r>
      <w:r w:rsidRPr="00D6467D">
        <w:t xml:space="preserve">discussion of the legal </w:t>
      </w:r>
      <w:r>
        <w:t xml:space="preserve">and historical </w:t>
      </w:r>
      <w:r w:rsidRPr="00D6467D">
        <w:t xml:space="preserve">foundations of the Agreement, Sue Arrowsmith, Government Procurement in the WTO (Kluwer Law International: Studies in Transnational Economic Law, 2003). Policy in addition to legal dimensions of the Agreement are examined in Sue Arrowsmith and Robert D. Anderson, eds., The WTO Regime on Government Procurement: Challenge and Reform (Cambridge University Press and </w:t>
      </w:r>
      <w:r>
        <w:t xml:space="preserve">the </w:t>
      </w:r>
      <w:r w:rsidRPr="00D6467D">
        <w:t>World Trade Organization, 2011).</w:t>
      </w:r>
      <w:r>
        <w:t xml:space="preserve"> </w:t>
      </w:r>
      <w:r w:rsidR="00DC515C">
        <w:t>A thoughtful analysis of the procedural provisions of the Agreement, including changes implemented in 2012, is provided in Sue Arrowsmith, “The Revised Agreement on Government Procurement: changes to the procedural rules and other transparency provisions,” in Arrowsmith and Anderson, eds., id.</w:t>
      </w:r>
    </w:p>
  </w:footnote>
  <w:footnote w:id="7">
    <w:p w14:paraId="67A8397F" w14:textId="77777777" w:rsidR="00854446" w:rsidRPr="00D6467D" w:rsidRDefault="00854446" w:rsidP="00DC515C">
      <w:pPr>
        <w:jc w:val="both"/>
        <w:rPr>
          <w:sz w:val="20"/>
          <w:szCs w:val="20"/>
        </w:rPr>
      </w:pPr>
      <w:r w:rsidRPr="00D6467D">
        <w:rPr>
          <w:rStyle w:val="FootnoteReference"/>
          <w:sz w:val="20"/>
          <w:szCs w:val="20"/>
        </w:rPr>
        <w:footnoteRef/>
      </w:r>
      <w:r w:rsidRPr="00D6467D">
        <w:rPr>
          <w:sz w:val="20"/>
          <w:szCs w:val="20"/>
        </w:rPr>
        <w:t xml:space="preserve"> For each Party, the Appendices to the Agreement include </w:t>
      </w:r>
      <w:r>
        <w:rPr>
          <w:sz w:val="20"/>
          <w:szCs w:val="20"/>
        </w:rPr>
        <w:t>schedules (“A</w:t>
      </w:r>
      <w:r w:rsidRPr="00D6467D">
        <w:rPr>
          <w:sz w:val="20"/>
          <w:szCs w:val="20"/>
        </w:rPr>
        <w:t>nnexes</w:t>
      </w:r>
      <w:r>
        <w:rPr>
          <w:sz w:val="20"/>
          <w:szCs w:val="20"/>
        </w:rPr>
        <w:t>”)</w:t>
      </w:r>
      <w:r w:rsidRPr="00D6467D">
        <w:rPr>
          <w:sz w:val="20"/>
          <w:szCs w:val="20"/>
        </w:rPr>
        <w:t xml:space="preserve"> defining the party’s commitments with respect to: </w:t>
      </w:r>
    </w:p>
    <w:p w14:paraId="3BB2B9D1" w14:textId="77777777" w:rsidR="00854446" w:rsidRPr="00D6467D" w:rsidRDefault="00854446" w:rsidP="00DC515C">
      <w:pPr>
        <w:ind w:left="1440" w:hanging="720"/>
        <w:jc w:val="both"/>
        <w:rPr>
          <w:sz w:val="20"/>
          <w:szCs w:val="20"/>
        </w:rPr>
      </w:pPr>
      <w:r w:rsidRPr="00D6467D">
        <w:rPr>
          <w:sz w:val="20"/>
          <w:szCs w:val="20"/>
        </w:rPr>
        <w:t>•</w:t>
      </w:r>
      <w:r w:rsidRPr="00D6467D">
        <w:rPr>
          <w:sz w:val="20"/>
          <w:szCs w:val="20"/>
        </w:rPr>
        <w:tab/>
        <w:t>the procuring entities whose procurement processes will be open to foreign bidders;</w:t>
      </w:r>
    </w:p>
    <w:p w14:paraId="528F6A5B" w14:textId="77777777" w:rsidR="00854446" w:rsidRPr="00D6467D" w:rsidRDefault="00854446" w:rsidP="00DC515C">
      <w:pPr>
        <w:ind w:firstLine="720"/>
        <w:jc w:val="both"/>
        <w:rPr>
          <w:sz w:val="20"/>
          <w:szCs w:val="20"/>
        </w:rPr>
      </w:pPr>
      <w:r w:rsidRPr="00D6467D">
        <w:rPr>
          <w:sz w:val="20"/>
          <w:szCs w:val="20"/>
        </w:rPr>
        <w:t>•</w:t>
      </w:r>
      <w:r w:rsidRPr="00D6467D">
        <w:rPr>
          <w:sz w:val="20"/>
          <w:szCs w:val="20"/>
        </w:rPr>
        <w:tab/>
        <w:t>the goods, services and construction services open to foreign competition;</w:t>
      </w:r>
    </w:p>
    <w:p w14:paraId="62F00052" w14:textId="77777777" w:rsidR="00854446" w:rsidRPr="00D6467D" w:rsidRDefault="00854446" w:rsidP="00DC515C">
      <w:pPr>
        <w:ind w:left="1440" w:hanging="720"/>
        <w:jc w:val="both"/>
        <w:rPr>
          <w:sz w:val="20"/>
          <w:szCs w:val="20"/>
        </w:rPr>
      </w:pPr>
      <w:r w:rsidRPr="00D6467D">
        <w:rPr>
          <w:sz w:val="20"/>
          <w:szCs w:val="20"/>
        </w:rPr>
        <w:t>•</w:t>
      </w:r>
      <w:r w:rsidRPr="00D6467D">
        <w:rPr>
          <w:sz w:val="20"/>
          <w:szCs w:val="20"/>
        </w:rPr>
        <w:tab/>
        <w:t>the threshold values above which procurement activities will be open to foreign competition; and</w:t>
      </w:r>
    </w:p>
    <w:p w14:paraId="2C492CC5" w14:textId="77777777" w:rsidR="00854446" w:rsidRPr="00D6467D" w:rsidRDefault="00854446" w:rsidP="00DC515C">
      <w:pPr>
        <w:ind w:left="1440" w:hanging="720"/>
        <w:jc w:val="both"/>
        <w:rPr>
          <w:sz w:val="20"/>
          <w:szCs w:val="20"/>
        </w:rPr>
      </w:pPr>
      <w:r w:rsidRPr="00D6467D">
        <w:rPr>
          <w:sz w:val="20"/>
          <w:szCs w:val="20"/>
        </w:rPr>
        <w:t>•</w:t>
      </w:r>
      <w:r w:rsidRPr="00D6467D">
        <w:rPr>
          <w:sz w:val="20"/>
          <w:szCs w:val="20"/>
        </w:rPr>
        <w:tab/>
        <w:t>exceptions to coverage.</w:t>
      </w:r>
    </w:p>
  </w:footnote>
  <w:footnote w:id="8">
    <w:p w14:paraId="783738CE" w14:textId="2B2DBA9C" w:rsidR="00854446" w:rsidRPr="00844D4B" w:rsidRDefault="00854446" w:rsidP="00DC515C">
      <w:pPr>
        <w:pStyle w:val="FootnoteText"/>
        <w:jc w:val="both"/>
      </w:pPr>
      <w:r>
        <w:rPr>
          <w:rStyle w:val="FootnoteReference"/>
        </w:rPr>
        <w:footnoteRef/>
      </w:r>
      <w:r>
        <w:t xml:space="preserve"> </w:t>
      </w:r>
      <w:r w:rsidR="007E2BF0">
        <w:t>S</w:t>
      </w:r>
      <w:r>
        <w:t xml:space="preserve">ee </w:t>
      </w:r>
      <w:r w:rsidRPr="00844D4B">
        <w:t>Robert D. Anderson, "The Conclusion of the Renegotiation of the WTO Agreement on Government Procurement: What it Means for the Agreement and for the World Economy" (2012) 21 P.P.L.R. 83–94. See also Robert D. Anderson, Steven Schooner and Collin Swan, "Feature Comment: The WTO’s Revised Government Procurement Agreement: An Important Milestone Toward Greater Market Access and Transparency in Global Public Procurement Markets" (2012) 54(1) The Government Contractor 1–6</w:t>
      </w:r>
      <w:r w:rsidR="00D71E10">
        <w:t>, and</w:t>
      </w:r>
      <w:r w:rsidR="007E2BF0">
        <w:t xml:space="preserve"> related discussion, below.</w:t>
      </w:r>
    </w:p>
  </w:footnote>
  <w:footnote w:id="9">
    <w:p w14:paraId="0E475963" w14:textId="77777777" w:rsidR="00854446" w:rsidRDefault="00854446" w:rsidP="00DC515C">
      <w:pPr>
        <w:pStyle w:val="FootnoteText"/>
        <w:jc w:val="both"/>
      </w:pPr>
      <w:r>
        <w:rPr>
          <w:rStyle w:val="FootnoteReference"/>
        </w:rPr>
        <w:footnoteRef/>
      </w:r>
      <w:r>
        <w:t xml:space="preserve"> See, for additional background, commentary and a survey of recent developments, Robert D. Anderson and Anna Caroline Müller, </w:t>
      </w:r>
      <w:r w:rsidRPr="0073313F">
        <w:t>"The revised WTO Agreement on Government Procurement (GPA): key design features and significance for global trade and development," Georgetown Journal of International Law, Issue 48.4</w:t>
      </w:r>
      <w:r>
        <w:t>, 2017</w:t>
      </w:r>
      <w:r w:rsidRPr="0073313F">
        <w:t xml:space="preserve"> (Preliminary text available here: https://www.wto.org/english/res_e/reser_e/ersd201704_e.pdf )</w:t>
      </w:r>
      <w:r>
        <w:t xml:space="preserve">, and </w:t>
      </w:r>
      <w:r w:rsidRPr="00D6467D">
        <w:t xml:space="preserve">Robert D. Anderson and </w:t>
      </w:r>
      <w:proofErr w:type="spellStart"/>
      <w:r w:rsidRPr="00D6467D">
        <w:t>Nadezdha</w:t>
      </w:r>
      <w:proofErr w:type="spellEnd"/>
      <w:r w:rsidRPr="00D6467D">
        <w:t xml:space="preserve"> </w:t>
      </w:r>
      <w:proofErr w:type="spellStart"/>
      <w:r w:rsidRPr="00D6467D">
        <w:t>Sporysheva</w:t>
      </w:r>
      <w:proofErr w:type="spellEnd"/>
      <w:r w:rsidRPr="00D6467D">
        <w:t>, “The Revised WTO Agreement on Government Procurement: Evolving Global Footprint, Economic Impact and Policy Significance,” (2019) 28 P.P.L.R., Issue 3</w:t>
      </w:r>
      <w:r>
        <w:t xml:space="preserve">. </w:t>
      </w:r>
    </w:p>
  </w:footnote>
  <w:footnote w:id="10">
    <w:p w14:paraId="5E02E527" w14:textId="6E486B25" w:rsidR="00854446" w:rsidRDefault="00854446" w:rsidP="00DC515C">
      <w:pPr>
        <w:pStyle w:val="FootnoteText"/>
        <w:jc w:val="both"/>
      </w:pPr>
      <w:r>
        <w:rPr>
          <w:rStyle w:val="FootnoteReference"/>
        </w:rPr>
        <w:footnoteRef/>
      </w:r>
      <w:r>
        <w:t xml:space="preserve"> See, for definitive </w:t>
      </w:r>
      <w:r w:rsidR="00207180">
        <w:t>discussion,</w:t>
      </w:r>
      <w:r>
        <w:t xml:space="preserve"> Arrowsmith, </w:t>
      </w:r>
      <w:r w:rsidR="00207180">
        <w:t>above note 6</w:t>
      </w:r>
      <w:r>
        <w:t>.</w:t>
      </w:r>
    </w:p>
  </w:footnote>
  <w:footnote w:id="11">
    <w:p w14:paraId="668BCC97" w14:textId="37DC0559" w:rsidR="00854446" w:rsidRDefault="00854446" w:rsidP="00DC515C">
      <w:pPr>
        <w:pStyle w:val="FootnoteText"/>
        <w:jc w:val="both"/>
      </w:pPr>
      <w:r>
        <w:rPr>
          <w:rStyle w:val="FootnoteReference"/>
        </w:rPr>
        <w:footnoteRef/>
      </w:r>
      <w:r>
        <w:t xml:space="preserve"> </w:t>
      </w:r>
      <w:r w:rsidR="004E4161">
        <w:t xml:space="preserve">Anderson, above note 8; </w:t>
      </w:r>
      <w:r>
        <w:t xml:space="preserve">Anderson and Müller, </w:t>
      </w:r>
      <w:r w:rsidR="004E4161">
        <w:t xml:space="preserve">above note </w:t>
      </w:r>
      <w:r w:rsidR="00BE3D75">
        <w:t>9</w:t>
      </w:r>
      <w:r w:rsidRPr="0073313F">
        <w:t>.</w:t>
      </w:r>
    </w:p>
  </w:footnote>
  <w:footnote w:id="12">
    <w:p w14:paraId="7C7F835B" w14:textId="3CACB1AF" w:rsidR="00854446" w:rsidRDefault="00854446" w:rsidP="00DC515C">
      <w:pPr>
        <w:pStyle w:val="FootnoteText"/>
        <w:jc w:val="both"/>
      </w:pPr>
      <w:r>
        <w:rPr>
          <w:rStyle w:val="FootnoteReference"/>
        </w:rPr>
        <w:footnoteRef/>
      </w:r>
      <w:r>
        <w:t xml:space="preserve"> Searches for “health”, “emergency” and “hospital” related entities have been carried out at: </w:t>
      </w:r>
      <w:hyperlink r:id="rId4" w:history="1">
        <w:r w:rsidRPr="00EA7542">
          <w:rPr>
            <w:rStyle w:val="Hyperlink"/>
          </w:rPr>
          <w:t>https://e-gpa.wto.org/en/Search</w:t>
        </w:r>
      </w:hyperlink>
      <w:r>
        <w:t xml:space="preserve">. Disclaimers set out at: </w:t>
      </w:r>
      <w:hyperlink r:id="rId5" w:history="1">
        <w:r w:rsidRPr="00EA7542">
          <w:rPr>
            <w:rStyle w:val="Hyperlink"/>
          </w:rPr>
          <w:t>https://e-gpa.wto.org/en/Help/Disclaimer</w:t>
        </w:r>
      </w:hyperlink>
      <w:r>
        <w:t xml:space="preserve"> apply.</w:t>
      </w:r>
    </w:p>
  </w:footnote>
  <w:footnote w:id="13">
    <w:p w14:paraId="5B4070CB" w14:textId="57D0A221" w:rsidR="00854446" w:rsidRPr="00544E9E" w:rsidRDefault="00854446" w:rsidP="00DC515C">
      <w:pPr>
        <w:pStyle w:val="FootnoteText"/>
        <w:jc w:val="both"/>
      </w:pPr>
      <w:r>
        <w:rPr>
          <w:rStyle w:val="FootnoteReference"/>
        </w:rPr>
        <w:footnoteRef/>
      </w:r>
      <w:r>
        <w:t xml:space="preserve"> Most Parties use so-called “positive lists” in order to indicate their services coverage. This means that a service is only covered if falling within the categories listed in the Parties’ Annex 5. As shown in Appendix Table 2, none of these Parties cover health-related services. Five Parties (Armenia, Australia, New Zealand, Ukraine and the United States) use so-called “negative lists”, meaning that a service is covered unless expressly excluded. As shown in Appendix Table 2, related exclusions are found in the Annex</w:t>
      </w:r>
      <w:r w:rsidR="00A35AD0">
        <w:t>es</w:t>
      </w:r>
      <w:r>
        <w:t xml:space="preserve"> of two Parties. </w:t>
      </w:r>
    </w:p>
  </w:footnote>
  <w:footnote w:id="14">
    <w:p w14:paraId="749D90D7" w14:textId="68019D27" w:rsidR="00854446" w:rsidRDefault="00854446" w:rsidP="00DC515C">
      <w:pPr>
        <w:pStyle w:val="FootnoteText"/>
        <w:jc w:val="both"/>
      </w:pPr>
      <w:r>
        <w:rPr>
          <w:rStyle w:val="FootnoteReference"/>
        </w:rPr>
        <w:footnoteRef/>
      </w:r>
      <w:r>
        <w:t xml:space="preserve"> A significant proportion of procurement at the central and sub-central government levels are excluded from the ambit of the Agreement, by virtue of the thresholds that are set out in Parties’ schedules. See, for pertinent details, </w:t>
      </w:r>
      <w:hyperlink r:id="rId6" w:history="1">
        <w:r w:rsidRPr="00122097">
          <w:rPr>
            <w:rStyle w:val="Hyperlink"/>
          </w:rPr>
          <w:t>https://e-gpa.wto.org/en/ThresholdNotification/FrontPage</w:t>
        </w:r>
      </w:hyperlink>
      <w:r>
        <w:t xml:space="preserve">.  </w:t>
      </w:r>
    </w:p>
  </w:footnote>
  <w:footnote w:id="15">
    <w:p w14:paraId="1F5BEC03" w14:textId="7F8B3A64" w:rsidR="00854446" w:rsidRDefault="00854446" w:rsidP="00DC515C">
      <w:pPr>
        <w:pStyle w:val="FootnoteText"/>
        <w:jc w:val="both"/>
      </w:pPr>
      <w:r>
        <w:rPr>
          <w:rStyle w:val="FootnoteReference"/>
        </w:rPr>
        <w:footnoteRef/>
      </w:r>
      <w:r>
        <w:t xml:space="preserve"> Not considered here, but potentially </w:t>
      </w:r>
      <w:r w:rsidR="0037752F">
        <w:t xml:space="preserve">also </w:t>
      </w:r>
      <w:r>
        <w:t>relevant, is the possibility that the current COVID-19 crisis could be deemed to satisfy the requirements of the “national security” exception in Article III:1 of the Agreement. Broadly, and subject to ongoing litigation, the national security exception is framed in more subjective terms than the General Exceptions in Article III:2 – i.e., it speaks of “measures considered necessary” rather than “measures necessary”.</w:t>
      </w:r>
    </w:p>
  </w:footnote>
  <w:footnote w:id="16">
    <w:p w14:paraId="59C1543F" w14:textId="77777777" w:rsidR="00854446" w:rsidRPr="005E59E1" w:rsidRDefault="00854446" w:rsidP="00DC515C">
      <w:pPr>
        <w:pStyle w:val="FootnoteText"/>
        <w:jc w:val="both"/>
      </w:pPr>
      <w:r>
        <w:rPr>
          <w:rStyle w:val="FootnoteReference"/>
        </w:rPr>
        <w:footnoteRef/>
      </w:r>
      <w:r>
        <w:t xml:space="preserve"> See Article XVI:1 and 4(a)(iii) of the GPA.</w:t>
      </w:r>
    </w:p>
  </w:footnote>
  <w:footnote w:id="17">
    <w:p w14:paraId="7495ABE2" w14:textId="77777777" w:rsidR="0046538F" w:rsidRDefault="0046538F" w:rsidP="00DC515C">
      <w:pPr>
        <w:pStyle w:val="FootnoteText"/>
        <w:jc w:val="both"/>
      </w:pPr>
      <w:r>
        <w:rPr>
          <w:rStyle w:val="FootnoteReference"/>
        </w:rPr>
        <w:footnoteRef/>
      </w:r>
      <w:r>
        <w:t xml:space="preserve"> The chapeau to Article III:2 ensures that the application of the General Exceptions in that Article are “</w:t>
      </w:r>
      <w:r w:rsidRPr="00E22C4B">
        <w:t>Subject to the requirement that such measures are not applied in a manner that would constitute a means of arbitrary or unjustifiable discrimination between Partie</w:t>
      </w:r>
      <w:r>
        <w:t>s”.</w:t>
      </w:r>
    </w:p>
  </w:footnote>
  <w:footnote w:id="18">
    <w:p w14:paraId="2CEFF6C9" w14:textId="77777777" w:rsidR="0046538F" w:rsidRPr="005162E3" w:rsidRDefault="0046538F" w:rsidP="00DC515C">
      <w:pPr>
        <w:pStyle w:val="FootnoteText"/>
        <w:jc w:val="both"/>
      </w:pPr>
      <w:r>
        <w:rPr>
          <w:rStyle w:val="FootnoteReference"/>
        </w:rPr>
        <w:footnoteRef/>
      </w:r>
      <w:r>
        <w:t xml:space="preserve"> </w:t>
      </w:r>
      <w:r w:rsidRPr="006C4E9F">
        <w:t>Appellate Body Report,</w:t>
      </w:r>
      <w:r>
        <w:t xml:space="preserve"> </w:t>
      </w:r>
      <w:r w:rsidRPr="00DF496A">
        <w:t>DS2: United States — Standards for Reformulated and Conventional Gasoline</w:t>
      </w:r>
      <w:r>
        <w:t xml:space="preserve"> (</w:t>
      </w:r>
      <w:r w:rsidRPr="006C4E9F">
        <w:t>US – Gasoline</w:t>
      </w:r>
      <w:r>
        <w:t>)</w:t>
      </w:r>
      <w:r w:rsidRPr="006C4E9F">
        <w:t xml:space="preserve">, </w:t>
      </w:r>
      <w:r>
        <w:t xml:space="preserve">dated 29 April 1996 (adopted on 20 May 1996), </w:t>
      </w:r>
      <w:r w:rsidRPr="006C4E9F">
        <w:t>p. 22</w:t>
      </w:r>
      <w:r>
        <w:t xml:space="preserve">, available at: </w:t>
      </w:r>
      <w:r w:rsidRPr="006C4E9F">
        <w:t xml:space="preserve"> </w:t>
      </w:r>
      <w:hyperlink r:id="rId7" w:history="1">
        <w:r w:rsidRPr="008D14C0">
          <w:rPr>
            <w:rStyle w:val="Hyperlink"/>
          </w:rPr>
          <w:t>https://www.wto.org/english/tratop_e/dispu_e/cases_e/ds2_e.htm</w:t>
        </w:r>
      </w:hyperlink>
      <w:r w:rsidRPr="006C4E9F">
        <w:t>.</w:t>
      </w:r>
    </w:p>
  </w:footnote>
  <w:footnote w:id="19">
    <w:p w14:paraId="0CDB5643" w14:textId="77777777" w:rsidR="0046538F" w:rsidRPr="00B4443D" w:rsidRDefault="0046538F" w:rsidP="00DC515C">
      <w:pPr>
        <w:pStyle w:val="FootnoteText"/>
        <w:jc w:val="both"/>
      </w:pPr>
      <w:r>
        <w:rPr>
          <w:rStyle w:val="FootnoteReference"/>
        </w:rPr>
        <w:footnoteRef/>
      </w:r>
      <w:r>
        <w:t xml:space="preserve"> </w:t>
      </w:r>
      <w:r w:rsidRPr="0083288F">
        <w:t xml:space="preserve">Appellate Body Report, </w:t>
      </w:r>
      <w:r w:rsidRPr="00465FD7">
        <w:t>DS461: Colombia — Measures Relating to the Importation of Textiles, Apparel and Footwear</w:t>
      </w:r>
      <w:r w:rsidRPr="0083288F">
        <w:t xml:space="preserve"> </w:t>
      </w:r>
      <w:r>
        <w:t>(</w:t>
      </w:r>
      <w:r w:rsidRPr="0083288F">
        <w:t>Colombia – Textiles</w:t>
      </w:r>
      <w:r>
        <w:t>)</w:t>
      </w:r>
      <w:r w:rsidRPr="0083288F">
        <w:t xml:space="preserve">, </w:t>
      </w:r>
      <w:r>
        <w:t xml:space="preserve">, dated 7 June 2016 (adopted on 22 June 2016), </w:t>
      </w:r>
      <w:r w:rsidRPr="0083288F">
        <w:t>paras. 5.71-5.74</w:t>
      </w:r>
      <w:r>
        <w:t>,</w:t>
      </w:r>
      <w:r w:rsidRPr="00D854FE">
        <w:t xml:space="preserve"> </w:t>
      </w:r>
      <w:r>
        <w:t xml:space="preserve">available at: </w:t>
      </w:r>
      <w:r w:rsidRPr="00D854FE">
        <w:t>https://www.wto.org/english/tratop_e/dispu_e/cases_e/ds461_e.htm</w:t>
      </w:r>
      <w:r w:rsidRPr="0083288F">
        <w:t>.</w:t>
      </w:r>
    </w:p>
  </w:footnote>
  <w:footnote w:id="20">
    <w:p w14:paraId="558908A1" w14:textId="77777777" w:rsidR="0046538F" w:rsidRPr="0083288F" w:rsidRDefault="0046538F" w:rsidP="00DC515C">
      <w:pPr>
        <w:pStyle w:val="FootnoteText"/>
        <w:jc w:val="both"/>
      </w:pPr>
      <w:r>
        <w:rPr>
          <w:rStyle w:val="FootnoteReference"/>
        </w:rPr>
        <w:footnoteRef/>
      </w:r>
      <w:r>
        <w:t xml:space="preserve"> Ibid. </w:t>
      </w:r>
    </w:p>
  </w:footnote>
  <w:footnote w:id="21">
    <w:p w14:paraId="051CDC7D" w14:textId="00E80D58" w:rsidR="0046538F" w:rsidRPr="00AB6E8F" w:rsidRDefault="0046538F" w:rsidP="00DC515C">
      <w:pPr>
        <w:pStyle w:val="FootnoteText"/>
        <w:jc w:val="both"/>
      </w:pPr>
      <w:r>
        <w:rPr>
          <w:rStyle w:val="FootnoteReference"/>
        </w:rPr>
        <w:footnoteRef/>
      </w:r>
      <w:r>
        <w:t xml:space="preserve"> See e.g.</w:t>
      </w:r>
      <w:r w:rsidR="005459DB">
        <w:t>, “</w:t>
      </w:r>
      <w:r w:rsidR="00063D0A" w:rsidRPr="00063D0A">
        <w:t>The World Changed Its Approach to Health After the 1918 Flu. Will It After The COVID-19 Outbreak?</w:t>
      </w:r>
      <w:r w:rsidR="00063D0A">
        <w:t>” available here:</w:t>
      </w:r>
      <w:r>
        <w:t xml:space="preserve"> </w:t>
      </w:r>
      <w:hyperlink r:id="rId8" w:history="1">
        <w:r w:rsidRPr="008D14C0">
          <w:rPr>
            <w:rStyle w:val="Hyperlink"/>
          </w:rPr>
          <w:t>https://time.com/5797629/health-1918-flu-epidemic/</w:t>
        </w:r>
      </w:hyperlink>
      <w:r>
        <w:t xml:space="preserve"> and </w:t>
      </w:r>
      <w:r w:rsidR="00063D0A">
        <w:t>“</w:t>
      </w:r>
      <w:r w:rsidR="00063D0A" w:rsidRPr="00063D0A">
        <w:t>Coronavirus and the lessons we can learn from the 1918-1920 Great Influenza Pandemic</w:t>
      </w:r>
      <w:r w:rsidR="00063D0A">
        <w:t xml:space="preserve">,” available here: </w:t>
      </w:r>
      <w:hyperlink r:id="rId9" w:history="1">
        <w:r w:rsidR="00063D0A" w:rsidRPr="006A6FB6">
          <w:rPr>
            <w:rStyle w:val="Hyperlink"/>
          </w:rPr>
          <w:t>https://www.weforum.org/agenda/2020/03/coronavirus-great-influenza-pandemic-covid19-prepared-outbreak/</w:t>
        </w:r>
      </w:hyperlink>
      <w:r>
        <w:t xml:space="preserve">. </w:t>
      </w:r>
    </w:p>
  </w:footnote>
  <w:footnote w:id="22">
    <w:p w14:paraId="3F434C46" w14:textId="77777777" w:rsidR="0046538F" w:rsidRDefault="0046538F" w:rsidP="00DC515C">
      <w:pPr>
        <w:pStyle w:val="FootnoteText"/>
        <w:jc w:val="both"/>
      </w:pPr>
      <w:r>
        <w:rPr>
          <w:rStyle w:val="FootnoteReference"/>
        </w:rPr>
        <w:footnoteRef/>
      </w:r>
      <w:r>
        <w:t xml:space="preserve"> The conditions noted in the chapeau to Article III:2 (see note 9, above) </w:t>
      </w:r>
      <w:r>
        <w:rPr>
          <w:rFonts w:cstheme="minorHAnsi"/>
          <w:lang w:val="en-GB"/>
        </w:rPr>
        <w:t>seem unlikely to pose difficulties for emergency procurement, as procuring entities seem unlikely to put in place unnecessary discriminatory measures excluding suppliers from particular Parties, as these would be detrimental to their own needs. Still, it is important to note that the GPA, like other WTO Agreements, upholds general values of non-discrimination and good faith even in times of emergency, thus strengthening the fabric of international cooperation and collaboration.</w:t>
      </w:r>
    </w:p>
  </w:footnote>
  <w:footnote w:id="23">
    <w:p w14:paraId="17ACB79C" w14:textId="464CFC8B" w:rsidR="00854446" w:rsidRPr="004877B2" w:rsidRDefault="00854446" w:rsidP="00DC515C">
      <w:pPr>
        <w:pStyle w:val="FootnoteText"/>
        <w:jc w:val="both"/>
      </w:pPr>
      <w:r>
        <w:rPr>
          <w:rStyle w:val="FootnoteReference"/>
        </w:rPr>
        <w:footnoteRef/>
      </w:r>
      <w:r>
        <w:t xml:space="preserve"> See </w:t>
      </w:r>
      <w:hyperlink r:id="rId10" w:history="1">
        <w:r w:rsidRPr="00794CF9">
          <w:rPr>
            <w:rStyle w:val="Hyperlink"/>
          </w:rPr>
          <w:t>https://www.open-contracting.org/2020/03/25/emergency-procurement-for-covid-19-buying-fast-open-and-smart/</w:t>
        </w:r>
      </w:hyperlink>
      <w:r w:rsidR="00DC515C">
        <w:t>.</w:t>
      </w:r>
    </w:p>
  </w:footnote>
  <w:footnote w:id="24">
    <w:p w14:paraId="2F9578C9" w14:textId="50BBD74E" w:rsidR="00BD04D6" w:rsidRPr="00BD04D6" w:rsidRDefault="00BD04D6" w:rsidP="00BD04D6">
      <w:pPr>
        <w:pStyle w:val="FootnoteText"/>
      </w:pPr>
      <w:r>
        <w:rPr>
          <w:rStyle w:val="FootnoteReference"/>
        </w:rPr>
        <w:footnoteRef/>
      </w:r>
      <w:r>
        <w:t xml:space="preserve"> including  Construction work for health buildings (5128); and Assembly and erection of prefabricated constructions (514).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474021"/>
      <w:docPartObj>
        <w:docPartGallery w:val="Page Numbers (Top of Page)"/>
        <w:docPartUnique/>
      </w:docPartObj>
    </w:sdtPr>
    <w:sdtEndPr>
      <w:rPr>
        <w:rStyle w:val="PageNumber"/>
      </w:rPr>
    </w:sdtEndPr>
    <w:sdtContent>
      <w:p w14:paraId="28F989F6" w14:textId="792F1CA2" w:rsidR="00854446" w:rsidRDefault="00854446" w:rsidP="007B67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C2377" w14:textId="77777777" w:rsidR="00854446" w:rsidRDefault="0085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1770756"/>
      <w:docPartObj>
        <w:docPartGallery w:val="Page Numbers (Top of Page)"/>
        <w:docPartUnique/>
      </w:docPartObj>
    </w:sdtPr>
    <w:sdtEndPr>
      <w:rPr>
        <w:rStyle w:val="PageNumber"/>
      </w:rPr>
    </w:sdtEndPr>
    <w:sdtContent>
      <w:p w14:paraId="1E7608CA" w14:textId="0B340A9B" w:rsidR="00854446" w:rsidRDefault="00854446" w:rsidP="007B67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A2B7E8" w14:textId="77777777" w:rsidR="00854446" w:rsidRDefault="0085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70E"/>
    <w:multiLevelType w:val="multilevel"/>
    <w:tmpl w:val="CA5E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955CF"/>
    <w:multiLevelType w:val="hybridMultilevel"/>
    <w:tmpl w:val="C852AF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295625"/>
    <w:multiLevelType w:val="hybridMultilevel"/>
    <w:tmpl w:val="2EE0925A"/>
    <w:lvl w:ilvl="0" w:tplc="1E9E0D2E">
      <w:start w:val="1"/>
      <w:numFmt w:val="decimal"/>
      <w:lvlText w:val="(%1)"/>
      <w:lvlJc w:val="left"/>
      <w:pPr>
        <w:ind w:left="1080" w:hanging="360"/>
      </w:pPr>
      <w:rPr>
        <w:rFonts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D575149"/>
    <w:multiLevelType w:val="hybridMultilevel"/>
    <w:tmpl w:val="5A48D438"/>
    <w:lvl w:ilvl="0" w:tplc="63BED8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6358C8"/>
    <w:multiLevelType w:val="multilevel"/>
    <w:tmpl w:val="560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3076F"/>
    <w:multiLevelType w:val="hybridMultilevel"/>
    <w:tmpl w:val="05165732"/>
    <w:lvl w:ilvl="0" w:tplc="CA50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D2390"/>
    <w:multiLevelType w:val="hybridMultilevel"/>
    <w:tmpl w:val="D8B2C0FC"/>
    <w:lvl w:ilvl="0" w:tplc="1E9E0D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F2C33"/>
    <w:multiLevelType w:val="hybridMultilevel"/>
    <w:tmpl w:val="DB6436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num w:numId="1">
    <w:abstractNumId w:val="3"/>
  </w:num>
  <w:num w:numId="2">
    <w:abstractNumId w:val="4"/>
  </w:num>
  <w:num w:numId="3">
    <w:abstractNumId w:val="0"/>
  </w:num>
  <w:num w:numId="4">
    <w:abstractNumId w:val="8"/>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E1"/>
    <w:rsid w:val="00004701"/>
    <w:rsid w:val="00010607"/>
    <w:rsid w:val="00011AC0"/>
    <w:rsid w:val="00013849"/>
    <w:rsid w:val="00014250"/>
    <w:rsid w:val="00014AC9"/>
    <w:rsid w:val="0002336C"/>
    <w:rsid w:val="0002374A"/>
    <w:rsid w:val="00026F74"/>
    <w:rsid w:val="00034523"/>
    <w:rsid w:val="00041E8E"/>
    <w:rsid w:val="0004441D"/>
    <w:rsid w:val="00047D43"/>
    <w:rsid w:val="000559CE"/>
    <w:rsid w:val="00061673"/>
    <w:rsid w:val="00063693"/>
    <w:rsid w:val="00063D0A"/>
    <w:rsid w:val="00067293"/>
    <w:rsid w:val="000674AE"/>
    <w:rsid w:val="00070C4B"/>
    <w:rsid w:val="000765AA"/>
    <w:rsid w:val="0007717D"/>
    <w:rsid w:val="00077277"/>
    <w:rsid w:val="00077316"/>
    <w:rsid w:val="0008611B"/>
    <w:rsid w:val="00087F4C"/>
    <w:rsid w:val="0009210A"/>
    <w:rsid w:val="0009350B"/>
    <w:rsid w:val="00095577"/>
    <w:rsid w:val="00096BC9"/>
    <w:rsid w:val="00096CF6"/>
    <w:rsid w:val="000A2AC0"/>
    <w:rsid w:val="000A6CA1"/>
    <w:rsid w:val="000B11C1"/>
    <w:rsid w:val="000B4441"/>
    <w:rsid w:val="000C21C6"/>
    <w:rsid w:val="000C6716"/>
    <w:rsid w:val="000C7709"/>
    <w:rsid w:val="000D2629"/>
    <w:rsid w:val="000D4E47"/>
    <w:rsid w:val="000D6A2D"/>
    <w:rsid w:val="000E3F73"/>
    <w:rsid w:val="000F6627"/>
    <w:rsid w:val="000F6EDF"/>
    <w:rsid w:val="00101917"/>
    <w:rsid w:val="00107EC6"/>
    <w:rsid w:val="001136C0"/>
    <w:rsid w:val="0011637F"/>
    <w:rsid w:val="00117616"/>
    <w:rsid w:val="00117AAC"/>
    <w:rsid w:val="001433C1"/>
    <w:rsid w:val="0014472C"/>
    <w:rsid w:val="00150825"/>
    <w:rsid w:val="0015267B"/>
    <w:rsid w:val="00156C2A"/>
    <w:rsid w:val="00157196"/>
    <w:rsid w:val="001700CC"/>
    <w:rsid w:val="001717D2"/>
    <w:rsid w:val="00172222"/>
    <w:rsid w:val="00175696"/>
    <w:rsid w:val="00184820"/>
    <w:rsid w:val="00186530"/>
    <w:rsid w:val="00186B57"/>
    <w:rsid w:val="00192889"/>
    <w:rsid w:val="00193D63"/>
    <w:rsid w:val="001A34DE"/>
    <w:rsid w:val="001A44E7"/>
    <w:rsid w:val="001A7A2C"/>
    <w:rsid w:val="001B4E4D"/>
    <w:rsid w:val="001B5FB6"/>
    <w:rsid w:val="001C1154"/>
    <w:rsid w:val="001C2847"/>
    <w:rsid w:val="001C45EA"/>
    <w:rsid w:val="001C5601"/>
    <w:rsid w:val="001C7384"/>
    <w:rsid w:val="001C7AFE"/>
    <w:rsid w:val="001D20F1"/>
    <w:rsid w:val="001D3E8F"/>
    <w:rsid w:val="001E0631"/>
    <w:rsid w:val="001E1610"/>
    <w:rsid w:val="001E7114"/>
    <w:rsid w:val="001F586D"/>
    <w:rsid w:val="001F5F05"/>
    <w:rsid w:val="001F6845"/>
    <w:rsid w:val="00207180"/>
    <w:rsid w:val="0022088E"/>
    <w:rsid w:val="0022553F"/>
    <w:rsid w:val="00225EB2"/>
    <w:rsid w:val="00226E18"/>
    <w:rsid w:val="00234C76"/>
    <w:rsid w:val="002423BB"/>
    <w:rsid w:val="002425C4"/>
    <w:rsid w:val="00244FA4"/>
    <w:rsid w:val="00254A48"/>
    <w:rsid w:val="00256B50"/>
    <w:rsid w:val="00256B7B"/>
    <w:rsid w:val="0025772A"/>
    <w:rsid w:val="002603A2"/>
    <w:rsid w:val="00262DFA"/>
    <w:rsid w:val="0026419C"/>
    <w:rsid w:val="00265338"/>
    <w:rsid w:val="0027017F"/>
    <w:rsid w:val="00275C8C"/>
    <w:rsid w:val="0028589D"/>
    <w:rsid w:val="00290D36"/>
    <w:rsid w:val="00292082"/>
    <w:rsid w:val="002938F8"/>
    <w:rsid w:val="00293901"/>
    <w:rsid w:val="00293B7E"/>
    <w:rsid w:val="002A32FE"/>
    <w:rsid w:val="002A513F"/>
    <w:rsid w:val="002A68EC"/>
    <w:rsid w:val="002B1C78"/>
    <w:rsid w:val="002B207C"/>
    <w:rsid w:val="002C2641"/>
    <w:rsid w:val="002C325F"/>
    <w:rsid w:val="002D340F"/>
    <w:rsid w:val="002E4B5B"/>
    <w:rsid w:val="002F094D"/>
    <w:rsid w:val="002F1EEE"/>
    <w:rsid w:val="002F3507"/>
    <w:rsid w:val="00303B42"/>
    <w:rsid w:val="00312609"/>
    <w:rsid w:val="00313044"/>
    <w:rsid w:val="00313395"/>
    <w:rsid w:val="0031740A"/>
    <w:rsid w:val="00320DBC"/>
    <w:rsid w:val="003228D7"/>
    <w:rsid w:val="00326B24"/>
    <w:rsid w:val="0032707E"/>
    <w:rsid w:val="00335F57"/>
    <w:rsid w:val="003526D2"/>
    <w:rsid w:val="00353101"/>
    <w:rsid w:val="003553F1"/>
    <w:rsid w:val="003569B9"/>
    <w:rsid w:val="00365C16"/>
    <w:rsid w:val="00375F47"/>
    <w:rsid w:val="0037752F"/>
    <w:rsid w:val="00384A3D"/>
    <w:rsid w:val="00385A78"/>
    <w:rsid w:val="003869E6"/>
    <w:rsid w:val="00386D52"/>
    <w:rsid w:val="003937B2"/>
    <w:rsid w:val="0039484C"/>
    <w:rsid w:val="003966B0"/>
    <w:rsid w:val="00396F39"/>
    <w:rsid w:val="003A38A4"/>
    <w:rsid w:val="003A47E7"/>
    <w:rsid w:val="003A7471"/>
    <w:rsid w:val="003B4B5B"/>
    <w:rsid w:val="003C3963"/>
    <w:rsid w:val="003C4013"/>
    <w:rsid w:val="003C53BB"/>
    <w:rsid w:val="003C60CC"/>
    <w:rsid w:val="003D4C87"/>
    <w:rsid w:val="003E04A4"/>
    <w:rsid w:val="003E12C7"/>
    <w:rsid w:val="003E1D10"/>
    <w:rsid w:val="003E5EA8"/>
    <w:rsid w:val="003E7713"/>
    <w:rsid w:val="003F2220"/>
    <w:rsid w:val="003F5A8E"/>
    <w:rsid w:val="003F5AF8"/>
    <w:rsid w:val="003F632B"/>
    <w:rsid w:val="003F70E3"/>
    <w:rsid w:val="004069B4"/>
    <w:rsid w:val="00411429"/>
    <w:rsid w:val="0041466B"/>
    <w:rsid w:val="00416C22"/>
    <w:rsid w:val="004233F2"/>
    <w:rsid w:val="00434FE2"/>
    <w:rsid w:val="00437E61"/>
    <w:rsid w:val="004403A4"/>
    <w:rsid w:val="00442EF2"/>
    <w:rsid w:val="00445D92"/>
    <w:rsid w:val="0044651B"/>
    <w:rsid w:val="00446B33"/>
    <w:rsid w:val="00446C56"/>
    <w:rsid w:val="00452C6C"/>
    <w:rsid w:val="00453FD9"/>
    <w:rsid w:val="004541D3"/>
    <w:rsid w:val="00454427"/>
    <w:rsid w:val="00457C22"/>
    <w:rsid w:val="0046538F"/>
    <w:rsid w:val="00465FD7"/>
    <w:rsid w:val="00473721"/>
    <w:rsid w:val="00484D08"/>
    <w:rsid w:val="00485C68"/>
    <w:rsid w:val="00486017"/>
    <w:rsid w:val="004877B2"/>
    <w:rsid w:val="0049283E"/>
    <w:rsid w:val="00493CCB"/>
    <w:rsid w:val="00494E96"/>
    <w:rsid w:val="004A7C21"/>
    <w:rsid w:val="004B1306"/>
    <w:rsid w:val="004C0F2C"/>
    <w:rsid w:val="004C5B0A"/>
    <w:rsid w:val="004C75E5"/>
    <w:rsid w:val="004D475A"/>
    <w:rsid w:val="004D6601"/>
    <w:rsid w:val="004E4161"/>
    <w:rsid w:val="004E5C6C"/>
    <w:rsid w:val="004E6DC2"/>
    <w:rsid w:val="004E6F05"/>
    <w:rsid w:val="004F231E"/>
    <w:rsid w:val="004F6705"/>
    <w:rsid w:val="005042D2"/>
    <w:rsid w:val="00512B3B"/>
    <w:rsid w:val="00513B47"/>
    <w:rsid w:val="005162E3"/>
    <w:rsid w:val="005207FE"/>
    <w:rsid w:val="00523CFD"/>
    <w:rsid w:val="00524A2F"/>
    <w:rsid w:val="00531708"/>
    <w:rsid w:val="00532407"/>
    <w:rsid w:val="00533500"/>
    <w:rsid w:val="0053570D"/>
    <w:rsid w:val="005428D4"/>
    <w:rsid w:val="0054388F"/>
    <w:rsid w:val="00544106"/>
    <w:rsid w:val="00544E9E"/>
    <w:rsid w:val="005459DB"/>
    <w:rsid w:val="00546537"/>
    <w:rsid w:val="00550FF5"/>
    <w:rsid w:val="00560A1F"/>
    <w:rsid w:val="00563D58"/>
    <w:rsid w:val="00566F6B"/>
    <w:rsid w:val="00570797"/>
    <w:rsid w:val="00572B97"/>
    <w:rsid w:val="00576EE1"/>
    <w:rsid w:val="00577F6A"/>
    <w:rsid w:val="00582C93"/>
    <w:rsid w:val="0059118E"/>
    <w:rsid w:val="005927D0"/>
    <w:rsid w:val="005A0914"/>
    <w:rsid w:val="005A4E42"/>
    <w:rsid w:val="005B2DF2"/>
    <w:rsid w:val="005B56F0"/>
    <w:rsid w:val="005B5A94"/>
    <w:rsid w:val="005C20A1"/>
    <w:rsid w:val="005C3437"/>
    <w:rsid w:val="005C5FCE"/>
    <w:rsid w:val="005C7495"/>
    <w:rsid w:val="005C79AD"/>
    <w:rsid w:val="005D4743"/>
    <w:rsid w:val="005D503E"/>
    <w:rsid w:val="005E1420"/>
    <w:rsid w:val="005E2B75"/>
    <w:rsid w:val="005E4CF3"/>
    <w:rsid w:val="005E59E1"/>
    <w:rsid w:val="005F4105"/>
    <w:rsid w:val="005F503F"/>
    <w:rsid w:val="005F5D48"/>
    <w:rsid w:val="00601D93"/>
    <w:rsid w:val="0060242D"/>
    <w:rsid w:val="00602BA8"/>
    <w:rsid w:val="00605665"/>
    <w:rsid w:val="0060625F"/>
    <w:rsid w:val="006121FE"/>
    <w:rsid w:val="00613FD9"/>
    <w:rsid w:val="0061459D"/>
    <w:rsid w:val="0061487F"/>
    <w:rsid w:val="0062293D"/>
    <w:rsid w:val="00623D81"/>
    <w:rsid w:val="0063352A"/>
    <w:rsid w:val="00633927"/>
    <w:rsid w:val="006343EC"/>
    <w:rsid w:val="006351FA"/>
    <w:rsid w:val="00643EFA"/>
    <w:rsid w:val="006513D0"/>
    <w:rsid w:val="0065245D"/>
    <w:rsid w:val="00662C20"/>
    <w:rsid w:val="00662C9C"/>
    <w:rsid w:val="00663724"/>
    <w:rsid w:val="00670C32"/>
    <w:rsid w:val="00674E16"/>
    <w:rsid w:val="006775E8"/>
    <w:rsid w:val="00677E0A"/>
    <w:rsid w:val="00680E05"/>
    <w:rsid w:val="006810E4"/>
    <w:rsid w:val="006831F2"/>
    <w:rsid w:val="00685CE4"/>
    <w:rsid w:val="00690C9F"/>
    <w:rsid w:val="00691283"/>
    <w:rsid w:val="006B0513"/>
    <w:rsid w:val="006B0B32"/>
    <w:rsid w:val="006C4E9F"/>
    <w:rsid w:val="006D1EB8"/>
    <w:rsid w:val="006D31FC"/>
    <w:rsid w:val="006D415F"/>
    <w:rsid w:val="006D7A2B"/>
    <w:rsid w:val="006E03A6"/>
    <w:rsid w:val="006F0C42"/>
    <w:rsid w:val="006F681D"/>
    <w:rsid w:val="007033F1"/>
    <w:rsid w:val="00710329"/>
    <w:rsid w:val="007165A1"/>
    <w:rsid w:val="00720CBE"/>
    <w:rsid w:val="0073313F"/>
    <w:rsid w:val="007378D3"/>
    <w:rsid w:val="00737F79"/>
    <w:rsid w:val="00740042"/>
    <w:rsid w:val="007455B3"/>
    <w:rsid w:val="00751C6F"/>
    <w:rsid w:val="00752346"/>
    <w:rsid w:val="0076169F"/>
    <w:rsid w:val="007635AC"/>
    <w:rsid w:val="00773BF6"/>
    <w:rsid w:val="00776004"/>
    <w:rsid w:val="007807C8"/>
    <w:rsid w:val="0078108E"/>
    <w:rsid w:val="00785268"/>
    <w:rsid w:val="007868C9"/>
    <w:rsid w:val="007911D2"/>
    <w:rsid w:val="0079481E"/>
    <w:rsid w:val="007A0836"/>
    <w:rsid w:val="007A0D52"/>
    <w:rsid w:val="007A61A7"/>
    <w:rsid w:val="007A768E"/>
    <w:rsid w:val="007B25FE"/>
    <w:rsid w:val="007B671D"/>
    <w:rsid w:val="007C0E10"/>
    <w:rsid w:val="007C55CB"/>
    <w:rsid w:val="007C7DFC"/>
    <w:rsid w:val="007D188D"/>
    <w:rsid w:val="007D29B7"/>
    <w:rsid w:val="007E04E5"/>
    <w:rsid w:val="007E2658"/>
    <w:rsid w:val="007E2BF0"/>
    <w:rsid w:val="007E4167"/>
    <w:rsid w:val="007E7E4B"/>
    <w:rsid w:val="00803837"/>
    <w:rsid w:val="008177FF"/>
    <w:rsid w:val="00825AF8"/>
    <w:rsid w:val="0083288F"/>
    <w:rsid w:val="00832989"/>
    <w:rsid w:val="00836B3E"/>
    <w:rsid w:val="00843C15"/>
    <w:rsid w:val="00844D4B"/>
    <w:rsid w:val="00845BC6"/>
    <w:rsid w:val="00851871"/>
    <w:rsid w:val="008526F9"/>
    <w:rsid w:val="00854446"/>
    <w:rsid w:val="00857A13"/>
    <w:rsid w:val="00862967"/>
    <w:rsid w:val="008678DC"/>
    <w:rsid w:val="00867966"/>
    <w:rsid w:val="00875B8D"/>
    <w:rsid w:val="00876603"/>
    <w:rsid w:val="00877C1D"/>
    <w:rsid w:val="00880931"/>
    <w:rsid w:val="00881D7E"/>
    <w:rsid w:val="00881E48"/>
    <w:rsid w:val="00883ABF"/>
    <w:rsid w:val="00885443"/>
    <w:rsid w:val="008904E2"/>
    <w:rsid w:val="00894EE8"/>
    <w:rsid w:val="0089674B"/>
    <w:rsid w:val="0089716A"/>
    <w:rsid w:val="008A42CA"/>
    <w:rsid w:val="008B049F"/>
    <w:rsid w:val="008B1EFB"/>
    <w:rsid w:val="008B2EA9"/>
    <w:rsid w:val="008C1A02"/>
    <w:rsid w:val="008F138A"/>
    <w:rsid w:val="008F27E7"/>
    <w:rsid w:val="008F666E"/>
    <w:rsid w:val="009025E0"/>
    <w:rsid w:val="00903B92"/>
    <w:rsid w:val="009060BD"/>
    <w:rsid w:val="00906688"/>
    <w:rsid w:val="00916257"/>
    <w:rsid w:val="009162DB"/>
    <w:rsid w:val="0091635B"/>
    <w:rsid w:val="00916730"/>
    <w:rsid w:val="00920C56"/>
    <w:rsid w:val="009267CF"/>
    <w:rsid w:val="009371B1"/>
    <w:rsid w:val="00937EA0"/>
    <w:rsid w:val="00943157"/>
    <w:rsid w:val="00946B72"/>
    <w:rsid w:val="00947904"/>
    <w:rsid w:val="00955EBC"/>
    <w:rsid w:val="0096277A"/>
    <w:rsid w:val="009627AA"/>
    <w:rsid w:val="00963FC5"/>
    <w:rsid w:val="00974665"/>
    <w:rsid w:val="00980FAF"/>
    <w:rsid w:val="009821F4"/>
    <w:rsid w:val="00990587"/>
    <w:rsid w:val="0099458C"/>
    <w:rsid w:val="00995157"/>
    <w:rsid w:val="009A14E8"/>
    <w:rsid w:val="009A35EA"/>
    <w:rsid w:val="009B1BCA"/>
    <w:rsid w:val="009B3466"/>
    <w:rsid w:val="009B508F"/>
    <w:rsid w:val="009B7DB1"/>
    <w:rsid w:val="009C40A2"/>
    <w:rsid w:val="009D6330"/>
    <w:rsid w:val="009E2BFB"/>
    <w:rsid w:val="009E3830"/>
    <w:rsid w:val="009E4A99"/>
    <w:rsid w:val="009F3C4C"/>
    <w:rsid w:val="00A006A2"/>
    <w:rsid w:val="00A0085A"/>
    <w:rsid w:val="00A026E3"/>
    <w:rsid w:val="00A05241"/>
    <w:rsid w:val="00A0659A"/>
    <w:rsid w:val="00A11EE5"/>
    <w:rsid w:val="00A11F73"/>
    <w:rsid w:val="00A15A2D"/>
    <w:rsid w:val="00A210A2"/>
    <w:rsid w:val="00A270B5"/>
    <w:rsid w:val="00A35AD0"/>
    <w:rsid w:val="00A4291F"/>
    <w:rsid w:val="00A45E30"/>
    <w:rsid w:val="00A518A8"/>
    <w:rsid w:val="00A546E3"/>
    <w:rsid w:val="00A55091"/>
    <w:rsid w:val="00A55B2F"/>
    <w:rsid w:val="00A62600"/>
    <w:rsid w:val="00A756E1"/>
    <w:rsid w:val="00A80902"/>
    <w:rsid w:val="00A920DC"/>
    <w:rsid w:val="00A92D40"/>
    <w:rsid w:val="00A96550"/>
    <w:rsid w:val="00A97479"/>
    <w:rsid w:val="00AA2297"/>
    <w:rsid w:val="00AA2941"/>
    <w:rsid w:val="00AA3D5B"/>
    <w:rsid w:val="00AA6C37"/>
    <w:rsid w:val="00AB2027"/>
    <w:rsid w:val="00AB4305"/>
    <w:rsid w:val="00AC5267"/>
    <w:rsid w:val="00AC6CE9"/>
    <w:rsid w:val="00AC7493"/>
    <w:rsid w:val="00AD2298"/>
    <w:rsid w:val="00AD5CCE"/>
    <w:rsid w:val="00AD617F"/>
    <w:rsid w:val="00AE00A0"/>
    <w:rsid w:val="00AF4B45"/>
    <w:rsid w:val="00B10139"/>
    <w:rsid w:val="00B11FB5"/>
    <w:rsid w:val="00B177BC"/>
    <w:rsid w:val="00B22A6C"/>
    <w:rsid w:val="00B23BA2"/>
    <w:rsid w:val="00B2472E"/>
    <w:rsid w:val="00B2543F"/>
    <w:rsid w:val="00B26833"/>
    <w:rsid w:val="00B26DC9"/>
    <w:rsid w:val="00B315DF"/>
    <w:rsid w:val="00B31821"/>
    <w:rsid w:val="00B37522"/>
    <w:rsid w:val="00B37F22"/>
    <w:rsid w:val="00B40021"/>
    <w:rsid w:val="00B41F7E"/>
    <w:rsid w:val="00B43BA4"/>
    <w:rsid w:val="00B4443D"/>
    <w:rsid w:val="00B446C0"/>
    <w:rsid w:val="00B4786A"/>
    <w:rsid w:val="00B52801"/>
    <w:rsid w:val="00B60EC2"/>
    <w:rsid w:val="00B646B1"/>
    <w:rsid w:val="00B706E3"/>
    <w:rsid w:val="00B71E96"/>
    <w:rsid w:val="00B72A8E"/>
    <w:rsid w:val="00B739B1"/>
    <w:rsid w:val="00B73E4F"/>
    <w:rsid w:val="00B81110"/>
    <w:rsid w:val="00B81D2D"/>
    <w:rsid w:val="00B84F8B"/>
    <w:rsid w:val="00B87D85"/>
    <w:rsid w:val="00B9332D"/>
    <w:rsid w:val="00B975A7"/>
    <w:rsid w:val="00BA52AA"/>
    <w:rsid w:val="00BA727C"/>
    <w:rsid w:val="00BA7538"/>
    <w:rsid w:val="00BA7F43"/>
    <w:rsid w:val="00BB685B"/>
    <w:rsid w:val="00BC5A79"/>
    <w:rsid w:val="00BD04D6"/>
    <w:rsid w:val="00BD4055"/>
    <w:rsid w:val="00BD604A"/>
    <w:rsid w:val="00BE3D75"/>
    <w:rsid w:val="00BE4FE2"/>
    <w:rsid w:val="00BE6644"/>
    <w:rsid w:val="00BF0027"/>
    <w:rsid w:val="00BF4EEE"/>
    <w:rsid w:val="00BF6581"/>
    <w:rsid w:val="00BF6D05"/>
    <w:rsid w:val="00C0238A"/>
    <w:rsid w:val="00C1130E"/>
    <w:rsid w:val="00C12F44"/>
    <w:rsid w:val="00C16336"/>
    <w:rsid w:val="00C1668F"/>
    <w:rsid w:val="00C1754B"/>
    <w:rsid w:val="00C21EE5"/>
    <w:rsid w:val="00C27895"/>
    <w:rsid w:val="00C32314"/>
    <w:rsid w:val="00C4170F"/>
    <w:rsid w:val="00C42808"/>
    <w:rsid w:val="00C45275"/>
    <w:rsid w:val="00C4634F"/>
    <w:rsid w:val="00C46C90"/>
    <w:rsid w:val="00C50FFD"/>
    <w:rsid w:val="00C52B10"/>
    <w:rsid w:val="00C53136"/>
    <w:rsid w:val="00C538E2"/>
    <w:rsid w:val="00C60E84"/>
    <w:rsid w:val="00C629AF"/>
    <w:rsid w:val="00C745D2"/>
    <w:rsid w:val="00C74B56"/>
    <w:rsid w:val="00C74CAA"/>
    <w:rsid w:val="00C80B28"/>
    <w:rsid w:val="00C8200E"/>
    <w:rsid w:val="00C83266"/>
    <w:rsid w:val="00C861F3"/>
    <w:rsid w:val="00C86C8F"/>
    <w:rsid w:val="00C922AA"/>
    <w:rsid w:val="00C94955"/>
    <w:rsid w:val="00C96315"/>
    <w:rsid w:val="00C97EB9"/>
    <w:rsid w:val="00CA00FF"/>
    <w:rsid w:val="00CA2101"/>
    <w:rsid w:val="00CA3F63"/>
    <w:rsid w:val="00CA656D"/>
    <w:rsid w:val="00CB1AF5"/>
    <w:rsid w:val="00CB2F51"/>
    <w:rsid w:val="00CC1CE6"/>
    <w:rsid w:val="00CC79D9"/>
    <w:rsid w:val="00CD6884"/>
    <w:rsid w:val="00CE0601"/>
    <w:rsid w:val="00CE2C65"/>
    <w:rsid w:val="00CF0D66"/>
    <w:rsid w:val="00D115D9"/>
    <w:rsid w:val="00D11D0F"/>
    <w:rsid w:val="00D1340D"/>
    <w:rsid w:val="00D13ED7"/>
    <w:rsid w:val="00D13F7A"/>
    <w:rsid w:val="00D23181"/>
    <w:rsid w:val="00D248BA"/>
    <w:rsid w:val="00D31C30"/>
    <w:rsid w:val="00D402D6"/>
    <w:rsid w:val="00D46499"/>
    <w:rsid w:val="00D61ABA"/>
    <w:rsid w:val="00D710B8"/>
    <w:rsid w:val="00D718EA"/>
    <w:rsid w:val="00D71E10"/>
    <w:rsid w:val="00D71F86"/>
    <w:rsid w:val="00D72241"/>
    <w:rsid w:val="00D73B6A"/>
    <w:rsid w:val="00D75F0B"/>
    <w:rsid w:val="00D854FE"/>
    <w:rsid w:val="00D86975"/>
    <w:rsid w:val="00D91759"/>
    <w:rsid w:val="00D95201"/>
    <w:rsid w:val="00D973D0"/>
    <w:rsid w:val="00D97EB5"/>
    <w:rsid w:val="00DA1E14"/>
    <w:rsid w:val="00DA50E4"/>
    <w:rsid w:val="00DB417D"/>
    <w:rsid w:val="00DB4ABD"/>
    <w:rsid w:val="00DB59B9"/>
    <w:rsid w:val="00DB5ADC"/>
    <w:rsid w:val="00DC18B0"/>
    <w:rsid w:val="00DC393B"/>
    <w:rsid w:val="00DC515C"/>
    <w:rsid w:val="00DD3E3E"/>
    <w:rsid w:val="00DD4186"/>
    <w:rsid w:val="00DE2C8A"/>
    <w:rsid w:val="00DE6B16"/>
    <w:rsid w:val="00DF496A"/>
    <w:rsid w:val="00DF7B82"/>
    <w:rsid w:val="00E0540C"/>
    <w:rsid w:val="00E10691"/>
    <w:rsid w:val="00E13DCB"/>
    <w:rsid w:val="00E16F84"/>
    <w:rsid w:val="00E22C4B"/>
    <w:rsid w:val="00E22E57"/>
    <w:rsid w:val="00E2488B"/>
    <w:rsid w:val="00E251ED"/>
    <w:rsid w:val="00E26499"/>
    <w:rsid w:val="00E35837"/>
    <w:rsid w:val="00E36BAA"/>
    <w:rsid w:val="00E36FAD"/>
    <w:rsid w:val="00E405E4"/>
    <w:rsid w:val="00E425BE"/>
    <w:rsid w:val="00E72538"/>
    <w:rsid w:val="00E7341A"/>
    <w:rsid w:val="00E748FF"/>
    <w:rsid w:val="00E821FF"/>
    <w:rsid w:val="00E83F23"/>
    <w:rsid w:val="00E9484B"/>
    <w:rsid w:val="00EA32A8"/>
    <w:rsid w:val="00EA3453"/>
    <w:rsid w:val="00EC20BD"/>
    <w:rsid w:val="00EC2156"/>
    <w:rsid w:val="00EC4DE6"/>
    <w:rsid w:val="00EC6775"/>
    <w:rsid w:val="00ED342E"/>
    <w:rsid w:val="00ED4EF3"/>
    <w:rsid w:val="00EE5E37"/>
    <w:rsid w:val="00EF02C7"/>
    <w:rsid w:val="00EF14D8"/>
    <w:rsid w:val="00EF3404"/>
    <w:rsid w:val="00F07D10"/>
    <w:rsid w:val="00F149E5"/>
    <w:rsid w:val="00F14C64"/>
    <w:rsid w:val="00F16B44"/>
    <w:rsid w:val="00F232F7"/>
    <w:rsid w:val="00F273B8"/>
    <w:rsid w:val="00F27597"/>
    <w:rsid w:val="00F31EA1"/>
    <w:rsid w:val="00F32068"/>
    <w:rsid w:val="00F3274D"/>
    <w:rsid w:val="00F33E3E"/>
    <w:rsid w:val="00F37341"/>
    <w:rsid w:val="00F4328C"/>
    <w:rsid w:val="00F4397C"/>
    <w:rsid w:val="00F479EF"/>
    <w:rsid w:val="00F47E27"/>
    <w:rsid w:val="00F53418"/>
    <w:rsid w:val="00F54B54"/>
    <w:rsid w:val="00F64CE3"/>
    <w:rsid w:val="00F75177"/>
    <w:rsid w:val="00F76DBB"/>
    <w:rsid w:val="00F9053E"/>
    <w:rsid w:val="00F912AF"/>
    <w:rsid w:val="00F91D9C"/>
    <w:rsid w:val="00F95834"/>
    <w:rsid w:val="00FB1CC9"/>
    <w:rsid w:val="00FB74C4"/>
    <w:rsid w:val="00FB7882"/>
    <w:rsid w:val="00FC1343"/>
    <w:rsid w:val="00FC3A21"/>
    <w:rsid w:val="00FC7D2B"/>
    <w:rsid w:val="00FE3250"/>
    <w:rsid w:val="00FE788B"/>
    <w:rsid w:val="00FF5032"/>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FD7"/>
  <w15:docId w15:val="{0F805F5C-9E53-4EC2-BD30-DE8FC14E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61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9A14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A14E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Heading5"/>
    <w:link w:val="Heading4Char"/>
    <w:qFormat/>
    <w:rsid w:val="0073313F"/>
    <w:pPr>
      <w:keepNext/>
      <w:keepLines/>
      <w:spacing w:after="240"/>
      <w:jc w:val="both"/>
      <w:outlineLvl w:val="3"/>
    </w:pPr>
    <w:rPr>
      <w:rFonts w:ascii="Verdana" w:eastAsiaTheme="majorEastAsia" w:hAnsi="Verdana" w:cstheme="majorBidi"/>
      <w:b/>
      <w:bCs/>
      <w:iCs/>
      <w:color w:val="006283"/>
      <w:sz w:val="18"/>
      <w:szCs w:val="22"/>
      <w:lang w:val="en-GB"/>
    </w:rPr>
  </w:style>
  <w:style w:type="paragraph" w:styleId="Heading5">
    <w:name w:val="heading 5"/>
    <w:basedOn w:val="Normal"/>
    <w:next w:val="Heading6"/>
    <w:link w:val="Heading5Char"/>
    <w:uiPriority w:val="2"/>
    <w:qFormat/>
    <w:rsid w:val="0073313F"/>
    <w:pPr>
      <w:keepNext/>
      <w:keepLines/>
      <w:spacing w:after="240"/>
      <w:jc w:val="both"/>
      <w:outlineLvl w:val="4"/>
    </w:pPr>
    <w:rPr>
      <w:rFonts w:ascii="Verdana" w:eastAsiaTheme="majorEastAsia" w:hAnsi="Verdana" w:cstheme="majorBidi"/>
      <w:b/>
      <w:color w:val="006283"/>
      <w:sz w:val="18"/>
      <w:szCs w:val="22"/>
      <w:lang w:val="en-GB"/>
    </w:rPr>
  </w:style>
  <w:style w:type="paragraph" w:styleId="Heading6">
    <w:name w:val="heading 6"/>
    <w:basedOn w:val="Normal"/>
    <w:next w:val="BodyText"/>
    <w:link w:val="Heading6Char"/>
    <w:uiPriority w:val="2"/>
    <w:qFormat/>
    <w:rsid w:val="0073313F"/>
    <w:pPr>
      <w:keepNext/>
      <w:keepLines/>
      <w:spacing w:after="240"/>
      <w:jc w:val="both"/>
      <w:outlineLvl w:val="5"/>
    </w:pPr>
    <w:rPr>
      <w:rFonts w:ascii="Verdana" w:eastAsiaTheme="majorEastAsia" w:hAnsi="Verdana" w:cstheme="majorBidi"/>
      <w:b/>
      <w:iCs/>
      <w:color w:val="006283"/>
      <w:sz w:val="1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2808"/>
    <w:rPr>
      <w:sz w:val="20"/>
      <w:szCs w:val="20"/>
    </w:rPr>
  </w:style>
  <w:style w:type="character" w:customStyle="1" w:styleId="FootnoteTextChar">
    <w:name w:val="Footnote Text Char"/>
    <w:basedOn w:val="DefaultParagraphFont"/>
    <w:link w:val="FootnoteText"/>
    <w:uiPriority w:val="99"/>
    <w:semiHidden/>
    <w:rsid w:val="00C42808"/>
    <w:rPr>
      <w:sz w:val="20"/>
      <w:szCs w:val="20"/>
    </w:rPr>
  </w:style>
  <w:style w:type="character" w:styleId="FootnoteReference">
    <w:name w:val="footnote reference"/>
    <w:basedOn w:val="DefaultParagraphFont"/>
    <w:uiPriority w:val="99"/>
    <w:semiHidden/>
    <w:unhideWhenUsed/>
    <w:rsid w:val="00C42808"/>
    <w:rPr>
      <w:vertAlign w:val="superscript"/>
    </w:rPr>
  </w:style>
  <w:style w:type="character" w:styleId="Hyperlink">
    <w:name w:val="Hyperlink"/>
    <w:basedOn w:val="DefaultParagraphFont"/>
    <w:uiPriority w:val="99"/>
    <w:unhideWhenUsed/>
    <w:rsid w:val="00C42808"/>
    <w:rPr>
      <w:color w:val="0563C1" w:themeColor="hyperlink"/>
      <w:u w:val="single"/>
    </w:rPr>
  </w:style>
  <w:style w:type="character" w:customStyle="1" w:styleId="UnresolvedMention1">
    <w:name w:val="Unresolved Mention1"/>
    <w:basedOn w:val="DefaultParagraphFont"/>
    <w:uiPriority w:val="99"/>
    <w:semiHidden/>
    <w:unhideWhenUsed/>
    <w:rsid w:val="00C42808"/>
    <w:rPr>
      <w:color w:val="605E5C"/>
      <w:shd w:val="clear" w:color="auto" w:fill="E1DFDD"/>
    </w:rPr>
  </w:style>
  <w:style w:type="character" w:styleId="FollowedHyperlink">
    <w:name w:val="FollowedHyperlink"/>
    <w:basedOn w:val="DefaultParagraphFont"/>
    <w:uiPriority w:val="99"/>
    <w:semiHidden/>
    <w:unhideWhenUsed/>
    <w:rsid w:val="00E2488B"/>
    <w:rPr>
      <w:color w:val="954F72" w:themeColor="followedHyperlink"/>
      <w:u w:val="single"/>
    </w:rPr>
  </w:style>
  <w:style w:type="character" w:customStyle="1" w:styleId="Heading1Char">
    <w:name w:val="Heading 1 Char"/>
    <w:basedOn w:val="DefaultParagraphFont"/>
    <w:link w:val="Heading1"/>
    <w:uiPriority w:val="9"/>
    <w:rsid w:val="007A61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1A7"/>
    <w:pPr>
      <w:ind w:left="720"/>
      <w:contextualSpacing/>
    </w:pPr>
  </w:style>
  <w:style w:type="paragraph" w:styleId="Header">
    <w:name w:val="header"/>
    <w:basedOn w:val="Normal"/>
    <w:link w:val="HeaderChar"/>
    <w:uiPriority w:val="99"/>
    <w:unhideWhenUsed/>
    <w:rsid w:val="00F4397C"/>
    <w:pPr>
      <w:tabs>
        <w:tab w:val="center" w:pos="4680"/>
        <w:tab w:val="right" w:pos="9360"/>
      </w:tabs>
    </w:pPr>
  </w:style>
  <w:style w:type="character" w:customStyle="1" w:styleId="HeaderChar">
    <w:name w:val="Header Char"/>
    <w:basedOn w:val="DefaultParagraphFont"/>
    <w:link w:val="Header"/>
    <w:uiPriority w:val="99"/>
    <w:rsid w:val="00F4397C"/>
  </w:style>
  <w:style w:type="character" w:styleId="PageNumber">
    <w:name w:val="page number"/>
    <w:basedOn w:val="DefaultParagraphFont"/>
    <w:uiPriority w:val="99"/>
    <w:semiHidden/>
    <w:unhideWhenUsed/>
    <w:rsid w:val="00F4397C"/>
  </w:style>
  <w:style w:type="character" w:customStyle="1" w:styleId="Heading2Char">
    <w:name w:val="Heading 2 Char"/>
    <w:basedOn w:val="DefaultParagraphFont"/>
    <w:link w:val="Heading2"/>
    <w:uiPriority w:val="9"/>
    <w:semiHidden/>
    <w:rsid w:val="009A14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14E8"/>
    <w:rPr>
      <w:rFonts w:asciiTheme="majorHAnsi" w:eastAsiaTheme="majorEastAsia" w:hAnsiTheme="majorHAnsi" w:cstheme="majorBidi"/>
      <w:color w:val="1F3763" w:themeColor="accent1" w:themeShade="7F"/>
    </w:rPr>
  </w:style>
  <w:style w:type="paragraph" w:customStyle="1" w:styleId="c-article-bodytext">
    <w:name w:val="c-article-body__text"/>
    <w:basedOn w:val="Normal"/>
    <w:rsid w:val="009A14E8"/>
    <w:pPr>
      <w:spacing w:before="100" w:beforeAutospacing="1" w:after="100" w:afterAutospacing="1"/>
    </w:pPr>
    <w:rPr>
      <w:rFonts w:ascii="Times New Roman" w:eastAsia="Times New Roman" w:hAnsi="Times New Roman" w:cs="Times New Roman"/>
    </w:rPr>
  </w:style>
  <w:style w:type="character" w:customStyle="1" w:styleId="c-buttontext">
    <w:name w:val="c-button__text"/>
    <w:basedOn w:val="DefaultParagraphFont"/>
    <w:rsid w:val="009A14E8"/>
  </w:style>
  <w:style w:type="character" w:customStyle="1" w:styleId="c-buttonprimary-text">
    <w:name w:val="c-button__primary-text"/>
    <w:basedOn w:val="DefaultParagraphFont"/>
    <w:rsid w:val="009A14E8"/>
  </w:style>
  <w:style w:type="character" w:customStyle="1" w:styleId="c-buttonsecondary-text">
    <w:name w:val="c-button__secondary-text"/>
    <w:basedOn w:val="DefaultParagraphFont"/>
    <w:rsid w:val="009A14E8"/>
  </w:style>
  <w:style w:type="character" w:customStyle="1" w:styleId="c-article-mediacaption">
    <w:name w:val="c-article-media__caption"/>
    <w:basedOn w:val="DefaultParagraphFont"/>
    <w:rsid w:val="009A14E8"/>
  </w:style>
  <w:style w:type="character" w:customStyle="1" w:styleId="c-article-mediacredit">
    <w:name w:val="c-article-media__credit"/>
    <w:basedOn w:val="DefaultParagraphFont"/>
    <w:rsid w:val="009A14E8"/>
  </w:style>
  <w:style w:type="paragraph" w:customStyle="1" w:styleId="fsk-ad-message">
    <w:name w:val="fsk-ad-message"/>
    <w:basedOn w:val="Normal"/>
    <w:rsid w:val="009A14E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A14E8"/>
    <w:pPr>
      <w:spacing w:before="100" w:beforeAutospacing="1" w:after="100" w:afterAutospacing="1"/>
    </w:pPr>
    <w:rPr>
      <w:rFonts w:ascii="Times New Roman" w:eastAsia="Times New Roman" w:hAnsi="Times New Roman" w:cs="Times New Roman"/>
    </w:rPr>
  </w:style>
  <w:style w:type="character" w:customStyle="1" w:styleId="link">
    <w:name w:val="link"/>
    <w:basedOn w:val="DefaultParagraphFont"/>
    <w:rsid w:val="009A14E8"/>
  </w:style>
  <w:style w:type="paragraph" w:customStyle="1" w:styleId="c-topic">
    <w:name w:val="c-topic"/>
    <w:basedOn w:val="Normal"/>
    <w:rsid w:val="009A14E8"/>
    <w:pPr>
      <w:spacing w:before="100" w:beforeAutospacing="1" w:after="100" w:afterAutospacing="1"/>
    </w:pPr>
    <w:rPr>
      <w:rFonts w:ascii="Times New Roman" w:eastAsia="Times New Roman" w:hAnsi="Times New Roman" w:cs="Times New Roman"/>
    </w:rPr>
  </w:style>
  <w:style w:type="character" w:customStyle="1" w:styleId="c-cardcontent-group">
    <w:name w:val="c-card__content-group"/>
    <w:basedOn w:val="DefaultParagraphFont"/>
    <w:rsid w:val="009A14E8"/>
  </w:style>
  <w:style w:type="character" w:customStyle="1" w:styleId="c-cardhed">
    <w:name w:val="c-card__hed"/>
    <w:basedOn w:val="DefaultParagraphFont"/>
    <w:rsid w:val="009A14E8"/>
  </w:style>
  <w:style w:type="character" w:customStyle="1" w:styleId="c-follow-authorsmessage">
    <w:name w:val="c-follow-authors__message"/>
    <w:basedOn w:val="DefaultParagraphFont"/>
    <w:rsid w:val="009A14E8"/>
  </w:style>
  <w:style w:type="character" w:customStyle="1" w:styleId="c-follow-authorslinks">
    <w:name w:val="c-follow-authors__links"/>
    <w:basedOn w:val="DefaultParagraphFont"/>
    <w:rsid w:val="009A14E8"/>
  </w:style>
  <w:style w:type="character" w:customStyle="1" w:styleId="c-article-actiontext">
    <w:name w:val="c-article-action__text"/>
    <w:basedOn w:val="DefaultParagraphFont"/>
    <w:rsid w:val="009A14E8"/>
  </w:style>
  <w:style w:type="character" w:customStyle="1" w:styleId="js-c-comments-count">
    <w:name w:val="js-c-comments-count"/>
    <w:basedOn w:val="DefaultParagraphFont"/>
    <w:rsid w:val="009A14E8"/>
  </w:style>
  <w:style w:type="character" w:customStyle="1" w:styleId="c-comments-barcounttext">
    <w:name w:val="c-comments-bar__count__text"/>
    <w:basedOn w:val="DefaultParagraphFont"/>
    <w:rsid w:val="009A14E8"/>
  </w:style>
  <w:style w:type="character" w:customStyle="1" w:styleId="u-visually-hidden">
    <w:name w:val="u-visually-hidden"/>
    <w:basedOn w:val="DefaultParagraphFont"/>
    <w:rsid w:val="009A14E8"/>
  </w:style>
  <w:style w:type="paragraph" w:customStyle="1" w:styleId="c-article-listitem">
    <w:name w:val="c-article-list__item"/>
    <w:basedOn w:val="Normal"/>
    <w:rsid w:val="009A14E8"/>
    <w:pPr>
      <w:spacing w:before="100" w:beforeAutospacing="1" w:after="100" w:afterAutospacing="1"/>
    </w:pPr>
    <w:rPr>
      <w:rFonts w:ascii="Times New Roman" w:eastAsia="Times New Roman" w:hAnsi="Times New Roman" w:cs="Times New Roman"/>
    </w:rPr>
  </w:style>
  <w:style w:type="character" w:customStyle="1" w:styleId="c-article-listlink-text">
    <w:name w:val="c-article-list__link-text"/>
    <w:basedOn w:val="DefaultParagraphFont"/>
    <w:rsid w:val="009A14E8"/>
  </w:style>
  <w:style w:type="character" w:customStyle="1" w:styleId="Heading4Char">
    <w:name w:val="Heading 4 Char"/>
    <w:basedOn w:val="DefaultParagraphFont"/>
    <w:link w:val="Heading4"/>
    <w:rsid w:val="0073313F"/>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73313F"/>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73313F"/>
    <w:rPr>
      <w:rFonts w:ascii="Verdana" w:eastAsiaTheme="majorEastAsia" w:hAnsi="Verdana" w:cstheme="majorBidi"/>
      <w:b/>
      <w:iCs/>
      <w:color w:val="006283"/>
      <w:sz w:val="18"/>
      <w:szCs w:val="22"/>
      <w:lang w:val="en-GB"/>
    </w:rPr>
  </w:style>
  <w:style w:type="paragraph" w:styleId="BodyText">
    <w:name w:val="Body Text"/>
    <w:basedOn w:val="Normal"/>
    <w:link w:val="BodyTextChar"/>
    <w:uiPriority w:val="1"/>
    <w:qFormat/>
    <w:rsid w:val="0073313F"/>
    <w:pPr>
      <w:spacing w:after="240"/>
      <w:jc w:val="both"/>
    </w:pPr>
    <w:rPr>
      <w:rFonts w:ascii="Verdana" w:hAnsi="Verdana"/>
      <w:sz w:val="18"/>
      <w:szCs w:val="22"/>
      <w:lang w:val="en-GB"/>
    </w:rPr>
  </w:style>
  <w:style w:type="character" w:customStyle="1" w:styleId="BodyTextChar">
    <w:name w:val="Body Text Char"/>
    <w:basedOn w:val="DefaultParagraphFont"/>
    <w:link w:val="BodyText"/>
    <w:uiPriority w:val="1"/>
    <w:rsid w:val="0073313F"/>
    <w:rPr>
      <w:rFonts w:ascii="Verdana" w:hAnsi="Verdana"/>
      <w:sz w:val="18"/>
      <w:szCs w:val="22"/>
      <w:lang w:val="en-GB"/>
    </w:rPr>
  </w:style>
  <w:style w:type="paragraph" w:styleId="BodyText2">
    <w:name w:val="Body Text 2"/>
    <w:basedOn w:val="Normal"/>
    <w:link w:val="BodyText2Char"/>
    <w:uiPriority w:val="1"/>
    <w:qFormat/>
    <w:rsid w:val="0073313F"/>
    <w:pPr>
      <w:tabs>
        <w:tab w:val="num" w:pos="360"/>
      </w:tabs>
      <w:spacing w:after="240"/>
      <w:jc w:val="both"/>
    </w:pPr>
    <w:rPr>
      <w:rFonts w:ascii="Verdana" w:hAnsi="Verdana"/>
      <w:sz w:val="18"/>
      <w:szCs w:val="22"/>
      <w:lang w:val="en-GB"/>
    </w:rPr>
  </w:style>
  <w:style w:type="character" w:customStyle="1" w:styleId="BodyText2Char">
    <w:name w:val="Body Text 2 Char"/>
    <w:basedOn w:val="DefaultParagraphFont"/>
    <w:link w:val="BodyText2"/>
    <w:uiPriority w:val="1"/>
    <w:rsid w:val="0073313F"/>
    <w:rPr>
      <w:rFonts w:ascii="Verdana" w:hAnsi="Verdana"/>
      <w:sz w:val="18"/>
      <w:szCs w:val="22"/>
      <w:lang w:val="en-GB"/>
    </w:rPr>
  </w:style>
  <w:style w:type="paragraph" w:styleId="BodyText3">
    <w:name w:val="Body Text 3"/>
    <w:basedOn w:val="Normal"/>
    <w:link w:val="BodyText3Char"/>
    <w:qFormat/>
    <w:rsid w:val="0073313F"/>
    <w:pPr>
      <w:tabs>
        <w:tab w:val="num" w:pos="1247"/>
      </w:tabs>
      <w:spacing w:after="240"/>
      <w:ind w:left="1247" w:hanging="340"/>
      <w:jc w:val="both"/>
    </w:pPr>
    <w:rPr>
      <w:rFonts w:ascii="Verdana" w:hAnsi="Verdana"/>
      <w:sz w:val="18"/>
      <w:szCs w:val="16"/>
      <w:lang w:val="en-GB"/>
    </w:rPr>
  </w:style>
  <w:style w:type="character" w:customStyle="1" w:styleId="BodyText3Char">
    <w:name w:val="Body Text 3 Char"/>
    <w:basedOn w:val="DefaultParagraphFont"/>
    <w:link w:val="BodyText3"/>
    <w:rsid w:val="0073313F"/>
    <w:rPr>
      <w:rFonts w:ascii="Verdana" w:hAnsi="Verdana"/>
      <w:sz w:val="18"/>
      <w:szCs w:val="16"/>
      <w:lang w:val="en-GB"/>
    </w:rPr>
  </w:style>
  <w:style w:type="numbering" w:customStyle="1" w:styleId="LegalHeadings">
    <w:name w:val="LegalHeadings"/>
    <w:uiPriority w:val="99"/>
    <w:rsid w:val="0073313F"/>
    <w:pPr>
      <w:numPr>
        <w:numId w:val="4"/>
      </w:numPr>
    </w:pPr>
  </w:style>
  <w:style w:type="paragraph" w:styleId="Footer">
    <w:name w:val="footer"/>
    <w:basedOn w:val="Normal"/>
    <w:link w:val="FooterChar"/>
    <w:uiPriority w:val="99"/>
    <w:unhideWhenUsed/>
    <w:rsid w:val="00B81110"/>
    <w:pPr>
      <w:tabs>
        <w:tab w:val="center" w:pos="4680"/>
        <w:tab w:val="right" w:pos="9360"/>
      </w:tabs>
    </w:pPr>
  </w:style>
  <w:style w:type="character" w:customStyle="1" w:styleId="FooterChar">
    <w:name w:val="Footer Char"/>
    <w:basedOn w:val="DefaultParagraphFont"/>
    <w:link w:val="Footer"/>
    <w:uiPriority w:val="99"/>
    <w:rsid w:val="00B81110"/>
  </w:style>
  <w:style w:type="character" w:customStyle="1" w:styleId="apple-converted-space">
    <w:name w:val="apple-converted-space"/>
    <w:basedOn w:val="DefaultParagraphFont"/>
    <w:rsid w:val="003E04A4"/>
  </w:style>
  <w:style w:type="paragraph" w:styleId="BalloonText">
    <w:name w:val="Balloon Text"/>
    <w:basedOn w:val="Normal"/>
    <w:link w:val="BalloonTextChar"/>
    <w:uiPriority w:val="99"/>
    <w:semiHidden/>
    <w:unhideWhenUsed/>
    <w:rsid w:val="00234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76"/>
    <w:rPr>
      <w:rFonts w:ascii="Segoe UI" w:hAnsi="Segoe UI" w:cs="Segoe UI"/>
      <w:sz w:val="18"/>
      <w:szCs w:val="18"/>
    </w:rPr>
  </w:style>
  <w:style w:type="table" w:customStyle="1" w:styleId="GridTable5Dark-Accent11">
    <w:name w:val="Grid Table 5 Dark - Accent 11"/>
    <w:basedOn w:val="TableNormal"/>
    <w:uiPriority w:val="50"/>
    <w:rsid w:val="006775E8"/>
    <w:rPr>
      <w:sz w:val="22"/>
      <w:szCs w:val="22"/>
      <w:lang w:val="x-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AC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44FA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F4EEE"/>
    <w:rPr>
      <w:sz w:val="16"/>
      <w:szCs w:val="16"/>
    </w:rPr>
  </w:style>
  <w:style w:type="paragraph" w:styleId="CommentText">
    <w:name w:val="annotation text"/>
    <w:basedOn w:val="Normal"/>
    <w:link w:val="CommentTextChar"/>
    <w:uiPriority w:val="99"/>
    <w:semiHidden/>
    <w:unhideWhenUsed/>
    <w:rsid w:val="00BF4EEE"/>
    <w:rPr>
      <w:sz w:val="20"/>
      <w:szCs w:val="20"/>
    </w:rPr>
  </w:style>
  <w:style w:type="character" w:customStyle="1" w:styleId="CommentTextChar">
    <w:name w:val="Comment Text Char"/>
    <w:basedOn w:val="DefaultParagraphFont"/>
    <w:link w:val="CommentText"/>
    <w:uiPriority w:val="99"/>
    <w:semiHidden/>
    <w:rsid w:val="00BF4EEE"/>
    <w:rPr>
      <w:sz w:val="20"/>
      <w:szCs w:val="20"/>
    </w:rPr>
  </w:style>
  <w:style w:type="paragraph" w:styleId="CommentSubject">
    <w:name w:val="annotation subject"/>
    <w:basedOn w:val="CommentText"/>
    <w:next w:val="CommentText"/>
    <w:link w:val="CommentSubjectChar"/>
    <w:uiPriority w:val="99"/>
    <w:semiHidden/>
    <w:unhideWhenUsed/>
    <w:rsid w:val="00BF4EEE"/>
    <w:rPr>
      <w:b/>
      <w:bCs/>
    </w:rPr>
  </w:style>
  <w:style w:type="character" w:customStyle="1" w:styleId="CommentSubjectChar">
    <w:name w:val="Comment Subject Char"/>
    <w:basedOn w:val="CommentTextChar"/>
    <w:link w:val="CommentSubject"/>
    <w:uiPriority w:val="99"/>
    <w:semiHidden/>
    <w:rsid w:val="00BF4EEE"/>
    <w:rPr>
      <w:b/>
      <w:bCs/>
      <w:sz w:val="20"/>
      <w:szCs w:val="20"/>
    </w:rPr>
  </w:style>
  <w:style w:type="table" w:styleId="GridTable4">
    <w:name w:val="Grid Table 4"/>
    <w:basedOn w:val="TableNormal"/>
    <w:uiPriority w:val="49"/>
    <w:rsid w:val="00EF02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F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122">
      <w:bodyDiv w:val="1"/>
      <w:marLeft w:val="0"/>
      <w:marRight w:val="0"/>
      <w:marTop w:val="0"/>
      <w:marBottom w:val="0"/>
      <w:divBdr>
        <w:top w:val="none" w:sz="0" w:space="0" w:color="auto"/>
        <w:left w:val="none" w:sz="0" w:space="0" w:color="auto"/>
        <w:bottom w:val="none" w:sz="0" w:space="0" w:color="auto"/>
        <w:right w:val="none" w:sz="0" w:space="0" w:color="auto"/>
      </w:divBdr>
      <w:divsChild>
        <w:div w:id="1094595084">
          <w:marLeft w:val="0"/>
          <w:marRight w:val="0"/>
          <w:marTop w:val="0"/>
          <w:marBottom w:val="0"/>
          <w:divBdr>
            <w:top w:val="none" w:sz="0" w:space="0" w:color="auto"/>
            <w:left w:val="none" w:sz="0" w:space="0" w:color="auto"/>
            <w:bottom w:val="none" w:sz="0" w:space="0" w:color="auto"/>
            <w:right w:val="none" w:sz="0" w:space="0" w:color="auto"/>
          </w:divBdr>
          <w:divsChild>
            <w:div w:id="109587631">
              <w:marLeft w:val="0"/>
              <w:marRight w:val="0"/>
              <w:marTop w:val="0"/>
              <w:marBottom w:val="0"/>
              <w:divBdr>
                <w:top w:val="none" w:sz="0" w:space="0" w:color="auto"/>
                <w:left w:val="none" w:sz="0" w:space="0" w:color="auto"/>
                <w:bottom w:val="none" w:sz="0" w:space="0" w:color="auto"/>
                <w:right w:val="none" w:sz="0" w:space="0" w:color="auto"/>
              </w:divBdr>
              <w:divsChild>
                <w:div w:id="587811788">
                  <w:marLeft w:val="0"/>
                  <w:marRight w:val="0"/>
                  <w:marTop w:val="0"/>
                  <w:marBottom w:val="0"/>
                  <w:divBdr>
                    <w:top w:val="none" w:sz="0" w:space="0" w:color="auto"/>
                    <w:left w:val="none" w:sz="0" w:space="0" w:color="auto"/>
                    <w:bottom w:val="none" w:sz="0" w:space="0" w:color="auto"/>
                    <w:right w:val="none" w:sz="0" w:space="0" w:color="auto"/>
                  </w:divBdr>
                  <w:divsChild>
                    <w:div w:id="1081027111">
                      <w:marLeft w:val="0"/>
                      <w:marRight w:val="0"/>
                      <w:marTop w:val="0"/>
                      <w:marBottom w:val="0"/>
                      <w:divBdr>
                        <w:top w:val="none" w:sz="0" w:space="0" w:color="auto"/>
                        <w:left w:val="none" w:sz="0" w:space="0" w:color="auto"/>
                        <w:bottom w:val="none" w:sz="0" w:space="0" w:color="auto"/>
                        <w:right w:val="none" w:sz="0" w:space="0" w:color="auto"/>
                      </w:divBdr>
                      <w:divsChild>
                        <w:div w:id="675961096">
                          <w:marLeft w:val="0"/>
                          <w:marRight w:val="0"/>
                          <w:marTop w:val="0"/>
                          <w:marBottom w:val="0"/>
                          <w:divBdr>
                            <w:top w:val="none" w:sz="0" w:space="0" w:color="auto"/>
                            <w:left w:val="none" w:sz="0" w:space="0" w:color="auto"/>
                            <w:bottom w:val="none" w:sz="0" w:space="0" w:color="auto"/>
                            <w:right w:val="none" w:sz="0" w:space="0" w:color="auto"/>
                          </w:divBdr>
                          <w:divsChild>
                            <w:div w:id="1691444302">
                              <w:marLeft w:val="0"/>
                              <w:marRight w:val="0"/>
                              <w:marTop w:val="0"/>
                              <w:marBottom w:val="0"/>
                              <w:divBdr>
                                <w:top w:val="none" w:sz="0" w:space="0" w:color="auto"/>
                                <w:left w:val="none" w:sz="0" w:space="0" w:color="auto"/>
                                <w:bottom w:val="none" w:sz="0" w:space="0" w:color="auto"/>
                                <w:right w:val="none" w:sz="0" w:space="0" w:color="auto"/>
                              </w:divBdr>
                              <w:divsChild>
                                <w:div w:id="201524414">
                                  <w:marLeft w:val="0"/>
                                  <w:marRight w:val="0"/>
                                  <w:marTop w:val="0"/>
                                  <w:marBottom w:val="0"/>
                                  <w:divBdr>
                                    <w:top w:val="none" w:sz="0" w:space="0" w:color="auto"/>
                                    <w:left w:val="none" w:sz="0" w:space="0" w:color="auto"/>
                                    <w:bottom w:val="none" w:sz="0" w:space="0" w:color="auto"/>
                                    <w:right w:val="none" w:sz="0" w:space="0" w:color="auto"/>
                                  </w:divBdr>
                                  <w:divsChild>
                                    <w:div w:id="133137115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832635">
                          <w:marLeft w:val="0"/>
                          <w:marRight w:val="0"/>
                          <w:marTop w:val="0"/>
                          <w:marBottom w:val="0"/>
                          <w:divBdr>
                            <w:top w:val="none" w:sz="0" w:space="0" w:color="auto"/>
                            <w:left w:val="none" w:sz="0" w:space="0" w:color="auto"/>
                            <w:bottom w:val="none" w:sz="0" w:space="0" w:color="auto"/>
                            <w:right w:val="none" w:sz="0" w:space="0" w:color="auto"/>
                          </w:divBdr>
                        </w:div>
                        <w:div w:id="109401232">
                          <w:marLeft w:val="0"/>
                          <w:marRight w:val="0"/>
                          <w:marTop w:val="0"/>
                          <w:marBottom w:val="0"/>
                          <w:divBdr>
                            <w:top w:val="none" w:sz="0" w:space="0" w:color="auto"/>
                            <w:left w:val="none" w:sz="0" w:space="0" w:color="auto"/>
                            <w:bottom w:val="none" w:sz="0" w:space="0" w:color="auto"/>
                            <w:right w:val="none" w:sz="0" w:space="0" w:color="auto"/>
                          </w:divBdr>
                        </w:div>
                        <w:div w:id="178858897">
                          <w:marLeft w:val="0"/>
                          <w:marRight w:val="0"/>
                          <w:marTop w:val="0"/>
                          <w:marBottom w:val="0"/>
                          <w:divBdr>
                            <w:top w:val="none" w:sz="0" w:space="0" w:color="auto"/>
                            <w:left w:val="none" w:sz="0" w:space="0" w:color="auto"/>
                            <w:bottom w:val="none" w:sz="0" w:space="0" w:color="auto"/>
                            <w:right w:val="none" w:sz="0" w:space="0" w:color="auto"/>
                          </w:divBdr>
                          <w:divsChild>
                            <w:div w:id="646125286">
                              <w:marLeft w:val="0"/>
                              <w:marRight w:val="0"/>
                              <w:marTop w:val="0"/>
                              <w:marBottom w:val="0"/>
                              <w:divBdr>
                                <w:top w:val="none" w:sz="0" w:space="0" w:color="auto"/>
                                <w:left w:val="none" w:sz="0" w:space="0" w:color="auto"/>
                                <w:bottom w:val="none" w:sz="0" w:space="0" w:color="auto"/>
                                <w:right w:val="none" w:sz="0" w:space="0" w:color="auto"/>
                              </w:divBdr>
                              <w:divsChild>
                                <w:div w:id="893811408">
                                  <w:marLeft w:val="0"/>
                                  <w:marRight w:val="0"/>
                                  <w:marTop w:val="0"/>
                                  <w:marBottom w:val="0"/>
                                  <w:divBdr>
                                    <w:top w:val="none" w:sz="0" w:space="0" w:color="auto"/>
                                    <w:left w:val="none" w:sz="0" w:space="0" w:color="auto"/>
                                    <w:bottom w:val="none" w:sz="0" w:space="0" w:color="auto"/>
                                    <w:right w:val="none" w:sz="0" w:space="0" w:color="auto"/>
                                  </w:divBdr>
                                  <w:divsChild>
                                    <w:div w:id="90796135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7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67">
                  <w:marLeft w:val="0"/>
                  <w:marRight w:val="0"/>
                  <w:marTop w:val="0"/>
                  <w:marBottom w:val="0"/>
                  <w:divBdr>
                    <w:top w:val="none" w:sz="0" w:space="0" w:color="auto"/>
                    <w:left w:val="none" w:sz="0" w:space="0" w:color="auto"/>
                    <w:bottom w:val="none" w:sz="0" w:space="0" w:color="auto"/>
                    <w:right w:val="none" w:sz="0" w:space="0" w:color="auto"/>
                  </w:divBdr>
                  <w:divsChild>
                    <w:div w:id="130173877">
                      <w:marLeft w:val="0"/>
                      <w:marRight w:val="0"/>
                      <w:marTop w:val="0"/>
                      <w:marBottom w:val="0"/>
                      <w:divBdr>
                        <w:top w:val="single" w:sz="6" w:space="0" w:color="B2B2B2"/>
                        <w:left w:val="single" w:sz="6" w:space="0" w:color="B2B2B2"/>
                        <w:bottom w:val="single" w:sz="6" w:space="0" w:color="B2B2B2"/>
                        <w:right w:val="single" w:sz="6" w:space="0" w:color="B2B2B2"/>
                      </w:divBdr>
                      <w:divsChild>
                        <w:div w:id="1676150925">
                          <w:marLeft w:val="0"/>
                          <w:marRight w:val="0"/>
                          <w:marTop w:val="0"/>
                          <w:marBottom w:val="0"/>
                          <w:divBdr>
                            <w:top w:val="none" w:sz="0" w:space="0" w:color="auto"/>
                            <w:left w:val="none" w:sz="0" w:space="0" w:color="auto"/>
                            <w:bottom w:val="none" w:sz="0" w:space="0" w:color="auto"/>
                            <w:right w:val="none" w:sz="0" w:space="0" w:color="auto"/>
                          </w:divBdr>
                        </w:div>
                      </w:divsChild>
                    </w:div>
                    <w:div w:id="963659448">
                      <w:marLeft w:val="0"/>
                      <w:marRight w:val="0"/>
                      <w:marTop w:val="0"/>
                      <w:marBottom w:val="0"/>
                      <w:divBdr>
                        <w:top w:val="none" w:sz="0" w:space="0" w:color="auto"/>
                        <w:left w:val="none" w:sz="0" w:space="0" w:color="auto"/>
                        <w:bottom w:val="none" w:sz="0" w:space="0" w:color="auto"/>
                        <w:right w:val="none" w:sz="0" w:space="0" w:color="auto"/>
                      </w:divBdr>
                      <w:divsChild>
                        <w:div w:id="1428817642">
                          <w:marLeft w:val="0"/>
                          <w:marRight w:val="0"/>
                          <w:marTop w:val="0"/>
                          <w:marBottom w:val="0"/>
                          <w:divBdr>
                            <w:top w:val="single" w:sz="12" w:space="0" w:color="EC4149"/>
                            <w:left w:val="single" w:sz="12" w:space="0" w:color="EC4149"/>
                            <w:bottom w:val="single" w:sz="12" w:space="0" w:color="EC4149"/>
                            <w:right w:val="single" w:sz="12" w:space="0" w:color="EC4149"/>
                          </w:divBdr>
                          <w:divsChild>
                            <w:div w:id="1478258688">
                              <w:marLeft w:val="0"/>
                              <w:marRight w:val="0"/>
                              <w:marTop w:val="0"/>
                              <w:marBottom w:val="0"/>
                              <w:divBdr>
                                <w:top w:val="none" w:sz="0" w:space="0" w:color="auto"/>
                                <w:left w:val="none" w:sz="0" w:space="0" w:color="auto"/>
                                <w:bottom w:val="none" w:sz="0" w:space="0" w:color="auto"/>
                                <w:right w:val="none" w:sz="0" w:space="0" w:color="auto"/>
                              </w:divBdr>
                              <w:divsChild>
                                <w:div w:id="1639073662">
                                  <w:marLeft w:val="0"/>
                                  <w:marRight w:val="0"/>
                                  <w:marTop w:val="0"/>
                                  <w:marBottom w:val="0"/>
                                  <w:divBdr>
                                    <w:top w:val="none" w:sz="0" w:space="0" w:color="auto"/>
                                    <w:left w:val="none" w:sz="0" w:space="0" w:color="auto"/>
                                    <w:bottom w:val="none" w:sz="0" w:space="0" w:color="auto"/>
                                    <w:right w:val="none" w:sz="0" w:space="0" w:color="auto"/>
                                  </w:divBdr>
                                  <w:divsChild>
                                    <w:div w:id="684865876">
                                      <w:marLeft w:val="0"/>
                                      <w:marRight w:val="0"/>
                                      <w:marTop w:val="0"/>
                                      <w:marBottom w:val="0"/>
                                      <w:divBdr>
                                        <w:top w:val="none" w:sz="0" w:space="0" w:color="auto"/>
                                        <w:left w:val="none" w:sz="0" w:space="0" w:color="auto"/>
                                        <w:bottom w:val="none" w:sz="0" w:space="0" w:color="auto"/>
                                        <w:right w:val="none" w:sz="0" w:space="0" w:color="auto"/>
                                      </w:divBdr>
                                      <w:divsChild>
                                        <w:div w:id="2134055800">
                                          <w:marLeft w:val="0"/>
                                          <w:marRight w:val="0"/>
                                          <w:marTop w:val="150"/>
                                          <w:marBottom w:val="0"/>
                                          <w:divBdr>
                                            <w:top w:val="none" w:sz="0" w:space="0" w:color="auto"/>
                                            <w:left w:val="none" w:sz="0" w:space="0" w:color="auto"/>
                                            <w:bottom w:val="none" w:sz="0" w:space="0" w:color="auto"/>
                                            <w:right w:val="none" w:sz="0" w:space="0" w:color="auto"/>
                                          </w:divBdr>
                                        </w:div>
                                        <w:div w:id="159508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9983">
                      <w:marLeft w:val="0"/>
                      <w:marRight w:val="0"/>
                      <w:marTop w:val="0"/>
                      <w:marBottom w:val="0"/>
                      <w:divBdr>
                        <w:top w:val="none" w:sz="0" w:space="0" w:color="auto"/>
                        <w:left w:val="none" w:sz="0" w:space="0" w:color="auto"/>
                        <w:bottom w:val="none" w:sz="0" w:space="0" w:color="auto"/>
                        <w:right w:val="none" w:sz="0" w:space="0" w:color="auto"/>
                      </w:divBdr>
                      <w:divsChild>
                        <w:div w:id="8256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9742">
                  <w:marLeft w:val="0"/>
                  <w:marRight w:val="0"/>
                  <w:marTop w:val="0"/>
                  <w:marBottom w:val="0"/>
                  <w:divBdr>
                    <w:top w:val="none" w:sz="0" w:space="0" w:color="auto"/>
                    <w:left w:val="none" w:sz="0" w:space="0" w:color="auto"/>
                    <w:bottom w:val="none" w:sz="0" w:space="0" w:color="auto"/>
                    <w:right w:val="none" w:sz="0" w:space="0" w:color="auto"/>
                  </w:divBdr>
                  <w:divsChild>
                    <w:div w:id="574320098">
                      <w:marLeft w:val="0"/>
                      <w:marRight w:val="0"/>
                      <w:marTop w:val="0"/>
                      <w:marBottom w:val="0"/>
                      <w:divBdr>
                        <w:top w:val="none" w:sz="0" w:space="0" w:color="auto"/>
                        <w:left w:val="none" w:sz="0" w:space="0" w:color="auto"/>
                        <w:bottom w:val="none" w:sz="0" w:space="0" w:color="auto"/>
                        <w:right w:val="none" w:sz="0" w:space="0" w:color="auto"/>
                      </w:divBdr>
                      <w:divsChild>
                        <w:div w:id="1614089754">
                          <w:marLeft w:val="0"/>
                          <w:marRight w:val="0"/>
                          <w:marTop w:val="0"/>
                          <w:marBottom w:val="0"/>
                          <w:divBdr>
                            <w:top w:val="single" w:sz="6" w:space="0" w:color="EEEDEA"/>
                            <w:left w:val="none" w:sz="0" w:space="0" w:color="auto"/>
                            <w:bottom w:val="none" w:sz="0" w:space="0" w:color="auto"/>
                            <w:right w:val="none" w:sz="0" w:space="0" w:color="auto"/>
                          </w:divBdr>
                          <w:divsChild>
                            <w:div w:id="1116214772">
                              <w:marLeft w:val="0"/>
                              <w:marRight w:val="0"/>
                              <w:marTop w:val="0"/>
                              <w:marBottom w:val="0"/>
                              <w:divBdr>
                                <w:top w:val="none" w:sz="0" w:space="0" w:color="auto"/>
                                <w:left w:val="none" w:sz="0" w:space="0" w:color="auto"/>
                                <w:bottom w:val="none" w:sz="0" w:space="0" w:color="auto"/>
                                <w:right w:val="none" w:sz="0" w:space="0" w:color="auto"/>
                              </w:divBdr>
                              <w:divsChild>
                                <w:div w:id="989094233">
                                  <w:marLeft w:val="0"/>
                                  <w:marRight w:val="0"/>
                                  <w:marTop w:val="0"/>
                                  <w:marBottom w:val="0"/>
                                  <w:divBdr>
                                    <w:top w:val="none" w:sz="0" w:space="0" w:color="auto"/>
                                    <w:left w:val="none" w:sz="0" w:space="0" w:color="auto"/>
                                    <w:bottom w:val="none" w:sz="0" w:space="0" w:color="auto"/>
                                    <w:right w:val="none" w:sz="0" w:space="0" w:color="auto"/>
                                  </w:divBdr>
                                </w:div>
                              </w:divsChild>
                            </w:div>
                            <w:div w:id="395058374">
                              <w:marLeft w:val="0"/>
                              <w:marRight w:val="0"/>
                              <w:marTop w:val="0"/>
                              <w:marBottom w:val="0"/>
                              <w:divBdr>
                                <w:top w:val="none" w:sz="0" w:space="0" w:color="auto"/>
                                <w:left w:val="none" w:sz="0" w:space="0" w:color="auto"/>
                                <w:bottom w:val="none" w:sz="0" w:space="0" w:color="auto"/>
                                <w:right w:val="none" w:sz="0" w:space="0" w:color="auto"/>
                              </w:divBdr>
                              <w:divsChild>
                                <w:div w:id="1988632782">
                                  <w:marLeft w:val="0"/>
                                  <w:marRight w:val="0"/>
                                  <w:marTop w:val="0"/>
                                  <w:marBottom w:val="0"/>
                                  <w:divBdr>
                                    <w:top w:val="none" w:sz="0" w:space="0" w:color="auto"/>
                                    <w:left w:val="none" w:sz="0" w:space="0" w:color="auto"/>
                                    <w:bottom w:val="none" w:sz="0" w:space="0" w:color="auto"/>
                                    <w:right w:val="none" w:sz="0" w:space="0" w:color="auto"/>
                                  </w:divBdr>
                                  <w:divsChild>
                                    <w:div w:id="1548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3108">
                          <w:marLeft w:val="0"/>
                          <w:marRight w:val="0"/>
                          <w:marTop w:val="0"/>
                          <w:marBottom w:val="0"/>
                          <w:divBdr>
                            <w:top w:val="single" w:sz="6" w:space="0" w:color="F4F3F1"/>
                            <w:left w:val="none" w:sz="0" w:space="0" w:color="auto"/>
                            <w:bottom w:val="none" w:sz="0" w:space="0" w:color="auto"/>
                            <w:right w:val="none" w:sz="0" w:space="0" w:color="auto"/>
                          </w:divBdr>
                          <w:divsChild>
                            <w:div w:id="1803379830">
                              <w:marLeft w:val="0"/>
                              <w:marRight w:val="0"/>
                              <w:marTop w:val="0"/>
                              <w:marBottom w:val="0"/>
                              <w:divBdr>
                                <w:top w:val="none" w:sz="0" w:space="0" w:color="auto"/>
                                <w:left w:val="none" w:sz="0" w:space="0" w:color="auto"/>
                                <w:bottom w:val="none" w:sz="0" w:space="0" w:color="auto"/>
                                <w:right w:val="none" w:sz="0" w:space="0" w:color="auto"/>
                              </w:divBdr>
                              <w:divsChild>
                                <w:div w:id="821700587">
                                  <w:marLeft w:val="0"/>
                                  <w:marRight w:val="0"/>
                                  <w:marTop w:val="0"/>
                                  <w:marBottom w:val="0"/>
                                  <w:divBdr>
                                    <w:top w:val="none" w:sz="0" w:space="0" w:color="auto"/>
                                    <w:left w:val="none" w:sz="0" w:space="0" w:color="auto"/>
                                    <w:bottom w:val="none" w:sz="0" w:space="0" w:color="auto"/>
                                    <w:right w:val="none" w:sz="0" w:space="0" w:color="auto"/>
                                  </w:divBdr>
                                </w:div>
                              </w:divsChild>
                            </w:div>
                            <w:div w:id="881675472">
                              <w:marLeft w:val="0"/>
                              <w:marRight w:val="0"/>
                              <w:marTop w:val="0"/>
                              <w:marBottom w:val="0"/>
                              <w:divBdr>
                                <w:top w:val="none" w:sz="0" w:space="0" w:color="auto"/>
                                <w:left w:val="none" w:sz="0" w:space="0" w:color="auto"/>
                                <w:bottom w:val="none" w:sz="0" w:space="0" w:color="auto"/>
                                <w:right w:val="none" w:sz="0" w:space="0" w:color="auto"/>
                              </w:divBdr>
                              <w:divsChild>
                                <w:div w:id="778793957">
                                  <w:marLeft w:val="0"/>
                                  <w:marRight w:val="0"/>
                                  <w:marTop w:val="0"/>
                                  <w:marBottom w:val="0"/>
                                  <w:divBdr>
                                    <w:top w:val="none" w:sz="0" w:space="0" w:color="auto"/>
                                    <w:left w:val="none" w:sz="0" w:space="0" w:color="auto"/>
                                    <w:bottom w:val="none" w:sz="0" w:space="0" w:color="auto"/>
                                    <w:right w:val="none" w:sz="0" w:space="0" w:color="auto"/>
                                  </w:divBdr>
                                  <w:divsChild>
                                    <w:div w:id="13117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1700">
                          <w:marLeft w:val="0"/>
                          <w:marRight w:val="0"/>
                          <w:marTop w:val="0"/>
                          <w:marBottom w:val="0"/>
                          <w:divBdr>
                            <w:top w:val="single" w:sz="6" w:space="0" w:color="F4F3F1"/>
                            <w:left w:val="none" w:sz="0" w:space="0" w:color="auto"/>
                            <w:bottom w:val="none" w:sz="0" w:space="0" w:color="auto"/>
                            <w:right w:val="none" w:sz="0" w:space="0" w:color="auto"/>
                          </w:divBdr>
                          <w:divsChild>
                            <w:div w:id="50202442">
                              <w:marLeft w:val="0"/>
                              <w:marRight w:val="0"/>
                              <w:marTop w:val="0"/>
                              <w:marBottom w:val="0"/>
                              <w:divBdr>
                                <w:top w:val="none" w:sz="0" w:space="0" w:color="auto"/>
                                <w:left w:val="none" w:sz="0" w:space="0" w:color="auto"/>
                                <w:bottom w:val="none" w:sz="0" w:space="0" w:color="auto"/>
                                <w:right w:val="none" w:sz="0" w:space="0" w:color="auto"/>
                              </w:divBdr>
                              <w:divsChild>
                                <w:div w:id="1140267190">
                                  <w:marLeft w:val="0"/>
                                  <w:marRight w:val="0"/>
                                  <w:marTop w:val="0"/>
                                  <w:marBottom w:val="0"/>
                                  <w:divBdr>
                                    <w:top w:val="none" w:sz="0" w:space="0" w:color="auto"/>
                                    <w:left w:val="none" w:sz="0" w:space="0" w:color="auto"/>
                                    <w:bottom w:val="none" w:sz="0" w:space="0" w:color="auto"/>
                                    <w:right w:val="none" w:sz="0" w:space="0" w:color="auto"/>
                                  </w:divBdr>
                                </w:div>
                              </w:divsChild>
                            </w:div>
                            <w:div w:id="1750611834">
                              <w:marLeft w:val="0"/>
                              <w:marRight w:val="0"/>
                              <w:marTop w:val="0"/>
                              <w:marBottom w:val="0"/>
                              <w:divBdr>
                                <w:top w:val="none" w:sz="0" w:space="0" w:color="auto"/>
                                <w:left w:val="none" w:sz="0" w:space="0" w:color="auto"/>
                                <w:bottom w:val="none" w:sz="0" w:space="0" w:color="auto"/>
                                <w:right w:val="none" w:sz="0" w:space="0" w:color="auto"/>
                              </w:divBdr>
                              <w:divsChild>
                                <w:div w:id="1713771581">
                                  <w:marLeft w:val="0"/>
                                  <w:marRight w:val="0"/>
                                  <w:marTop w:val="0"/>
                                  <w:marBottom w:val="0"/>
                                  <w:divBdr>
                                    <w:top w:val="none" w:sz="0" w:space="0" w:color="auto"/>
                                    <w:left w:val="none" w:sz="0" w:space="0" w:color="auto"/>
                                    <w:bottom w:val="none" w:sz="0" w:space="0" w:color="auto"/>
                                    <w:right w:val="none" w:sz="0" w:space="0" w:color="auto"/>
                                  </w:divBdr>
                                  <w:divsChild>
                                    <w:div w:id="184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87498">
                  <w:marLeft w:val="0"/>
                  <w:marRight w:val="0"/>
                  <w:marTop w:val="0"/>
                  <w:marBottom w:val="0"/>
                  <w:divBdr>
                    <w:top w:val="none" w:sz="0" w:space="0" w:color="auto"/>
                    <w:left w:val="none" w:sz="0" w:space="0" w:color="auto"/>
                    <w:bottom w:val="none" w:sz="0" w:space="0" w:color="auto"/>
                    <w:right w:val="none" w:sz="0" w:space="0" w:color="auto"/>
                  </w:divBdr>
                  <w:divsChild>
                    <w:div w:id="46223685">
                      <w:marLeft w:val="0"/>
                      <w:marRight w:val="0"/>
                      <w:marTop w:val="0"/>
                      <w:marBottom w:val="0"/>
                      <w:divBdr>
                        <w:top w:val="single" w:sz="6" w:space="0" w:color="DCD9D7"/>
                        <w:left w:val="none" w:sz="0" w:space="0" w:color="auto"/>
                        <w:bottom w:val="single" w:sz="6" w:space="0" w:color="EEEDEA"/>
                        <w:right w:val="none" w:sz="0" w:space="0" w:color="auto"/>
                      </w:divBdr>
                    </w:div>
                  </w:divsChild>
                </w:div>
                <w:div w:id="1817214378">
                  <w:marLeft w:val="0"/>
                  <w:marRight w:val="0"/>
                  <w:marTop w:val="0"/>
                  <w:marBottom w:val="0"/>
                  <w:divBdr>
                    <w:top w:val="none" w:sz="0" w:space="0" w:color="auto"/>
                    <w:left w:val="none" w:sz="0" w:space="0" w:color="auto"/>
                    <w:bottom w:val="none" w:sz="0" w:space="0" w:color="auto"/>
                    <w:right w:val="none" w:sz="0" w:space="0" w:color="auto"/>
                  </w:divBdr>
                  <w:divsChild>
                    <w:div w:id="310403098">
                      <w:marLeft w:val="0"/>
                      <w:marRight w:val="0"/>
                      <w:marTop w:val="0"/>
                      <w:marBottom w:val="0"/>
                      <w:divBdr>
                        <w:top w:val="none" w:sz="0" w:space="0" w:color="auto"/>
                        <w:left w:val="none" w:sz="0" w:space="0" w:color="auto"/>
                        <w:bottom w:val="single" w:sz="6" w:space="0" w:color="EEEDEA"/>
                        <w:right w:val="none" w:sz="0" w:space="0" w:color="auto"/>
                      </w:divBdr>
                    </w:div>
                  </w:divsChild>
                </w:div>
                <w:div w:id="714816391">
                  <w:marLeft w:val="0"/>
                  <w:marRight w:val="0"/>
                  <w:marTop w:val="0"/>
                  <w:marBottom w:val="0"/>
                  <w:divBdr>
                    <w:top w:val="none" w:sz="0" w:space="0" w:color="auto"/>
                    <w:left w:val="none" w:sz="0" w:space="0" w:color="auto"/>
                    <w:bottom w:val="none" w:sz="0" w:space="0" w:color="auto"/>
                    <w:right w:val="none" w:sz="0" w:space="0" w:color="auto"/>
                  </w:divBdr>
                  <w:divsChild>
                    <w:div w:id="213741727">
                      <w:marLeft w:val="0"/>
                      <w:marRight w:val="0"/>
                      <w:marTop w:val="0"/>
                      <w:marBottom w:val="0"/>
                      <w:divBdr>
                        <w:top w:val="none" w:sz="0" w:space="0" w:color="auto"/>
                        <w:left w:val="none" w:sz="0" w:space="0" w:color="auto"/>
                        <w:bottom w:val="none" w:sz="0" w:space="0" w:color="auto"/>
                        <w:right w:val="none" w:sz="0" w:space="0" w:color="auto"/>
                      </w:divBdr>
                      <w:divsChild>
                        <w:div w:id="402410245">
                          <w:marLeft w:val="0"/>
                          <w:marRight w:val="0"/>
                          <w:marTop w:val="0"/>
                          <w:marBottom w:val="0"/>
                          <w:divBdr>
                            <w:top w:val="none" w:sz="0" w:space="0" w:color="auto"/>
                            <w:left w:val="none" w:sz="0" w:space="0" w:color="auto"/>
                            <w:bottom w:val="none" w:sz="0" w:space="0" w:color="auto"/>
                            <w:right w:val="none" w:sz="0" w:space="0" w:color="auto"/>
                          </w:divBdr>
                          <w:divsChild>
                            <w:div w:id="109319173">
                              <w:marLeft w:val="0"/>
                              <w:marRight w:val="0"/>
                              <w:marTop w:val="0"/>
                              <w:marBottom w:val="0"/>
                              <w:divBdr>
                                <w:top w:val="none" w:sz="0" w:space="0" w:color="auto"/>
                                <w:left w:val="none" w:sz="0" w:space="0" w:color="auto"/>
                                <w:bottom w:val="none" w:sz="0" w:space="0" w:color="auto"/>
                                <w:right w:val="none" w:sz="0" w:space="0" w:color="auto"/>
                              </w:divBdr>
                              <w:divsChild>
                                <w:div w:id="193352576">
                                  <w:marLeft w:val="0"/>
                                  <w:marRight w:val="0"/>
                                  <w:marTop w:val="0"/>
                                  <w:marBottom w:val="0"/>
                                  <w:divBdr>
                                    <w:top w:val="none" w:sz="0" w:space="0" w:color="auto"/>
                                    <w:left w:val="none" w:sz="0" w:space="0" w:color="auto"/>
                                    <w:bottom w:val="none" w:sz="0" w:space="0" w:color="auto"/>
                                    <w:right w:val="none" w:sz="0" w:space="0" w:color="auto"/>
                                  </w:divBdr>
                                </w:div>
                                <w:div w:id="556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4337">
                  <w:marLeft w:val="0"/>
                  <w:marRight w:val="0"/>
                  <w:marTop w:val="0"/>
                  <w:marBottom w:val="0"/>
                  <w:divBdr>
                    <w:top w:val="none" w:sz="0" w:space="0" w:color="auto"/>
                    <w:left w:val="none" w:sz="0" w:space="0" w:color="auto"/>
                    <w:bottom w:val="none" w:sz="0" w:space="0" w:color="auto"/>
                    <w:right w:val="none" w:sz="0" w:space="0" w:color="auto"/>
                  </w:divBdr>
                  <w:divsChild>
                    <w:div w:id="1419209463">
                      <w:marLeft w:val="0"/>
                      <w:marRight w:val="0"/>
                      <w:marTop w:val="0"/>
                      <w:marBottom w:val="0"/>
                      <w:divBdr>
                        <w:top w:val="none" w:sz="0" w:space="0" w:color="auto"/>
                        <w:left w:val="none" w:sz="0" w:space="0" w:color="auto"/>
                        <w:bottom w:val="none" w:sz="0" w:space="0" w:color="auto"/>
                        <w:right w:val="none" w:sz="0" w:space="0" w:color="auto"/>
                      </w:divBdr>
                      <w:divsChild>
                        <w:div w:id="2136752375">
                          <w:marLeft w:val="0"/>
                          <w:marRight w:val="0"/>
                          <w:marTop w:val="0"/>
                          <w:marBottom w:val="0"/>
                          <w:divBdr>
                            <w:top w:val="none" w:sz="0" w:space="0" w:color="auto"/>
                            <w:left w:val="none" w:sz="0" w:space="0" w:color="auto"/>
                            <w:bottom w:val="none" w:sz="0" w:space="0" w:color="auto"/>
                            <w:right w:val="none" w:sz="0" w:space="0" w:color="auto"/>
                          </w:divBdr>
                          <w:divsChild>
                            <w:div w:id="1372416209">
                              <w:marLeft w:val="0"/>
                              <w:marRight w:val="0"/>
                              <w:marTop w:val="0"/>
                              <w:marBottom w:val="0"/>
                              <w:divBdr>
                                <w:top w:val="none" w:sz="0" w:space="0" w:color="auto"/>
                                <w:left w:val="none" w:sz="0" w:space="0" w:color="auto"/>
                                <w:bottom w:val="none" w:sz="0" w:space="0" w:color="auto"/>
                                <w:right w:val="none" w:sz="0" w:space="0" w:color="auto"/>
                              </w:divBdr>
                            </w:div>
                            <w:div w:id="470366899">
                              <w:marLeft w:val="0"/>
                              <w:marRight w:val="0"/>
                              <w:marTop w:val="0"/>
                              <w:marBottom w:val="0"/>
                              <w:divBdr>
                                <w:top w:val="none" w:sz="0" w:space="0" w:color="auto"/>
                                <w:left w:val="none" w:sz="0" w:space="0" w:color="auto"/>
                                <w:bottom w:val="none" w:sz="0" w:space="0" w:color="auto"/>
                                <w:right w:val="none" w:sz="0" w:space="0" w:color="auto"/>
                              </w:divBdr>
                              <w:divsChild>
                                <w:div w:id="342780314">
                                  <w:marLeft w:val="0"/>
                                  <w:marRight w:val="0"/>
                                  <w:marTop w:val="0"/>
                                  <w:marBottom w:val="0"/>
                                  <w:divBdr>
                                    <w:top w:val="none" w:sz="0" w:space="0" w:color="auto"/>
                                    <w:left w:val="none" w:sz="0" w:space="0" w:color="auto"/>
                                    <w:bottom w:val="none" w:sz="0" w:space="0" w:color="auto"/>
                                    <w:right w:val="none" w:sz="0" w:space="0" w:color="auto"/>
                                  </w:divBdr>
                                  <w:divsChild>
                                    <w:div w:id="1379283608">
                                      <w:marLeft w:val="0"/>
                                      <w:marRight w:val="0"/>
                                      <w:marTop w:val="0"/>
                                      <w:marBottom w:val="0"/>
                                      <w:divBdr>
                                        <w:top w:val="none" w:sz="0" w:space="0" w:color="auto"/>
                                        <w:left w:val="none" w:sz="0" w:space="0" w:color="auto"/>
                                        <w:bottom w:val="none" w:sz="0" w:space="0" w:color="auto"/>
                                        <w:right w:val="none" w:sz="0" w:space="0" w:color="auto"/>
                                      </w:divBdr>
                                    </w:div>
                                  </w:divsChild>
                                </w:div>
                                <w:div w:id="1716274218">
                                  <w:marLeft w:val="0"/>
                                  <w:marRight w:val="0"/>
                                  <w:marTop w:val="0"/>
                                  <w:marBottom w:val="0"/>
                                  <w:divBdr>
                                    <w:top w:val="none" w:sz="0" w:space="0" w:color="auto"/>
                                    <w:left w:val="none" w:sz="0" w:space="0" w:color="auto"/>
                                    <w:bottom w:val="none" w:sz="0" w:space="0" w:color="auto"/>
                                    <w:right w:val="none" w:sz="0" w:space="0" w:color="auto"/>
                                  </w:divBdr>
                                </w:div>
                                <w:div w:id="250044559">
                                  <w:marLeft w:val="0"/>
                                  <w:marRight w:val="0"/>
                                  <w:marTop w:val="0"/>
                                  <w:marBottom w:val="0"/>
                                  <w:divBdr>
                                    <w:top w:val="none" w:sz="0" w:space="0" w:color="auto"/>
                                    <w:left w:val="none" w:sz="0" w:space="0" w:color="auto"/>
                                    <w:bottom w:val="none" w:sz="0" w:space="0" w:color="auto"/>
                                    <w:right w:val="none" w:sz="0" w:space="0" w:color="auto"/>
                                  </w:divBdr>
                                </w:div>
                                <w:div w:id="19885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7600">
          <w:marLeft w:val="0"/>
          <w:marRight w:val="0"/>
          <w:marTop w:val="0"/>
          <w:marBottom w:val="0"/>
          <w:divBdr>
            <w:top w:val="none" w:sz="0" w:space="0" w:color="auto"/>
            <w:left w:val="none" w:sz="0" w:space="0" w:color="auto"/>
            <w:bottom w:val="none" w:sz="0" w:space="0" w:color="auto"/>
            <w:right w:val="none" w:sz="0" w:space="0" w:color="auto"/>
          </w:divBdr>
          <w:divsChild>
            <w:div w:id="853498376">
              <w:marLeft w:val="0"/>
              <w:marRight w:val="0"/>
              <w:marTop w:val="0"/>
              <w:marBottom w:val="0"/>
              <w:divBdr>
                <w:top w:val="none" w:sz="0" w:space="0" w:color="auto"/>
                <w:left w:val="none" w:sz="0" w:space="0" w:color="auto"/>
                <w:bottom w:val="none" w:sz="0" w:space="0" w:color="auto"/>
                <w:right w:val="none" w:sz="0" w:space="0" w:color="auto"/>
              </w:divBdr>
              <w:divsChild>
                <w:div w:id="692921478">
                  <w:marLeft w:val="0"/>
                  <w:marRight w:val="0"/>
                  <w:marTop w:val="0"/>
                  <w:marBottom w:val="0"/>
                  <w:divBdr>
                    <w:top w:val="none" w:sz="0" w:space="0" w:color="auto"/>
                    <w:left w:val="none" w:sz="0" w:space="0" w:color="auto"/>
                    <w:bottom w:val="none" w:sz="0" w:space="0" w:color="auto"/>
                    <w:right w:val="none" w:sz="0" w:space="0" w:color="auto"/>
                  </w:divBdr>
                  <w:divsChild>
                    <w:div w:id="446194122">
                      <w:marLeft w:val="0"/>
                      <w:marRight w:val="0"/>
                      <w:marTop w:val="0"/>
                      <w:marBottom w:val="0"/>
                      <w:divBdr>
                        <w:top w:val="none" w:sz="0" w:space="0" w:color="auto"/>
                        <w:left w:val="none" w:sz="0" w:space="0" w:color="auto"/>
                        <w:bottom w:val="none" w:sz="0" w:space="0" w:color="auto"/>
                        <w:right w:val="none" w:sz="0" w:space="0" w:color="auto"/>
                      </w:divBdr>
                      <w:divsChild>
                        <w:div w:id="859899838">
                          <w:marLeft w:val="0"/>
                          <w:marRight w:val="0"/>
                          <w:marTop w:val="0"/>
                          <w:marBottom w:val="0"/>
                          <w:divBdr>
                            <w:top w:val="none" w:sz="0" w:space="0" w:color="auto"/>
                            <w:left w:val="none" w:sz="0" w:space="0" w:color="auto"/>
                            <w:bottom w:val="none" w:sz="0" w:space="0" w:color="auto"/>
                            <w:right w:val="none" w:sz="0" w:space="0" w:color="auto"/>
                          </w:divBdr>
                          <w:divsChild>
                            <w:div w:id="1200171336">
                              <w:marLeft w:val="0"/>
                              <w:marRight w:val="0"/>
                              <w:marTop w:val="0"/>
                              <w:marBottom w:val="0"/>
                              <w:divBdr>
                                <w:top w:val="none" w:sz="0" w:space="0" w:color="auto"/>
                                <w:left w:val="none" w:sz="0" w:space="0" w:color="auto"/>
                                <w:bottom w:val="none" w:sz="0" w:space="0" w:color="auto"/>
                                <w:right w:val="none" w:sz="0" w:space="0" w:color="auto"/>
                              </w:divBdr>
                              <w:divsChild>
                                <w:div w:id="1749041103">
                                  <w:marLeft w:val="0"/>
                                  <w:marRight w:val="0"/>
                                  <w:marTop w:val="0"/>
                                  <w:marBottom w:val="0"/>
                                  <w:divBdr>
                                    <w:top w:val="none" w:sz="0" w:space="0" w:color="auto"/>
                                    <w:left w:val="none" w:sz="0" w:space="0" w:color="auto"/>
                                    <w:bottom w:val="single" w:sz="6" w:space="0" w:color="EEEDEA"/>
                                    <w:right w:val="none" w:sz="0" w:space="0" w:color="auto"/>
                                  </w:divBdr>
                                </w:div>
                                <w:div w:id="128715609">
                                  <w:marLeft w:val="0"/>
                                  <w:marRight w:val="0"/>
                                  <w:marTop w:val="0"/>
                                  <w:marBottom w:val="0"/>
                                  <w:divBdr>
                                    <w:top w:val="none" w:sz="0" w:space="0" w:color="auto"/>
                                    <w:left w:val="none" w:sz="0" w:space="0" w:color="auto"/>
                                    <w:bottom w:val="single" w:sz="6" w:space="0" w:color="EEEDEA"/>
                                    <w:right w:val="none" w:sz="0" w:space="0" w:color="auto"/>
                                  </w:divBdr>
                                </w:div>
                                <w:div w:id="1740588558">
                                  <w:marLeft w:val="0"/>
                                  <w:marRight w:val="0"/>
                                  <w:marTop w:val="0"/>
                                  <w:marBottom w:val="0"/>
                                  <w:divBdr>
                                    <w:top w:val="none" w:sz="0" w:space="0" w:color="auto"/>
                                    <w:left w:val="none" w:sz="0" w:space="0" w:color="auto"/>
                                    <w:bottom w:val="single" w:sz="6" w:space="0" w:color="EEEDEA"/>
                                    <w:right w:val="none" w:sz="0" w:space="0" w:color="auto"/>
                                  </w:divBdr>
                                </w:div>
                                <w:div w:id="859706413">
                                  <w:marLeft w:val="0"/>
                                  <w:marRight w:val="0"/>
                                  <w:marTop w:val="0"/>
                                  <w:marBottom w:val="0"/>
                                  <w:divBdr>
                                    <w:top w:val="none" w:sz="0" w:space="0" w:color="auto"/>
                                    <w:left w:val="none" w:sz="0" w:space="0" w:color="auto"/>
                                    <w:bottom w:val="single" w:sz="6" w:space="0" w:color="EEEDEA"/>
                                    <w:right w:val="none" w:sz="0" w:space="0" w:color="auto"/>
                                  </w:divBdr>
                                </w:div>
                                <w:div w:id="2182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6520">
                      <w:marLeft w:val="0"/>
                      <w:marRight w:val="0"/>
                      <w:marTop w:val="0"/>
                      <w:marBottom w:val="0"/>
                      <w:divBdr>
                        <w:top w:val="none" w:sz="0" w:space="0" w:color="auto"/>
                        <w:left w:val="none" w:sz="0" w:space="0" w:color="auto"/>
                        <w:bottom w:val="none" w:sz="0" w:space="0" w:color="auto"/>
                        <w:right w:val="none" w:sz="0" w:space="0" w:color="auto"/>
                      </w:divBdr>
                      <w:divsChild>
                        <w:div w:id="580867668">
                          <w:marLeft w:val="0"/>
                          <w:marRight w:val="0"/>
                          <w:marTop w:val="0"/>
                          <w:marBottom w:val="0"/>
                          <w:divBdr>
                            <w:top w:val="none" w:sz="0" w:space="0" w:color="auto"/>
                            <w:left w:val="none" w:sz="0" w:space="0" w:color="auto"/>
                            <w:bottom w:val="none" w:sz="0" w:space="0" w:color="auto"/>
                            <w:right w:val="none" w:sz="0" w:space="0" w:color="auto"/>
                          </w:divBdr>
                          <w:divsChild>
                            <w:div w:id="597716887">
                              <w:marLeft w:val="0"/>
                              <w:marRight w:val="0"/>
                              <w:marTop w:val="0"/>
                              <w:marBottom w:val="0"/>
                              <w:divBdr>
                                <w:top w:val="none" w:sz="0" w:space="0" w:color="auto"/>
                                <w:left w:val="none" w:sz="0" w:space="0" w:color="auto"/>
                                <w:bottom w:val="none" w:sz="0" w:space="0" w:color="auto"/>
                                <w:right w:val="none" w:sz="0" w:space="0" w:color="auto"/>
                              </w:divBdr>
                              <w:divsChild>
                                <w:div w:id="8774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317">
      <w:bodyDiv w:val="1"/>
      <w:marLeft w:val="0"/>
      <w:marRight w:val="0"/>
      <w:marTop w:val="0"/>
      <w:marBottom w:val="0"/>
      <w:divBdr>
        <w:top w:val="none" w:sz="0" w:space="0" w:color="auto"/>
        <w:left w:val="none" w:sz="0" w:space="0" w:color="auto"/>
        <w:bottom w:val="none" w:sz="0" w:space="0" w:color="auto"/>
        <w:right w:val="none" w:sz="0" w:space="0" w:color="auto"/>
      </w:divBdr>
    </w:div>
    <w:div w:id="124739497">
      <w:bodyDiv w:val="1"/>
      <w:marLeft w:val="0"/>
      <w:marRight w:val="0"/>
      <w:marTop w:val="0"/>
      <w:marBottom w:val="0"/>
      <w:divBdr>
        <w:top w:val="none" w:sz="0" w:space="0" w:color="auto"/>
        <w:left w:val="none" w:sz="0" w:space="0" w:color="auto"/>
        <w:bottom w:val="none" w:sz="0" w:space="0" w:color="auto"/>
        <w:right w:val="none" w:sz="0" w:space="0" w:color="auto"/>
      </w:divBdr>
    </w:div>
    <w:div w:id="138571457">
      <w:bodyDiv w:val="1"/>
      <w:marLeft w:val="0"/>
      <w:marRight w:val="0"/>
      <w:marTop w:val="0"/>
      <w:marBottom w:val="0"/>
      <w:divBdr>
        <w:top w:val="none" w:sz="0" w:space="0" w:color="auto"/>
        <w:left w:val="none" w:sz="0" w:space="0" w:color="auto"/>
        <w:bottom w:val="none" w:sz="0" w:space="0" w:color="auto"/>
        <w:right w:val="none" w:sz="0" w:space="0" w:color="auto"/>
      </w:divBdr>
    </w:div>
    <w:div w:id="203062928">
      <w:bodyDiv w:val="1"/>
      <w:marLeft w:val="0"/>
      <w:marRight w:val="0"/>
      <w:marTop w:val="0"/>
      <w:marBottom w:val="0"/>
      <w:divBdr>
        <w:top w:val="none" w:sz="0" w:space="0" w:color="auto"/>
        <w:left w:val="none" w:sz="0" w:space="0" w:color="auto"/>
        <w:bottom w:val="none" w:sz="0" w:space="0" w:color="auto"/>
        <w:right w:val="none" w:sz="0" w:space="0" w:color="auto"/>
      </w:divBdr>
    </w:div>
    <w:div w:id="231622129">
      <w:bodyDiv w:val="1"/>
      <w:marLeft w:val="0"/>
      <w:marRight w:val="0"/>
      <w:marTop w:val="0"/>
      <w:marBottom w:val="0"/>
      <w:divBdr>
        <w:top w:val="none" w:sz="0" w:space="0" w:color="auto"/>
        <w:left w:val="none" w:sz="0" w:space="0" w:color="auto"/>
        <w:bottom w:val="none" w:sz="0" w:space="0" w:color="auto"/>
        <w:right w:val="none" w:sz="0" w:space="0" w:color="auto"/>
      </w:divBdr>
    </w:div>
    <w:div w:id="254635395">
      <w:bodyDiv w:val="1"/>
      <w:marLeft w:val="0"/>
      <w:marRight w:val="0"/>
      <w:marTop w:val="0"/>
      <w:marBottom w:val="0"/>
      <w:divBdr>
        <w:top w:val="none" w:sz="0" w:space="0" w:color="auto"/>
        <w:left w:val="none" w:sz="0" w:space="0" w:color="auto"/>
        <w:bottom w:val="none" w:sz="0" w:space="0" w:color="auto"/>
        <w:right w:val="none" w:sz="0" w:space="0" w:color="auto"/>
      </w:divBdr>
    </w:div>
    <w:div w:id="254824992">
      <w:bodyDiv w:val="1"/>
      <w:marLeft w:val="0"/>
      <w:marRight w:val="0"/>
      <w:marTop w:val="0"/>
      <w:marBottom w:val="0"/>
      <w:divBdr>
        <w:top w:val="none" w:sz="0" w:space="0" w:color="auto"/>
        <w:left w:val="none" w:sz="0" w:space="0" w:color="auto"/>
        <w:bottom w:val="none" w:sz="0" w:space="0" w:color="auto"/>
        <w:right w:val="none" w:sz="0" w:space="0" w:color="auto"/>
      </w:divBdr>
    </w:div>
    <w:div w:id="257254406">
      <w:bodyDiv w:val="1"/>
      <w:marLeft w:val="0"/>
      <w:marRight w:val="0"/>
      <w:marTop w:val="0"/>
      <w:marBottom w:val="0"/>
      <w:divBdr>
        <w:top w:val="none" w:sz="0" w:space="0" w:color="auto"/>
        <w:left w:val="none" w:sz="0" w:space="0" w:color="auto"/>
        <w:bottom w:val="none" w:sz="0" w:space="0" w:color="auto"/>
        <w:right w:val="none" w:sz="0" w:space="0" w:color="auto"/>
      </w:divBdr>
    </w:div>
    <w:div w:id="299310412">
      <w:bodyDiv w:val="1"/>
      <w:marLeft w:val="0"/>
      <w:marRight w:val="0"/>
      <w:marTop w:val="0"/>
      <w:marBottom w:val="0"/>
      <w:divBdr>
        <w:top w:val="none" w:sz="0" w:space="0" w:color="auto"/>
        <w:left w:val="none" w:sz="0" w:space="0" w:color="auto"/>
        <w:bottom w:val="none" w:sz="0" w:space="0" w:color="auto"/>
        <w:right w:val="none" w:sz="0" w:space="0" w:color="auto"/>
      </w:divBdr>
    </w:div>
    <w:div w:id="325791789">
      <w:bodyDiv w:val="1"/>
      <w:marLeft w:val="0"/>
      <w:marRight w:val="0"/>
      <w:marTop w:val="0"/>
      <w:marBottom w:val="0"/>
      <w:divBdr>
        <w:top w:val="none" w:sz="0" w:space="0" w:color="auto"/>
        <w:left w:val="none" w:sz="0" w:space="0" w:color="auto"/>
        <w:bottom w:val="none" w:sz="0" w:space="0" w:color="auto"/>
        <w:right w:val="none" w:sz="0" w:space="0" w:color="auto"/>
      </w:divBdr>
    </w:div>
    <w:div w:id="343942838">
      <w:bodyDiv w:val="1"/>
      <w:marLeft w:val="0"/>
      <w:marRight w:val="0"/>
      <w:marTop w:val="0"/>
      <w:marBottom w:val="0"/>
      <w:divBdr>
        <w:top w:val="none" w:sz="0" w:space="0" w:color="auto"/>
        <w:left w:val="none" w:sz="0" w:space="0" w:color="auto"/>
        <w:bottom w:val="none" w:sz="0" w:space="0" w:color="auto"/>
        <w:right w:val="none" w:sz="0" w:space="0" w:color="auto"/>
      </w:divBdr>
    </w:div>
    <w:div w:id="350421055">
      <w:bodyDiv w:val="1"/>
      <w:marLeft w:val="0"/>
      <w:marRight w:val="0"/>
      <w:marTop w:val="0"/>
      <w:marBottom w:val="0"/>
      <w:divBdr>
        <w:top w:val="none" w:sz="0" w:space="0" w:color="auto"/>
        <w:left w:val="none" w:sz="0" w:space="0" w:color="auto"/>
        <w:bottom w:val="none" w:sz="0" w:space="0" w:color="auto"/>
        <w:right w:val="none" w:sz="0" w:space="0" w:color="auto"/>
      </w:divBdr>
    </w:div>
    <w:div w:id="356781033">
      <w:bodyDiv w:val="1"/>
      <w:marLeft w:val="0"/>
      <w:marRight w:val="0"/>
      <w:marTop w:val="0"/>
      <w:marBottom w:val="0"/>
      <w:divBdr>
        <w:top w:val="none" w:sz="0" w:space="0" w:color="auto"/>
        <w:left w:val="none" w:sz="0" w:space="0" w:color="auto"/>
        <w:bottom w:val="none" w:sz="0" w:space="0" w:color="auto"/>
        <w:right w:val="none" w:sz="0" w:space="0" w:color="auto"/>
      </w:divBdr>
    </w:div>
    <w:div w:id="400253934">
      <w:bodyDiv w:val="1"/>
      <w:marLeft w:val="0"/>
      <w:marRight w:val="0"/>
      <w:marTop w:val="0"/>
      <w:marBottom w:val="0"/>
      <w:divBdr>
        <w:top w:val="none" w:sz="0" w:space="0" w:color="auto"/>
        <w:left w:val="none" w:sz="0" w:space="0" w:color="auto"/>
        <w:bottom w:val="none" w:sz="0" w:space="0" w:color="auto"/>
        <w:right w:val="none" w:sz="0" w:space="0" w:color="auto"/>
      </w:divBdr>
    </w:div>
    <w:div w:id="423378547">
      <w:bodyDiv w:val="1"/>
      <w:marLeft w:val="0"/>
      <w:marRight w:val="0"/>
      <w:marTop w:val="0"/>
      <w:marBottom w:val="0"/>
      <w:divBdr>
        <w:top w:val="none" w:sz="0" w:space="0" w:color="auto"/>
        <w:left w:val="none" w:sz="0" w:space="0" w:color="auto"/>
        <w:bottom w:val="none" w:sz="0" w:space="0" w:color="auto"/>
        <w:right w:val="none" w:sz="0" w:space="0" w:color="auto"/>
      </w:divBdr>
    </w:div>
    <w:div w:id="551356521">
      <w:bodyDiv w:val="1"/>
      <w:marLeft w:val="0"/>
      <w:marRight w:val="0"/>
      <w:marTop w:val="0"/>
      <w:marBottom w:val="0"/>
      <w:divBdr>
        <w:top w:val="none" w:sz="0" w:space="0" w:color="auto"/>
        <w:left w:val="none" w:sz="0" w:space="0" w:color="auto"/>
        <w:bottom w:val="none" w:sz="0" w:space="0" w:color="auto"/>
        <w:right w:val="none" w:sz="0" w:space="0" w:color="auto"/>
      </w:divBdr>
    </w:div>
    <w:div w:id="561135495">
      <w:bodyDiv w:val="1"/>
      <w:marLeft w:val="0"/>
      <w:marRight w:val="0"/>
      <w:marTop w:val="0"/>
      <w:marBottom w:val="0"/>
      <w:divBdr>
        <w:top w:val="none" w:sz="0" w:space="0" w:color="auto"/>
        <w:left w:val="none" w:sz="0" w:space="0" w:color="auto"/>
        <w:bottom w:val="none" w:sz="0" w:space="0" w:color="auto"/>
        <w:right w:val="none" w:sz="0" w:space="0" w:color="auto"/>
      </w:divBdr>
    </w:div>
    <w:div w:id="661323804">
      <w:bodyDiv w:val="1"/>
      <w:marLeft w:val="0"/>
      <w:marRight w:val="0"/>
      <w:marTop w:val="0"/>
      <w:marBottom w:val="0"/>
      <w:divBdr>
        <w:top w:val="none" w:sz="0" w:space="0" w:color="auto"/>
        <w:left w:val="none" w:sz="0" w:space="0" w:color="auto"/>
        <w:bottom w:val="none" w:sz="0" w:space="0" w:color="auto"/>
        <w:right w:val="none" w:sz="0" w:space="0" w:color="auto"/>
      </w:divBdr>
    </w:div>
    <w:div w:id="675574262">
      <w:bodyDiv w:val="1"/>
      <w:marLeft w:val="0"/>
      <w:marRight w:val="0"/>
      <w:marTop w:val="0"/>
      <w:marBottom w:val="0"/>
      <w:divBdr>
        <w:top w:val="none" w:sz="0" w:space="0" w:color="auto"/>
        <w:left w:val="none" w:sz="0" w:space="0" w:color="auto"/>
        <w:bottom w:val="none" w:sz="0" w:space="0" w:color="auto"/>
        <w:right w:val="none" w:sz="0" w:space="0" w:color="auto"/>
      </w:divBdr>
    </w:div>
    <w:div w:id="689794423">
      <w:bodyDiv w:val="1"/>
      <w:marLeft w:val="0"/>
      <w:marRight w:val="0"/>
      <w:marTop w:val="0"/>
      <w:marBottom w:val="0"/>
      <w:divBdr>
        <w:top w:val="none" w:sz="0" w:space="0" w:color="auto"/>
        <w:left w:val="none" w:sz="0" w:space="0" w:color="auto"/>
        <w:bottom w:val="none" w:sz="0" w:space="0" w:color="auto"/>
        <w:right w:val="none" w:sz="0" w:space="0" w:color="auto"/>
      </w:divBdr>
      <w:divsChild>
        <w:div w:id="165244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95728">
              <w:marLeft w:val="0"/>
              <w:marRight w:val="0"/>
              <w:marTop w:val="0"/>
              <w:marBottom w:val="0"/>
              <w:divBdr>
                <w:top w:val="none" w:sz="0" w:space="0" w:color="auto"/>
                <w:left w:val="none" w:sz="0" w:space="0" w:color="auto"/>
                <w:bottom w:val="none" w:sz="0" w:space="0" w:color="auto"/>
                <w:right w:val="none" w:sz="0" w:space="0" w:color="auto"/>
              </w:divBdr>
              <w:divsChild>
                <w:div w:id="232543568">
                  <w:marLeft w:val="0"/>
                  <w:marRight w:val="0"/>
                  <w:marTop w:val="0"/>
                  <w:marBottom w:val="0"/>
                  <w:divBdr>
                    <w:top w:val="none" w:sz="0" w:space="0" w:color="auto"/>
                    <w:left w:val="none" w:sz="0" w:space="0" w:color="auto"/>
                    <w:bottom w:val="none" w:sz="0" w:space="0" w:color="auto"/>
                    <w:right w:val="none" w:sz="0" w:space="0" w:color="auto"/>
                  </w:divBdr>
                  <w:divsChild>
                    <w:div w:id="1195727718">
                      <w:marLeft w:val="0"/>
                      <w:marRight w:val="0"/>
                      <w:marTop w:val="0"/>
                      <w:marBottom w:val="0"/>
                      <w:divBdr>
                        <w:top w:val="none" w:sz="0" w:space="0" w:color="auto"/>
                        <w:left w:val="none" w:sz="0" w:space="0" w:color="auto"/>
                        <w:bottom w:val="none" w:sz="0" w:space="0" w:color="auto"/>
                        <w:right w:val="none" w:sz="0" w:space="0" w:color="auto"/>
                      </w:divBdr>
                      <w:divsChild>
                        <w:div w:id="1180586625">
                          <w:marLeft w:val="0"/>
                          <w:marRight w:val="0"/>
                          <w:marTop w:val="0"/>
                          <w:marBottom w:val="0"/>
                          <w:divBdr>
                            <w:top w:val="none" w:sz="0" w:space="0" w:color="auto"/>
                            <w:left w:val="none" w:sz="0" w:space="0" w:color="auto"/>
                            <w:bottom w:val="none" w:sz="0" w:space="0" w:color="auto"/>
                            <w:right w:val="none" w:sz="0" w:space="0" w:color="auto"/>
                          </w:divBdr>
                          <w:divsChild>
                            <w:div w:id="81221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39340">
                                  <w:marLeft w:val="0"/>
                                  <w:marRight w:val="0"/>
                                  <w:marTop w:val="0"/>
                                  <w:marBottom w:val="0"/>
                                  <w:divBdr>
                                    <w:top w:val="none" w:sz="0" w:space="0" w:color="auto"/>
                                    <w:left w:val="none" w:sz="0" w:space="0" w:color="auto"/>
                                    <w:bottom w:val="none" w:sz="0" w:space="0" w:color="auto"/>
                                    <w:right w:val="none" w:sz="0" w:space="0" w:color="auto"/>
                                  </w:divBdr>
                                  <w:divsChild>
                                    <w:div w:id="609318327">
                                      <w:marLeft w:val="0"/>
                                      <w:marRight w:val="0"/>
                                      <w:marTop w:val="0"/>
                                      <w:marBottom w:val="0"/>
                                      <w:divBdr>
                                        <w:top w:val="none" w:sz="0" w:space="0" w:color="auto"/>
                                        <w:left w:val="none" w:sz="0" w:space="0" w:color="auto"/>
                                        <w:bottom w:val="none" w:sz="0" w:space="0" w:color="auto"/>
                                        <w:right w:val="none" w:sz="0" w:space="0" w:color="auto"/>
                                      </w:divBdr>
                                      <w:divsChild>
                                        <w:div w:id="1675523905">
                                          <w:marLeft w:val="0"/>
                                          <w:marRight w:val="0"/>
                                          <w:marTop w:val="0"/>
                                          <w:marBottom w:val="0"/>
                                          <w:divBdr>
                                            <w:top w:val="none" w:sz="0" w:space="0" w:color="auto"/>
                                            <w:left w:val="none" w:sz="0" w:space="0" w:color="auto"/>
                                            <w:bottom w:val="none" w:sz="0" w:space="0" w:color="auto"/>
                                            <w:right w:val="none" w:sz="0" w:space="0" w:color="auto"/>
                                          </w:divBdr>
                                          <w:divsChild>
                                            <w:div w:id="1268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03265">
      <w:bodyDiv w:val="1"/>
      <w:marLeft w:val="0"/>
      <w:marRight w:val="0"/>
      <w:marTop w:val="0"/>
      <w:marBottom w:val="0"/>
      <w:divBdr>
        <w:top w:val="none" w:sz="0" w:space="0" w:color="auto"/>
        <w:left w:val="none" w:sz="0" w:space="0" w:color="auto"/>
        <w:bottom w:val="none" w:sz="0" w:space="0" w:color="auto"/>
        <w:right w:val="none" w:sz="0" w:space="0" w:color="auto"/>
      </w:divBdr>
    </w:div>
    <w:div w:id="767430153">
      <w:bodyDiv w:val="1"/>
      <w:marLeft w:val="0"/>
      <w:marRight w:val="0"/>
      <w:marTop w:val="0"/>
      <w:marBottom w:val="0"/>
      <w:divBdr>
        <w:top w:val="none" w:sz="0" w:space="0" w:color="auto"/>
        <w:left w:val="none" w:sz="0" w:space="0" w:color="auto"/>
        <w:bottom w:val="none" w:sz="0" w:space="0" w:color="auto"/>
        <w:right w:val="none" w:sz="0" w:space="0" w:color="auto"/>
      </w:divBdr>
    </w:div>
    <w:div w:id="830096842">
      <w:bodyDiv w:val="1"/>
      <w:marLeft w:val="0"/>
      <w:marRight w:val="0"/>
      <w:marTop w:val="0"/>
      <w:marBottom w:val="0"/>
      <w:divBdr>
        <w:top w:val="none" w:sz="0" w:space="0" w:color="auto"/>
        <w:left w:val="none" w:sz="0" w:space="0" w:color="auto"/>
        <w:bottom w:val="none" w:sz="0" w:space="0" w:color="auto"/>
        <w:right w:val="none" w:sz="0" w:space="0" w:color="auto"/>
      </w:divBdr>
    </w:div>
    <w:div w:id="839006146">
      <w:bodyDiv w:val="1"/>
      <w:marLeft w:val="0"/>
      <w:marRight w:val="0"/>
      <w:marTop w:val="0"/>
      <w:marBottom w:val="0"/>
      <w:divBdr>
        <w:top w:val="none" w:sz="0" w:space="0" w:color="auto"/>
        <w:left w:val="none" w:sz="0" w:space="0" w:color="auto"/>
        <w:bottom w:val="none" w:sz="0" w:space="0" w:color="auto"/>
        <w:right w:val="none" w:sz="0" w:space="0" w:color="auto"/>
      </w:divBdr>
    </w:div>
    <w:div w:id="847476963">
      <w:bodyDiv w:val="1"/>
      <w:marLeft w:val="0"/>
      <w:marRight w:val="0"/>
      <w:marTop w:val="0"/>
      <w:marBottom w:val="0"/>
      <w:divBdr>
        <w:top w:val="none" w:sz="0" w:space="0" w:color="auto"/>
        <w:left w:val="none" w:sz="0" w:space="0" w:color="auto"/>
        <w:bottom w:val="none" w:sz="0" w:space="0" w:color="auto"/>
        <w:right w:val="none" w:sz="0" w:space="0" w:color="auto"/>
      </w:divBdr>
    </w:div>
    <w:div w:id="957301195">
      <w:bodyDiv w:val="1"/>
      <w:marLeft w:val="0"/>
      <w:marRight w:val="0"/>
      <w:marTop w:val="0"/>
      <w:marBottom w:val="0"/>
      <w:divBdr>
        <w:top w:val="none" w:sz="0" w:space="0" w:color="auto"/>
        <w:left w:val="none" w:sz="0" w:space="0" w:color="auto"/>
        <w:bottom w:val="none" w:sz="0" w:space="0" w:color="auto"/>
        <w:right w:val="none" w:sz="0" w:space="0" w:color="auto"/>
      </w:divBdr>
    </w:div>
    <w:div w:id="1006051885">
      <w:bodyDiv w:val="1"/>
      <w:marLeft w:val="0"/>
      <w:marRight w:val="0"/>
      <w:marTop w:val="0"/>
      <w:marBottom w:val="0"/>
      <w:divBdr>
        <w:top w:val="none" w:sz="0" w:space="0" w:color="auto"/>
        <w:left w:val="none" w:sz="0" w:space="0" w:color="auto"/>
        <w:bottom w:val="none" w:sz="0" w:space="0" w:color="auto"/>
        <w:right w:val="none" w:sz="0" w:space="0" w:color="auto"/>
      </w:divBdr>
    </w:div>
    <w:div w:id="1067605429">
      <w:bodyDiv w:val="1"/>
      <w:marLeft w:val="0"/>
      <w:marRight w:val="0"/>
      <w:marTop w:val="0"/>
      <w:marBottom w:val="0"/>
      <w:divBdr>
        <w:top w:val="none" w:sz="0" w:space="0" w:color="auto"/>
        <w:left w:val="none" w:sz="0" w:space="0" w:color="auto"/>
        <w:bottom w:val="none" w:sz="0" w:space="0" w:color="auto"/>
        <w:right w:val="none" w:sz="0" w:space="0" w:color="auto"/>
      </w:divBdr>
    </w:div>
    <w:div w:id="1135752961">
      <w:bodyDiv w:val="1"/>
      <w:marLeft w:val="0"/>
      <w:marRight w:val="0"/>
      <w:marTop w:val="0"/>
      <w:marBottom w:val="0"/>
      <w:divBdr>
        <w:top w:val="none" w:sz="0" w:space="0" w:color="auto"/>
        <w:left w:val="none" w:sz="0" w:space="0" w:color="auto"/>
        <w:bottom w:val="none" w:sz="0" w:space="0" w:color="auto"/>
        <w:right w:val="none" w:sz="0" w:space="0" w:color="auto"/>
      </w:divBdr>
    </w:div>
    <w:div w:id="1244029472">
      <w:bodyDiv w:val="1"/>
      <w:marLeft w:val="0"/>
      <w:marRight w:val="0"/>
      <w:marTop w:val="0"/>
      <w:marBottom w:val="0"/>
      <w:divBdr>
        <w:top w:val="none" w:sz="0" w:space="0" w:color="auto"/>
        <w:left w:val="none" w:sz="0" w:space="0" w:color="auto"/>
        <w:bottom w:val="none" w:sz="0" w:space="0" w:color="auto"/>
        <w:right w:val="none" w:sz="0" w:space="0" w:color="auto"/>
      </w:divBdr>
    </w:div>
    <w:div w:id="1245991353">
      <w:bodyDiv w:val="1"/>
      <w:marLeft w:val="0"/>
      <w:marRight w:val="0"/>
      <w:marTop w:val="0"/>
      <w:marBottom w:val="0"/>
      <w:divBdr>
        <w:top w:val="none" w:sz="0" w:space="0" w:color="auto"/>
        <w:left w:val="none" w:sz="0" w:space="0" w:color="auto"/>
        <w:bottom w:val="none" w:sz="0" w:space="0" w:color="auto"/>
        <w:right w:val="none" w:sz="0" w:space="0" w:color="auto"/>
      </w:divBdr>
    </w:div>
    <w:div w:id="1253858390">
      <w:bodyDiv w:val="1"/>
      <w:marLeft w:val="0"/>
      <w:marRight w:val="0"/>
      <w:marTop w:val="0"/>
      <w:marBottom w:val="0"/>
      <w:divBdr>
        <w:top w:val="none" w:sz="0" w:space="0" w:color="auto"/>
        <w:left w:val="none" w:sz="0" w:space="0" w:color="auto"/>
        <w:bottom w:val="none" w:sz="0" w:space="0" w:color="auto"/>
        <w:right w:val="none" w:sz="0" w:space="0" w:color="auto"/>
      </w:divBdr>
    </w:div>
    <w:div w:id="1366053221">
      <w:bodyDiv w:val="1"/>
      <w:marLeft w:val="0"/>
      <w:marRight w:val="0"/>
      <w:marTop w:val="0"/>
      <w:marBottom w:val="0"/>
      <w:divBdr>
        <w:top w:val="none" w:sz="0" w:space="0" w:color="auto"/>
        <w:left w:val="none" w:sz="0" w:space="0" w:color="auto"/>
        <w:bottom w:val="none" w:sz="0" w:space="0" w:color="auto"/>
        <w:right w:val="none" w:sz="0" w:space="0" w:color="auto"/>
      </w:divBdr>
    </w:div>
    <w:div w:id="1408261048">
      <w:bodyDiv w:val="1"/>
      <w:marLeft w:val="0"/>
      <w:marRight w:val="0"/>
      <w:marTop w:val="0"/>
      <w:marBottom w:val="0"/>
      <w:divBdr>
        <w:top w:val="none" w:sz="0" w:space="0" w:color="auto"/>
        <w:left w:val="none" w:sz="0" w:space="0" w:color="auto"/>
        <w:bottom w:val="none" w:sz="0" w:space="0" w:color="auto"/>
        <w:right w:val="none" w:sz="0" w:space="0" w:color="auto"/>
      </w:divBdr>
    </w:div>
    <w:div w:id="1442188580">
      <w:bodyDiv w:val="1"/>
      <w:marLeft w:val="0"/>
      <w:marRight w:val="0"/>
      <w:marTop w:val="0"/>
      <w:marBottom w:val="0"/>
      <w:divBdr>
        <w:top w:val="none" w:sz="0" w:space="0" w:color="auto"/>
        <w:left w:val="none" w:sz="0" w:space="0" w:color="auto"/>
        <w:bottom w:val="none" w:sz="0" w:space="0" w:color="auto"/>
        <w:right w:val="none" w:sz="0" w:space="0" w:color="auto"/>
      </w:divBdr>
    </w:div>
    <w:div w:id="1500078426">
      <w:bodyDiv w:val="1"/>
      <w:marLeft w:val="0"/>
      <w:marRight w:val="0"/>
      <w:marTop w:val="0"/>
      <w:marBottom w:val="0"/>
      <w:divBdr>
        <w:top w:val="none" w:sz="0" w:space="0" w:color="auto"/>
        <w:left w:val="none" w:sz="0" w:space="0" w:color="auto"/>
        <w:bottom w:val="none" w:sz="0" w:space="0" w:color="auto"/>
        <w:right w:val="none" w:sz="0" w:space="0" w:color="auto"/>
      </w:divBdr>
    </w:div>
    <w:div w:id="1539313193">
      <w:bodyDiv w:val="1"/>
      <w:marLeft w:val="0"/>
      <w:marRight w:val="0"/>
      <w:marTop w:val="0"/>
      <w:marBottom w:val="0"/>
      <w:divBdr>
        <w:top w:val="none" w:sz="0" w:space="0" w:color="auto"/>
        <w:left w:val="none" w:sz="0" w:space="0" w:color="auto"/>
        <w:bottom w:val="none" w:sz="0" w:space="0" w:color="auto"/>
        <w:right w:val="none" w:sz="0" w:space="0" w:color="auto"/>
      </w:divBdr>
    </w:div>
    <w:div w:id="1604917602">
      <w:bodyDiv w:val="1"/>
      <w:marLeft w:val="0"/>
      <w:marRight w:val="0"/>
      <w:marTop w:val="0"/>
      <w:marBottom w:val="0"/>
      <w:divBdr>
        <w:top w:val="none" w:sz="0" w:space="0" w:color="auto"/>
        <w:left w:val="none" w:sz="0" w:space="0" w:color="auto"/>
        <w:bottom w:val="none" w:sz="0" w:space="0" w:color="auto"/>
        <w:right w:val="none" w:sz="0" w:space="0" w:color="auto"/>
      </w:divBdr>
    </w:div>
    <w:div w:id="1665864532">
      <w:bodyDiv w:val="1"/>
      <w:marLeft w:val="0"/>
      <w:marRight w:val="0"/>
      <w:marTop w:val="0"/>
      <w:marBottom w:val="0"/>
      <w:divBdr>
        <w:top w:val="none" w:sz="0" w:space="0" w:color="auto"/>
        <w:left w:val="none" w:sz="0" w:space="0" w:color="auto"/>
        <w:bottom w:val="none" w:sz="0" w:space="0" w:color="auto"/>
        <w:right w:val="none" w:sz="0" w:space="0" w:color="auto"/>
      </w:divBdr>
    </w:div>
    <w:div w:id="1805077115">
      <w:bodyDiv w:val="1"/>
      <w:marLeft w:val="0"/>
      <w:marRight w:val="0"/>
      <w:marTop w:val="0"/>
      <w:marBottom w:val="0"/>
      <w:divBdr>
        <w:top w:val="none" w:sz="0" w:space="0" w:color="auto"/>
        <w:left w:val="none" w:sz="0" w:space="0" w:color="auto"/>
        <w:bottom w:val="none" w:sz="0" w:space="0" w:color="auto"/>
        <w:right w:val="none" w:sz="0" w:space="0" w:color="auto"/>
      </w:divBdr>
    </w:div>
    <w:div w:id="1816026759">
      <w:bodyDiv w:val="1"/>
      <w:marLeft w:val="0"/>
      <w:marRight w:val="0"/>
      <w:marTop w:val="0"/>
      <w:marBottom w:val="0"/>
      <w:divBdr>
        <w:top w:val="none" w:sz="0" w:space="0" w:color="auto"/>
        <w:left w:val="none" w:sz="0" w:space="0" w:color="auto"/>
        <w:bottom w:val="none" w:sz="0" w:space="0" w:color="auto"/>
        <w:right w:val="none" w:sz="0" w:space="0" w:color="auto"/>
      </w:divBdr>
    </w:div>
    <w:div w:id="1849059463">
      <w:bodyDiv w:val="1"/>
      <w:marLeft w:val="0"/>
      <w:marRight w:val="0"/>
      <w:marTop w:val="0"/>
      <w:marBottom w:val="0"/>
      <w:divBdr>
        <w:top w:val="none" w:sz="0" w:space="0" w:color="auto"/>
        <w:left w:val="none" w:sz="0" w:space="0" w:color="auto"/>
        <w:bottom w:val="none" w:sz="0" w:space="0" w:color="auto"/>
        <w:right w:val="none" w:sz="0" w:space="0" w:color="auto"/>
      </w:divBdr>
    </w:div>
    <w:div w:id="1889797611">
      <w:bodyDiv w:val="1"/>
      <w:marLeft w:val="0"/>
      <w:marRight w:val="0"/>
      <w:marTop w:val="0"/>
      <w:marBottom w:val="0"/>
      <w:divBdr>
        <w:top w:val="none" w:sz="0" w:space="0" w:color="auto"/>
        <w:left w:val="none" w:sz="0" w:space="0" w:color="auto"/>
        <w:bottom w:val="none" w:sz="0" w:space="0" w:color="auto"/>
        <w:right w:val="none" w:sz="0" w:space="0" w:color="auto"/>
      </w:divBdr>
    </w:div>
    <w:div w:id="1907571860">
      <w:bodyDiv w:val="1"/>
      <w:marLeft w:val="0"/>
      <w:marRight w:val="0"/>
      <w:marTop w:val="0"/>
      <w:marBottom w:val="0"/>
      <w:divBdr>
        <w:top w:val="none" w:sz="0" w:space="0" w:color="auto"/>
        <w:left w:val="none" w:sz="0" w:space="0" w:color="auto"/>
        <w:bottom w:val="none" w:sz="0" w:space="0" w:color="auto"/>
        <w:right w:val="none" w:sz="0" w:space="0" w:color="auto"/>
      </w:divBdr>
    </w:div>
    <w:div w:id="1933080363">
      <w:bodyDiv w:val="1"/>
      <w:marLeft w:val="0"/>
      <w:marRight w:val="0"/>
      <w:marTop w:val="0"/>
      <w:marBottom w:val="0"/>
      <w:divBdr>
        <w:top w:val="none" w:sz="0" w:space="0" w:color="auto"/>
        <w:left w:val="none" w:sz="0" w:space="0" w:color="auto"/>
        <w:bottom w:val="none" w:sz="0" w:space="0" w:color="auto"/>
        <w:right w:val="none" w:sz="0" w:space="0" w:color="auto"/>
      </w:divBdr>
    </w:div>
    <w:div w:id="2015763576">
      <w:bodyDiv w:val="1"/>
      <w:marLeft w:val="0"/>
      <w:marRight w:val="0"/>
      <w:marTop w:val="0"/>
      <w:marBottom w:val="0"/>
      <w:divBdr>
        <w:top w:val="none" w:sz="0" w:space="0" w:color="auto"/>
        <w:left w:val="none" w:sz="0" w:space="0" w:color="auto"/>
        <w:bottom w:val="none" w:sz="0" w:space="0" w:color="auto"/>
        <w:right w:val="none" w:sz="0" w:space="0" w:color="auto"/>
      </w:divBdr>
    </w:div>
    <w:div w:id="20319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coomd.org/en/topics/nomenclature/instrument-and-tools/tools-to-assist-with-the-classification-in-the-hs/hs-onlin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gpa.wt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time.com/5797629/health-1918-flu-epidemic/" TargetMode="External"/><Relationship Id="rId3" Type="http://schemas.openxmlformats.org/officeDocument/2006/relationships/hyperlink" Target="https://www.wto.org/english/news_e/news20_e/gpro_26feb20_e.htm" TargetMode="External"/><Relationship Id="rId7" Type="http://schemas.openxmlformats.org/officeDocument/2006/relationships/hyperlink" Target="https://www.wto.org/english/tratop_e/dispu_e/cases_e/ds2_e.htm" TargetMode="External"/><Relationship Id="rId2" Type="http://schemas.openxmlformats.org/officeDocument/2006/relationships/hyperlink" Target="https://www.who.int/ihr/publications/9789241580496/en/" TargetMode="External"/><Relationship Id="rId1" Type="http://schemas.openxmlformats.org/officeDocument/2006/relationships/hyperlink" Target="https://www.wipo.int/policy/en/global_health/trilateral_cooperation.html" TargetMode="External"/><Relationship Id="rId6" Type="http://schemas.openxmlformats.org/officeDocument/2006/relationships/hyperlink" Target="https://e-gpa.wto.org/en/ThresholdNotification/FrontPage" TargetMode="External"/><Relationship Id="rId5" Type="http://schemas.openxmlformats.org/officeDocument/2006/relationships/hyperlink" Target="https://e-gpa.wto.org/en/Help/Disclaimer" TargetMode="External"/><Relationship Id="rId10" Type="http://schemas.openxmlformats.org/officeDocument/2006/relationships/hyperlink" Target="https://www.open-contracting.org/2020/03/25/emergency-procurement-for-covid-19-buying-fast-open-and-smart/" TargetMode="External"/><Relationship Id="rId4" Type="http://schemas.openxmlformats.org/officeDocument/2006/relationships/hyperlink" Target="https://e-gpa.wto.org/en/Search" TargetMode="External"/><Relationship Id="rId9" Type="http://schemas.openxmlformats.org/officeDocument/2006/relationships/hyperlink" Target="https://www.weforum.org/agenda/2020/03/coronavirus-great-influenza-pandemic-covid19-prepared-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06D44C3A12341BABD8A060EB339DF" ma:contentTypeVersion="13" ma:contentTypeDescription="Crée un document." ma:contentTypeScope="" ma:versionID="cf4d86b396813835a9aba9cfc70cd826">
  <xsd:schema xmlns:xsd="http://www.w3.org/2001/XMLSchema" xmlns:xs="http://www.w3.org/2001/XMLSchema" xmlns:p="http://schemas.microsoft.com/office/2006/metadata/properties" xmlns:ns3="50368324-b3ce-46a4-b231-452dd25f476b" xmlns:ns4="6f83f793-14d0-43e8-bcab-e32af54937ff" targetNamespace="http://schemas.microsoft.com/office/2006/metadata/properties" ma:root="true" ma:fieldsID="7f20e009afe96e37b2d18e8f3ac134c7" ns3:_="" ns4:_="">
    <xsd:import namespace="50368324-b3ce-46a4-b231-452dd25f476b"/>
    <xsd:import namespace="6f83f793-14d0-43e8-bcab-e32af54937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8324-b3ce-46a4-b231-452dd25f4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3f793-14d0-43e8-bcab-e32af54937f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D569-6B93-4B42-B21E-2A863F39A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E4274-5361-43A3-B256-9905A779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8324-b3ce-46a4-b231-452dd25f476b"/>
    <ds:schemaRef ds:uri="6f83f793-14d0-43e8-bcab-e32af5493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69988-E197-4308-84BA-80B46093CBE7}">
  <ds:schemaRefs>
    <ds:schemaRef ds:uri="http://schemas.microsoft.com/sharepoint/v3/contenttype/forms"/>
  </ds:schemaRefs>
</ds:datastoreItem>
</file>

<file path=customXml/itemProps4.xml><?xml version="1.0" encoding="utf-8"?>
<ds:datastoreItem xmlns:ds="http://schemas.openxmlformats.org/officeDocument/2006/customXml" ds:itemID="{82B2206E-B9DA-48E6-92BD-978FC5CF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Yukins, Christopher R.</cp:lastModifiedBy>
  <cp:revision>2</cp:revision>
  <dcterms:created xsi:type="dcterms:W3CDTF">2020-04-19T17:09:00Z</dcterms:created>
  <dcterms:modified xsi:type="dcterms:W3CDTF">2020-04-19T17:09:00Z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0x01010056506D44C3A12341BABD8A060EB339DF</vt:lpwstr>
  </property>
</Properties>
</file>