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66962" w14:textId="77777777" w:rsidR="00343532" w:rsidRPr="00AB3403" w:rsidRDefault="00AB3403" w:rsidP="00CC78DA">
      <w:pPr>
        <w:jc w:val="center"/>
        <w:outlineLvl w:val="0"/>
        <w:rPr>
          <w:rFonts w:ascii="Times New Roman" w:hAnsi="Times New Roman" w:cs="Times New Roman"/>
          <w:b/>
        </w:rPr>
      </w:pPr>
      <w:r w:rsidRPr="00AB3403">
        <w:rPr>
          <w:rFonts w:ascii="Times New Roman" w:hAnsi="Times New Roman" w:cs="Times New Roman"/>
          <w:b/>
        </w:rPr>
        <w:t>Buyer Incentives and Administrative Burdens in the Commercial Platforms Initiative</w:t>
      </w:r>
      <w:r>
        <w:rPr>
          <w:rStyle w:val="FootnoteReference"/>
          <w:rFonts w:cs="Times New Roman"/>
          <w:b/>
        </w:rPr>
        <w:footnoteReference w:id="1"/>
      </w:r>
    </w:p>
    <w:p w14:paraId="79A5BABA" w14:textId="77777777" w:rsidR="00AB3403" w:rsidRPr="00AB3403" w:rsidRDefault="00AB3403" w:rsidP="00AB3403">
      <w:pPr>
        <w:jc w:val="center"/>
        <w:rPr>
          <w:rFonts w:ascii="Times New Roman" w:hAnsi="Times New Roman" w:cs="Times New Roman"/>
          <w:b/>
        </w:rPr>
      </w:pPr>
      <w:r w:rsidRPr="00AB3403">
        <w:rPr>
          <w:rFonts w:ascii="Times New Roman" w:hAnsi="Times New Roman" w:cs="Times New Roman"/>
          <w:b/>
        </w:rPr>
        <w:t>By</w:t>
      </w:r>
    </w:p>
    <w:p w14:paraId="65F96183" w14:textId="77777777" w:rsidR="00AB3403" w:rsidRDefault="00AB3403" w:rsidP="00CC78DA">
      <w:pPr>
        <w:jc w:val="center"/>
        <w:outlineLvl w:val="0"/>
        <w:rPr>
          <w:rFonts w:ascii="Times New Roman" w:hAnsi="Times New Roman" w:cs="Times New Roman"/>
        </w:rPr>
      </w:pPr>
      <w:r w:rsidRPr="00AB3403">
        <w:rPr>
          <w:rFonts w:ascii="Times New Roman" w:hAnsi="Times New Roman" w:cs="Times New Roman"/>
          <w:b/>
        </w:rPr>
        <w:t>Michael R. Tregle, Jr</w:t>
      </w:r>
      <w:r>
        <w:rPr>
          <w:rFonts w:ascii="Times New Roman" w:hAnsi="Times New Roman" w:cs="Times New Roman"/>
        </w:rPr>
        <w:t>.</w:t>
      </w:r>
      <w:r>
        <w:rPr>
          <w:rStyle w:val="FootnoteReference"/>
          <w:rFonts w:cs="Times New Roman"/>
        </w:rPr>
        <w:footnoteReference w:id="2"/>
      </w:r>
    </w:p>
    <w:p w14:paraId="2B1EC6D1" w14:textId="77777777" w:rsidR="00AB3403" w:rsidRDefault="00AB3403" w:rsidP="00AB3403">
      <w:pPr>
        <w:jc w:val="center"/>
        <w:rPr>
          <w:rFonts w:ascii="Times New Roman" w:hAnsi="Times New Roman" w:cs="Times New Roman"/>
        </w:rPr>
      </w:pPr>
    </w:p>
    <w:p w14:paraId="56BE0CCD" w14:textId="77777777" w:rsidR="00AB3403" w:rsidRDefault="00AB3403" w:rsidP="00AB3403">
      <w:pPr>
        <w:rPr>
          <w:rFonts w:ascii="Times New Roman" w:hAnsi="Times New Roman" w:cs="Times New Roman"/>
        </w:rPr>
      </w:pPr>
    </w:p>
    <w:p w14:paraId="53FDFC3F" w14:textId="75A0A432" w:rsidR="00AB3403" w:rsidRDefault="00AB3403" w:rsidP="00AB3403">
      <w:pPr>
        <w:spacing w:line="480" w:lineRule="auto"/>
        <w:ind w:firstLine="720"/>
        <w:rPr>
          <w:rFonts w:ascii="Times New Roman" w:hAnsi="Times New Roman" w:cs="Times New Roman"/>
        </w:rPr>
      </w:pPr>
      <w:r>
        <w:rPr>
          <w:rFonts w:ascii="Times New Roman" w:hAnsi="Times New Roman" w:cs="Times New Roman"/>
        </w:rPr>
        <w:t xml:space="preserve">Professor </w:t>
      </w:r>
      <w:r w:rsidR="00B211AC">
        <w:rPr>
          <w:rFonts w:ascii="Times New Roman" w:hAnsi="Times New Roman" w:cs="Times New Roman"/>
        </w:rPr>
        <w:t xml:space="preserve">Christopher </w:t>
      </w:r>
      <w:r>
        <w:rPr>
          <w:rFonts w:ascii="Times New Roman" w:hAnsi="Times New Roman" w:cs="Times New Roman"/>
        </w:rPr>
        <w:t>Yukins and his colleagues present a persuasive case for the benefits of adopting commercial platforms in government procurement.</w:t>
      </w:r>
      <w:bookmarkStart w:id="0" w:name="_Ref63239023"/>
      <w:r>
        <w:rPr>
          <w:rStyle w:val="FootnoteReference"/>
          <w:rFonts w:cs="Times New Roman"/>
        </w:rPr>
        <w:footnoteReference w:id="3"/>
      </w:r>
      <w:bookmarkEnd w:id="0"/>
      <w:r>
        <w:rPr>
          <w:rFonts w:ascii="Times New Roman" w:hAnsi="Times New Roman" w:cs="Times New Roman"/>
        </w:rPr>
        <w:t xml:space="preserve">  Analyzing the General Services Administration’s (GSA) Commercial Platforms Initiative (CPI), Yukins concludes that the initiative will help solve the agency problem,</w:t>
      </w:r>
      <w:r w:rsidR="00025FAA">
        <w:rPr>
          <w:rStyle w:val="FootnoteReference"/>
          <w:rFonts w:cs="Times New Roman"/>
        </w:rPr>
        <w:footnoteReference w:id="4"/>
      </w:r>
      <w:r>
        <w:rPr>
          <w:rFonts w:ascii="Times New Roman" w:hAnsi="Times New Roman" w:cs="Times New Roman"/>
        </w:rPr>
        <w:t xml:space="preserve"> enhance </w:t>
      </w:r>
      <w:r w:rsidR="00CC78DA">
        <w:rPr>
          <w:rFonts w:ascii="Times New Roman" w:hAnsi="Times New Roman" w:cs="Times New Roman"/>
        </w:rPr>
        <w:t>end-user</w:t>
      </w:r>
      <w:r>
        <w:rPr>
          <w:rFonts w:ascii="Times New Roman" w:hAnsi="Times New Roman" w:cs="Times New Roman"/>
        </w:rPr>
        <w:t xml:space="preserve"> satisfaction</w:t>
      </w:r>
      <w:r w:rsidR="00B211AC">
        <w:rPr>
          <w:rFonts w:ascii="Times New Roman" w:hAnsi="Times New Roman" w:cs="Times New Roman"/>
        </w:rPr>
        <w:t xml:space="preserve">, </w:t>
      </w:r>
      <w:r w:rsidR="00E86516">
        <w:rPr>
          <w:rFonts w:ascii="Times New Roman" w:hAnsi="Times New Roman" w:cs="Times New Roman"/>
        </w:rPr>
        <w:t xml:space="preserve">increase value, </w:t>
      </w:r>
      <w:r w:rsidR="00B211AC">
        <w:rPr>
          <w:rFonts w:ascii="Times New Roman" w:hAnsi="Times New Roman" w:cs="Times New Roman"/>
        </w:rPr>
        <w:t>and make better use of an overburdened acquisition workforce.</w:t>
      </w:r>
      <w:r w:rsidR="00B211AC">
        <w:rPr>
          <w:rStyle w:val="FootnoteReference"/>
          <w:rFonts w:cs="Times New Roman"/>
        </w:rPr>
        <w:footnoteReference w:id="5"/>
      </w:r>
      <w:r w:rsidR="00B211AC">
        <w:rPr>
          <w:rFonts w:ascii="Times New Roman" w:hAnsi="Times New Roman" w:cs="Times New Roman"/>
        </w:rPr>
        <w:t xml:space="preserve">  While these achievements would certainly improve efficiency</w:t>
      </w:r>
      <w:r w:rsidR="00E86516">
        <w:rPr>
          <w:rFonts w:ascii="Times New Roman" w:hAnsi="Times New Roman" w:cs="Times New Roman"/>
        </w:rPr>
        <w:t xml:space="preserve"> and reduce prices, GSA may have gone a step too </w:t>
      </w:r>
      <w:r w:rsidR="00217284">
        <w:rPr>
          <w:rFonts w:ascii="Times New Roman" w:hAnsi="Times New Roman" w:cs="Times New Roman"/>
        </w:rPr>
        <w:t>far by devolving buying authority down to</w:t>
      </w:r>
      <w:r w:rsidR="00E86516">
        <w:rPr>
          <w:rFonts w:ascii="Times New Roman" w:hAnsi="Times New Roman" w:cs="Times New Roman"/>
        </w:rPr>
        <w:t xml:space="preserve"> </w:t>
      </w:r>
      <w:r w:rsidR="00CC78DA">
        <w:rPr>
          <w:rFonts w:ascii="Times New Roman" w:hAnsi="Times New Roman" w:cs="Times New Roman"/>
        </w:rPr>
        <w:t>end-user</w:t>
      </w:r>
      <w:r w:rsidR="00E86516">
        <w:rPr>
          <w:rFonts w:ascii="Times New Roman" w:hAnsi="Times New Roman" w:cs="Times New Roman"/>
        </w:rPr>
        <w:t>s.</w:t>
      </w:r>
      <w:r w:rsidR="00E86516">
        <w:rPr>
          <w:rStyle w:val="FootnoteReference"/>
          <w:rFonts w:cs="Times New Roman"/>
        </w:rPr>
        <w:footnoteReference w:id="6"/>
      </w:r>
      <w:r w:rsidR="00E86516">
        <w:rPr>
          <w:rFonts w:ascii="Times New Roman" w:hAnsi="Times New Roman" w:cs="Times New Roman"/>
        </w:rPr>
        <w:t xml:space="preserve">  In </w:t>
      </w:r>
      <w:r w:rsidR="00CD1627">
        <w:rPr>
          <w:rFonts w:ascii="Times New Roman" w:hAnsi="Times New Roman" w:cs="Times New Roman"/>
        </w:rPr>
        <w:t xml:space="preserve">partial </w:t>
      </w:r>
      <w:r w:rsidR="00E86516">
        <w:rPr>
          <w:rFonts w:ascii="Times New Roman" w:hAnsi="Times New Roman" w:cs="Times New Roman"/>
        </w:rPr>
        <w:t>rebuttal</w:t>
      </w:r>
      <w:r w:rsidR="00CD1627">
        <w:rPr>
          <w:rFonts w:ascii="Times New Roman" w:hAnsi="Times New Roman" w:cs="Times New Roman"/>
        </w:rPr>
        <w:t xml:space="preserve"> of Professor Yukins’s conclusions</w:t>
      </w:r>
      <w:r w:rsidR="00E86516">
        <w:rPr>
          <w:rFonts w:ascii="Times New Roman" w:hAnsi="Times New Roman" w:cs="Times New Roman"/>
        </w:rPr>
        <w:t>, I will address the impact such a change may have on best value determinations and the related administrative burdens of oversight and management of the program.</w:t>
      </w:r>
      <w:r w:rsidR="0025240C">
        <w:rPr>
          <w:rFonts w:ascii="Times New Roman" w:hAnsi="Times New Roman" w:cs="Times New Roman"/>
        </w:rPr>
        <w:t xml:space="preserve">  The CPI, as currently implemented, may </w:t>
      </w:r>
      <w:r w:rsidR="009F5DEC">
        <w:rPr>
          <w:rFonts w:ascii="Times New Roman" w:hAnsi="Times New Roman" w:cs="Times New Roman"/>
        </w:rPr>
        <w:t>in fact</w:t>
      </w:r>
      <w:r w:rsidR="0025240C">
        <w:rPr>
          <w:rFonts w:ascii="Times New Roman" w:hAnsi="Times New Roman" w:cs="Times New Roman"/>
        </w:rPr>
        <w:t xml:space="preserve"> reduce overall value while increasing the risk of waste and the administrative burdens on agencies.</w:t>
      </w:r>
    </w:p>
    <w:p w14:paraId="3DFEA95A" w14:textId="3C52AD4B" w:rsidR="00CD1627" w:rsidRDefault="00CD1627" w:rsidP="00027729">
      <w:pPr>
        <w:spacing w:line="480" w:lineRule="auto"/>
        <w:ind w:firstLine="720"/>
        <w:rPr>
          <w:rFonts w:ascii="Times New Roman" w:hAnsi="Times New Roman" w:cs="Times New Roman"/>
        </w:rPr>
      </w:pPr>
      <w:r>
        <w:rPr>
          <w:rFonts w:ascii="Times New Roman" w:hAnsi="Times New Roman" w:cs="Times New Roman"/>
        </w:rPr>
        <w:lastRenderedPageBreak/>
        <w:t>GSA went well beyond its statutory mandate</w:t>
      </w:r>
      <w:r w:rsidR="00854D1F">
        <w:rPr>
          <w:rStyle w:val="FootnoteReference"/>
          <w:rFonts w:cs="Times New Roman"/>
        </w:rPr>
        <w:footnoteReference w:id="7"/>
      </w:r>
      <w:r>
        <w:rPr>
          <w:rFonts w:ascii="Times New Roman" w:hAnsi="Times New Roman" w:cs="Times New Roman"/>
        </w:rPr>
        <w:t xml:space="preserve"> by requiring that buying power under the program be shifted </w:t>
      </w:r>
      <w:r w:rsidR="00217284">
        <w:rPr>
          <w:rFonts w:ascii="Times New Roman" w:hAnsi="Times New Roman" w:cs="Times New Roman"/>
        </w:rPr>
        <w:t xml:space="preserve">from contracting officials </w:t>
      </w:r>
      <w:r>
        <w:rPr>
          <w:rFonts w:ascii="Times New Roman" w:hAnsi="Times New Roman" w:cs="Times New Roman"/>
        </w:rPr>
        <w:t xml:space="preserve">to agency </w:t>
      </w:r>
      <w:r w:rsidR="00CC78DA">
        <w:rPr>
          <w:rFonts w:ascii="Times New Roman" w:hAnsi="Times New Roman" w:cs="Times New Roman"/>
        </w:rPr>
        <w:t>end-user</w:t>
      </w:r>
      <w:r>
        <w:rPr>
          <w:rFonts w:ascii="Times New Roman" w:hAnsi="Times New Roman" w:cs="Times New Roman"/>
        </w:rPr>
        <w:t>s</w:t>
      </w:r>
      <w:r w:rsidR="00027729">
        <w:rPr>
          <w:rFonts w:ascii="Times New Roman" w:hAnsi="Times New Roman" w:cs="Times New Roman"/>
        </w:rPr>
        <w:t>, thereby reducing the agency problem and increasing user satisfaction by making agents and end-users one and the same</w:t>
      </w:r>
      <w:r>
        <w:rPr>
          <w:rFonts w:ascii="Times New Roman" w:hAnsi="Times New Roman" w:cs="Times New Roman"/>
        </w:rPr>
        <w:t>.</w:t>
      </w:r>
      <w:r w:rsidR="002223CD">
        <w:rPr>
          <w:rFonts w:ascii="Times New Roman" w:hAnsi="Times New Roman" w:cs="Times New Roman"/>
        </w:rPr>
        <w:t xml:space="preserve"> </w:t>
      </w:r>
      <w:r w:rsidR="00217284">
        <w:rPr>
          <w:rFonts w:ascii="Times New Roman" w:hAnsi="Times New Roman" w:cs="Times New Roman"/>
        </w:rPr>
        <w:t xml:space="preserve">However, this benefit is premised on the assumption that </w:t>
      </w:r>
      <w:r w:rsidR="00CC78DA">
        <w:rPr>
          <w:rFonts w:ascii="Times New Roman" w:hAnsi="Times New Roman" w:cs="Times New Roman"/>
        </w:rPr>
        <w:t>end-user</w:t>
      </w:r>
      <w:r w:rsidR="00217284">
        <w:rPr>
          <w:rFonts w:ascii="Times New Roman" w:hAnsi="Times New Roman" w:cs="Times New Roman"/>
        </w:rPr>
        <w:t>s are capable of making, and incentivized to make, appropriate best value determinations.</w:t>
      </w:r>
      <w:r w:rsidR="00027729">
        <w:rPr>
          <w:rFonts w:ascii="Times New Roman" w:hAnsi="Times New Roman" w:cs="Times New Roman"/>
        </w:rPr>
        <w:t xml:space="preserve">  </w:t>
      </w:r>
      <w:r w:rsidR="00CC3578">
        <w:rPr>
          <w:rFonts w:ascii="Times New Roman" w:hAnsi="Times New Roman" w:cs="Times New Roman"/>
        </w:rPr>
        <w:t xml:space="preserve">Yukins </w:t>
      </w:r>
      <w:r w:rsidR="00CC3578" w:rsidRPr="00CC3578">
        <w:rPr>
          <w:rFonts w:ascii="Times New Roman" w:hAnsi="Times New Roman" w:cs="Times New Roman"/>
          <w:i/>
        </w:rPr>
        <w:t>et. al</w:t>
      </w:r>
      <w:r w:rsidR="00027729">
        <w:rPr>
          <w:rFonts w:ascii="Times New Roman" w:hAnsi="Times New Roman" w:cs="Times New Roman"/>
        </w:rPr>
        <w:t xml:space="preserve"> </w:t>
      </w:r>
      <w:r w:rsidR="00CC3578">
        <w:rPr>
          <w:rFonts w:ascii="Times New Roman" w:hAnsi="Times New Roman" w:cs="Times New Roman"/>
        </w:rPr>
        <w:t>devote</w:t>
      </w:r>
      <w:r>
        <w:rPr>
          <w:rFonts w:ascii="Times New Roman" w:hAnsi="Times New Roman" w:cs="Times New Roman"/>
        </w:rPr>
        <w:t xml:space="preserve"> only a parenthetical to the </w:t>
      </w:r>
      <w:r w:rsidR="008055EE">
        <w:rPr>
          <w:rFonts w:ascii="Times New Roman" w:hAnsi="Times New Roman" w:cs="Times New Roman"/>
        </w:rPr>
        <w:t xml:space="preserve">assumption that </w:t>
      </w:r>
      <w:r w:rsidR="00CC78DA">
        <w:rPr>
          <w:rFonts w:ascii="Times New Roman" w:hAnsi="Times New Roman" w:cs="Times New Roman"/>
        </w:rPr>
        <w:t>end-user</w:t>
      </w:r>
      <w:r w:rsidR="008055EE">
        <w:rPr>
          <w:rFonts w:ascii="Times New Roman" w:hAnsi="Times New Roman" w:cs="Times New Roman"/>
        </w:rPr>
        <w:t>s will necessarily make purchases based on a determination of best value</w:t>
      </w:r>
      <w:r>
        <w:rPr>
          <w:rFonts w:ascii="Times New Roman" w:hAnsi="Times New Roman" w:cs="Times New Roman"/>
        </w:rPr>
        <w:t>.</w:t>
      </w:r>
      <w:r w:rsidR="00217284">
        <w:rPr>
          <w:rStyle w:val="FootnoteReference"/>
          <w:rFonts w:cs="Times New Roman"/>
        </w:rPr>
        <w:footnoteReference w:id="8"/>
      </w:r>
      <w:r>
        <w:rPr>
          <w:rFonts w:ascii="Times New Roman" w:hAnsi="Times New Roman" w:cs="Times New Roman"/>
        </w:rPr>
        <w:t xml:space="preserve">  The distinction between best value to the government and best value to the buyer takes on significa</w:t>
      </w:r>
      <w:r w:rsidR="00776175">
        <w:rPr>
          <w:rFonts w:ascii="Times New Roman" w:hAnsi="Times New Roman" w:cs="Times New Roman"/>
        </w:rPr>
        <w:t>nce when assessing the program’s ability to achieve its goals</w:t>
      </w:r>
      <w:r w:rsidR="00D70489">
        <w:rPr>
          <w:rFonts w:ascii="Times New Roman" w:hAnsi="Times New Roman" w:cs="Times New Roman"/>
        </w:rPr>
        <w:t>.</w:t>
      </w:r>
      <w:r w:rsidR="00BF46C6">
        <w:rPr>
          <w:rFonts w:ascii="Times New Roman" w:hAnsi="Times New Roman" w:cs="Times New Roman"/>
        </w:rPr>
        <w:t xml:space="preserve">  In many cases, there could be a significant disconnect between a best value outcome for the government as a whole and the best value outcome for the individual user.</w:t>
      </w:r>
    </w:p>
    <w:p w14:paraId="66B6974A" w14:textId="117E7BE2" w:rsidR="0025240C" w:rsidRDefault="0025240C" w:rsidP="00AB3403">
      <w:pPr>
        <w:spacing w:line="480" w:lineRule="auto"/>
        <w:ind w:firstLine="720"/>
        <w:rPr>
          <w:rFonts w:ascii="Times New Roman" w:hAnsi="Times New Roman" w:cs="Times New Roman"/>
        </w:rPr>
      </w:pPr>
      <w:r>
        <w:rPr>
          <w:rFonts w:ascii="Times New Roman" w:hAnsi="Times New Roman" w:cs="Times New Roman"/>
        </w:rPr>
        <w:t xml:space="preserve">In a separate work, co-author Abraham Young </w:t>
      </w:r>
      <w:r w:rsidR="00A244EA">
        <w:rPr>
          <w:rFonts w:ascii="Times New Roman" w:hAnsi="Times New Roman" w:cs="Times New Roman"/>
        </w:rPr>
        <w:t>illustrates</w:t>
      </w:r>
      <w:r>
        <w:rPr>
          <w:rFonts w:ascii="Times New Roman" w:hAnsi="Times New Roman" w:cs="Times New Roman"/>
        </w:rPr>
        <w:t xml:space="preserve"> the </w:t>
      </w:r>
      <w:r w:rsidR="00A244EA">
        <w:rPr>
          <w:rFonts w:ascii="Times New Roman" w:hAnsi="Times New Roman" w:cs="Times New Roman"/>
        </w:rPr>
        <w:t xml:space="preserve">divide between procurement officials and end-users with the </w:t>
      </w:r>
      <w:r>
        <w:rPr>
          <w:rFonts w:ascii="Times New Roman" w:hAnsi="Times New Roman" w:cs="Times New Roman"/>
        </w:rPr>
        <w:t>example of a young U.S. Army soldier</w:t>
      </w:r>
      <w:r w:rsidR="00A244EA">
        <w:rPr>
          <w:rFonts w:ascii="Times New Roman" w:hAnsi="Times New Roman" w:cs="Times New Roman"/>
        </w:rPr>
        <w:t xml:space="preserve"> purchasing combat boots from a commercial e-commerce platform with personal funds.</w:t>
      </w:r>
      <w:r w:rsidR="00A244EA">
        <w:rPr>
          <w:rStyle w:val="FootnoteReference"/>
          <w:rFonts w:cs="Times New Roman"/>
        </w:rPr>
        <w:footnoteReference w:id="9"/>
      </w:r>
      <w:r w:rsidR="00A244EA">
        <w:rPr>
          <w:rFonts w:ascii="Times New Roman" w:hAnsi="Times New Roman" w:cs="Times New Roman"/>
        </w:rPr>
        <w:t xml:space="preserve">  Because the contracting official who purchased the boots does not have a</w:t>
      </w:r>
      <w:r w:rsidR="00F72187">
        <w:rPr>
          <w:rFonts w:ascii="Times New Roman" w:hAnsi="Times New Roman" w:cs="Times New Roman"/>
        </w:rPr>
        <w:t>n effective</w:t>
      </w:r>
      <w:r w:rsidR="00A244EA">
        <w:rPr>
          <w:rFonts w:ascii="Times New Roman" w:hAnsi="Times New Roman" w:cs="Times New Roman"/>
        </w:rPr>
        <w:t xml:space="preserve"> feedback mechanism with which to assess the soldier’s satisfaction</w:t>
      </w:r>
      <w:r w:rsidR="00F72187">
        <w:rPr>
          <w:rFonts w:ascii="Times New Roman" w:hAnsi="Times New Roman" w:cs="Times New Roman"/>
        </w:rPr>
        <w:t>, the government-procured boots that were issued to the soldier are not satisfactory for their intended purposes.  As a result, the soldier uses her own money to purchase commercially available boots that better meet her needs</w:t>
      </w:r>
      <w:r w:rsidR="00776175">
        <w:rPr>
          <w:rFonts w:ascii="Times New Roman" w:hAnsi="Times New Roman" w:cs="Times New Roman"/>
        </w:rPr>
        <w:t xml:space="preserve">, while </w:t>
      </w:r>
      <w:r w:rsidR="00F72187">
        <w:rPr>
          <w:rFonts w:ascii="Times New Roman" w:hAnsi="Times New Roman" w:cs="Times New Roman"/>
        </w:rPr>
        <w:t xml:space="preserve">the government-procured boots sit unused as </w:t>
      </w:r>
      <w:r w:rsidR="00027729">
        <w:rPr>
          <w:rFonts w:ascii="Times New Roman" w:hAnsi="Times New Roman" w:cs="Times New Roman"/>
        </w:rPr>
        <w:t>an ultimately</w:t>
      </w:r>
      <w:r w:rsidR="00F72187">
        <w:rPr>
          <w:rFonts w:ascii="Times New Roman" w:hAnsi="Times New Roman" w:cs="Times New Roman"/>
        </w:rPr>
        <w:t xml:space="preserve"> wasteful purchase.  The CPI’s solution is to remove the procurement official from the equation.  </w:t>
      </w:r>
    </w:p>
    <w:p w14:paraId="7FE4D4C4" w14:textId="7833D991" w:rsidR="00C53127" w:rsidRDefault="00F72187" w:rsidP="00AB3403">
      <w:pPr>
        <w:spacing w:line="480" w:lineRule="auto"/>
        <w:ind w:firstLine="720"/>
        <w:rPr>
          <w:rFonts w:ascii="Times New Roman" w:hAnsi="Times New Roman" w:cs="Times New Roman"/>
        </w:rPr>
      </w:pPr>
      <w:r>
        <w:rPr>
          <w:rFonts w:ascii="Times New Roman" w:hAnsi="Times New Roman" w:cs="Times New Roman"/>
        </w:rPr>
        <w:t xml:space="preserve">While this approach will </w:t>
      </w:r>
      <w:r w:rsidR="00027729">
        <w:rPr>
          <w:rFonts w:ascii="Times New Roman" w:hAnsi="Times New Roman" w:cs="Times New Roman"/>
        </w:rPr>
        <w:t>likely</w:t>
      </w:r>
      <w:r>
        <w:rPr>
          <w:rFonts w:ascii="Times New Roman" w:hAnsi="Times New Roman" w:cs="Times New Roman"/>
        </w:rPr>
        <w:t xml:space="preserve"> enhance the soldier’s satisfaction with the </w:t>
      </w:r>
      <w:r w:rsidR="00027729">
        <w:rPr>
          <w:rFonts w:ascii="Times New Roman" w:hAnsi="Times New Roman" w:cs="Times New Roman"/>
        </w:rPr>
        <w:t xml:space="preserve">government-purchased </w:t>
      </w:r>
      <w:r>
        <w:rPr>
          <w:rFonts w:ascii="Times New Roman" w:hAnsi="Times New Roman" w:cs="Times New Roman"/>
        </w:rPr>
        <w:t xml:space="preserve">boots, it does not necessarily flow that such an outcome will represent the best value to the government.  </w:t>
      </w:r>
      <w:r w:rsidR="00D67A89">
        <w:rPr>
          <w:rFonts w:ascii="Times New Roman" w:hAnsi="Times New Roman" w:cs="Times New Roman"/>
        </w:rPr>
        <w:t>Unlike procurement officials, y</w:t>
      </w:r>
      <w:r w:rsidR="00CC78DA">
        <w:rPr>
          <w:rFonts w:ascii="Times New Roman" w:hAnsi="Times New Roman" w:cs="Times New Roman"/>
        </w:rPr>
        <w:t>oung soldie</w:t>
      </w:r>
      <w:r w:rsidR="0090307A">
        <w:rPr>
          <w:rFonts w:ascii="Times New Roman" w:hAnsi="Times New Roman" w:cs="Times New Roman"/>
        </w:rPr>
        <w:t>rs or other</w:t>
      </w:r>
      <w:r w:rsidR="00CC78DA">
        <w:rPr>
          <w:rFonts w:ascii="Times New Roman" w:hAnsi="Times New Roman" w:cs="Times New Roman"/>
        </w:rPr>
        <w:t xml:space="preserve"> agency end-</w:t>
      </w:r>
      <w:r w:rsidR="0090307A">
        <w:rPr>
          <w:rFonts w:ascii="Times New Roman" w:hAnsi="Times New Roman" w:cs="Times New Roman"/>
        </w:rPr>
        <w:t>users</w:t>
      </w:r>
      <w:r w:rsidR="00CC78DA">
        <w:rPr>
          <w:rFonts w:ascii="Times New Roman" w:hAnsi="Times New Roman" w:cs="Times New Roman"/>
        </w:rPr>
        <w:t xml:space="preserve"> are not well trained or conditioned to analyze acquisitions in the context of good stewardship of public funds or protection of the public fisc.</w:t>
      </w:r>
      <w:r w:rsidR="00D67A89">
        <w:rPr>
          <w:rFonts w:ascii="Times New Roman" w:hAnsi="Times New Roman" w:cs="Times New Roman"/>
        </w:rPr>
        <w:t xml:space="preserve">  </w:t>
      </w:r>
      <w:r w:rsidR="0090307A">
        <w:rPr>
          <w:rFonts w:ascii="Times New Roman" w:hAnsi="Times New Roman" w:cs="Times New Roman"/>
        </w:rPr>
        <w:t xml:space="preserve">Empowering end-users to make purchasing decisions using someone else’s money will, in fact, reduce the incentives to maximize value and spend responsibly that are intrinsic to personal expenditures.  </w:t>
      </w:r>
      <w:r w:rsidR="00C85B40">
        <w:rPr>
          <w:rFonts w:ascii="Times New Roman" w:hAnsi="Times New Roman" w:cs="Times New Roman"/>
        </w:rPr>
        <w:t>Instead, end-users are likely to regularly choose more expensive options</w:t>
      </w:r>
      <w:r w:rsidR="00687C1D">
        <w:rPr>
          <w:rFonts w:ascii="Times New Roman" w:hAnsi="Times New Roman" w:cs="Times New Roman"/>
        </w:rPr>
        <w:t xml:space="preserve"> under the belief, however flawed, that higher price represents higher quality.</w:t>
      </w:r>
      <w:r w:rsidR="00C53127">
        <w:rPr>
          <w:rFonts w:ascii="Times New Roman" w:hAnsi="Times New Roman" w:cs="Times New Roman"/>
        </w:rPr>
        <w:t xml:space="preserve">  </w:t>
      </w:r>
    </w:p>
    <w:p w14:paraId="4601329C" w14:textId="7F718B9A" w:rsidR="00DE3A5A" w:rsidRDefault="00C53127" w:rsidP="00AB3403">
      <w:pPr>
        <w:spacing w:line="480" w:lineRule="auto"/>
        <w:ind w:firstLine="720"/>
        <w:rPr>
          <w:rFonts w:ascii="Times New Roman" w:hAnsi="Times New Roman" w:cs="Times New Roman"/>
        </w:rPr>
      </w:pPr>
      <w:r>
        <w:rPr>
          <w:rFonts w:ascii="Times New Roman" w:hAnsi="Times New Roman" w:cs="Times New Roman"/>
        </w:rPr>
        <w:t>Taking the boots example a step further, the soldier</w:t>
      </w:r>
      <w:r w:rsidR="0090307A">
        <w:rPr>
          <w:rFonts w:ascii="Times New Roman" w:hAnsi="Times New Roman" w:cs="Times New Roman"/>
        </w:rPr>
        <w:t xml:space="preserve"> </w:t>
      </w:r>
      <w:r>
        <w:rPr>
          <w:rFonts w:ascii="Times New Roman" w:hAnsi="Times New Roman" w:cs="Times New Roman"/>
        </w:rPr>
        <w:t>may elect to purchase boots because they are lighter and more comfortable.  The purchase represents the best value at the price for the soldier’s perceived needs.  However, those boots may not</w:t>
      </w:r>
      <w:r w:rsidR="0090307A">
        <w:rPr>
          <w:rFonts w:ascii="Times New Roman" w:hAnsi="Times New Roman" w:cs="Times New Roman"/>
        </w:rPr>
        <w:t xml:space="preserve"> </w:t>
      </w:r>
      <w:r>
        <w:rPr>
          <w:rFonts w:ascii="Times New Roman" w:hAnsi="Times New Roman" w:cs="Times New Roman"/>
        </w:rPr>
        <w:t>be as durable as another option</w:t>
      </w:r>
      <w:r w:rsidR="00776175">
        <w:rPr>
          <w:rFonts w:ascii="Times New Roman" w:hAnsi="Times New Roman" w:cs="Times New Roman"/>
        </w:rPr>
        <w:t xml:space="preserve"> and will have to be replaced more often</w:t>
      </w:r>
      <w:r>
        <w:rPr>
          <w:rFonts w:ascii="Times New Roman" w:hAnsi="Times New Roman" w:cs="Times New Roman"/>
        </w:rPr>
        <w:t xml:space="preserve">.  </w:t>
      </w:r>
      <w:r w:rsidR="00776175">
        <w:rPr>
          <w:rFonts w:ascii="Times New Roman" w:hAnsi="Times New Roman" w:cs="Times New Roman"/>
        </w:rPr>
        <w:t>Buying</w:t>
      </w:r>
      <w:r>
        <w:rPr>
          <w:rFonts w:ascii="Times New Roman" w:hAnsi="Times New Roman" w:cs="Times New Roman"/>
        </w:rPr>
        <w:t xml:space="preserve"> the lighter boots more frequently</w:t>
      </w:r>
      <w:r w:rsidR="00776175">
        <w:rPr>
          <w:rFonts w:ascii="Times New Roman" w:hAnsi="Times New Roman" w:cs="Times New Roman"/>
        </w:rPr>
        <w:t xml:space="preserve"> will result</w:t>
      </w:r>
      <w:r>
        <w:rPr>
          <w:rFonts w:ascii="Times New Roman" w:hAnsi="Times New Roman" w:cs="Times New Roman"/>
        </w:rPr>
        <w:t xml:space="preserve"> in an overall greater expense to the government </w:t>
      </w:r>
      <w:r w:rsidR="00776175">
        <w:rPr>
          <w:rFonts w:ascii="Times New Roman" w:hAnsi="Times New Roman" w:cs="Times New Roman"/>
        </w:rPr>
        <w:t xml:space="preserve">over time </w:t>
      </w:r>
      <w:r>
        <w:rPr>
          <w:rFonts w:ascii="Times New Roman" w:hAnsi="Times New Roman" w:cs="Times New Roman"/>
        </w:rPr>
        <w:t xml:space="preserve">for a product that is inferior in </w:t>
      </w:r>
      <w:r w:rsidR="00027729">
        <w:rPr>
          <w:rFonts w:ascii="Times New Roman" w:hAnsi="Times New Roman" w:cs="Times New Roman"/>
        </w:rPr>
        <w:t>overall quality</w:t>
      </w:r>
      <w:r>
        <w:rPr>
          <w:rFonts w:ascii="Times New Roman" w:hAnsi="Times New Roman" w:cs="Times New Roman"/>
        </w:rPr>
        <w:t xml:space="preserve">.  Even assuming the end-user makes a less expensive purchase in the interest of fiscal responsibility, the overall cost to the government is greater, and value lower, since more frequent purchases will result in higher </w:t>
      </w:r>
      <w:r w:rsidR="00DE3A5A">
        <w:rPr>
          <w:rFonts w:ascii="Times New Roman" w:hAnsi="Times New Roman" w:cs="Times New Roman"/>
        </w:rPr>
        <w:t xml:space="preserve">overall </w:t>
      </w:r>
      <w:r>
        <w:rPr>
          <w:rFonts w:ascii="Times New Roman" w:hAnsi="Times New Roman" w:cs="Times New Roman"/>
        </w:rPr>
        <w:t>costs</w:t>
      </w:r>
      <w:r w:rsidR="00776175">
        <w:rPr>
          <w:rFonts w:ascii="Times New Roman" w:hAnsi="Times New Roman" w:cs="Times New Roman"/>
        </w:rPr>
        <w:t xml:space="preserve"> and waste</w:t>
      </w:r>
      <w:r>
        <w:rPr>
          <w:rFonts w:ascii="Times New Roman" w:hAnsi="Times New Roman" w:cs="Times New Roman"/>
        </w:rPr>
        <w:t>.</w:t>
      </w:r>
      <w:r w:rsidR="00DE3A5A">
        <w:rPr>
          <w:rFonts w:ascii="Times New Roman" w:hAnsi="Times New Roman" w:cs="Times New Roman"/>
        </w:rPr>
        <w:t xml:space="preserve">  </w:t>
      </w:r>
      <w:r w:rsidR="00776175">
        <w:rPr>
          <w:rFonts w:ascii="Times New Roman" w:hAnsi="Times New Roman" w:cs="Times New Roman"/>
        </w:rPr>
        <w:t xml:space="preserve">Choosing more durable boots, even if a less attractive option to the soldier, results in less frequent purchases that reduce overall cost to the government.  </w:t>
      </w:r>
      <w:r w:rsidR="00DE3A5A">
        <w:rPr>
          <w:rFonts w:ascii="Times New Roman" w:hAnsi="Times New Roman" w:cs="Times New Roman"/>
        </w:rPr>
        <w:t>Disinterested procurement officials are, by nature and training,</w:t>
      </w:r>
      <w:r>
        <w:rPr>
          <w:rFonts w:ascii="Times New Roman" w:hAnsi="Times New Roman" w:cs="Times New Roman"/>
        </w:rPr>
        <w:t xml:space="preserve"> </w:t>
      </w:r>
      <w:r w:rsidR="00DE3A5A">
        <w:rPr>
          <w:rFonts w:ascii="Times New Roman" w:hAnsi="Times New Roman" w:cs="Times New Roman"/>
        </w:rPr>
        <w:t xml:space="preserve">better suited to evaluate this overall value determination than end-users precisely because they see a greater breadth and depth of acquisitions.  </w:t>
      </w:r>
    </w:p>
    <w:p w14:paraId="666F4A6E" w14:textId="77777777" w:rsidR="00776175" w:rsidRDefault="00DE3A5A" w:rsidP="00776175">
      <w:pPr>
        <w:spacing w:line="480" w:lineRule="auto"/>
        <w:ind w:firstLine="720"/>
        <w:rPr>
          <w:rFonts w:ascii="Times New Roman" w:hAnsi="Times New Roman" w:cs="Times New Roman"/>
        </w:rPr>
      </w:pPr>
      <w:r>
        <w:rPr>
          <w:rFonts w:ascii="Times New Roman" w:hAnsi="Times New Roman" w:cs="Times New Roman"/>
        </w:rPr>
        <w:t>To combat this problem and better ensure end-users properly evaluate best value and avoid wasteful spending, agencies will have to implement or enhance oversight and management systems for CPI procurements.  Thus, the perceived benefit of relieving the acquisition workforce</w:t>
      </w:r>
      <w:r w:rsidR="00C53127">
        <w:rPr>
          <w:rFonts w:ascii="Times New Roman" w:hAnsi="Times New Roman" w:cs="Times New Roman"/>
        </w:rPr>
        <w:t xml:space="preserve"> </w:t>
      </w:r>
      <w:r>
        <w:rPr>
          <w:rFonts w:ascii="Times New Roman" w:hAnsi="Times New Roman" w:cs="Times New Roman"/>
        </w:rPr>
        <w:t xml:space="preserve">of oversight and management of smaller purchases made </w:t>
      </w:r>
      <w:r w:rsidR="00776175">
        <w:rPr>
          <w:rFonts w:ascii="Times New Roman" w:hAnsi="Times New Roman" w:cs="Times New Roman"/>
        </w:rPr>
        <w:t>under CPI really only shifts that</w:t>
      </w:r>
      <w:r>
        <w:rPr>
          <w:rFonts w:ascii="Times New Roman" w:hAnsi="Times New Roman" w:cs="Times New Roman"/>
        </w:rPr>
        <w:t xml:space="preserve"> burden to agencies that are less qualified </w:t>
      </w:r>
      <w:r w:rsidR="00152156">
        <w:rPr>
          <w:rFonts w:ascii="Times New Roman" w:hAnsi="Times New Roman" w:cs="Times New Roman"/>
        </w:rPr>
        <w:t xml:space="preserve">or resourced </w:t>
      </w:r>
      <w:r>
        <w:rPr>
          <w:rFonts w:ascii="Times New Roman" w:hAnsi="Times New Roman" w:cs="Times New Roman"/>
        </w:rPr>
        <w:t>to meet it.</w:t>
      </w:r>
      <w:r w:rsidR="00152156">
        <w:rPr>
          <w:rFonts w:ascii="Times New Roman" w:hAnsi="Times New Roman" w:cs="Times New Roman"/>
        </w:rPr>
        <w:t xml:space="preserve">  Since CPI purchases are limited to the micro-purchase threshold and intended to be made using existing Government Purchase Card (GPC)</w:t>
      </w:r>
      <w:r w:rsidR="00C07645">
        <w:rPr>
          <w:rFonts w:ascii="Times New Roman" w:hAnsi="Times New Roman" w:cs="Times New Roman"/>
        </w:rPr>
        <w:t xml:space="preserve"> programs,</w:t>
      </w:r>
      <w:r w:rsidR="002C1A03">
        <w:rPr>
          <w:rStyle w:val="FootnoteReference"/>
          <w:rFonts w:cs="Times New Roman"/>
        </w:rPr>
        <w:footnoteReference w:id="10"/>
      </w:r>
      <w:r w:rsidR="00C07645">
        <w:rPr>
          <w:rFonts w:ascii="Times New Roman" w:hAnsi="Times New Roman" w:cs="Times New Roman"/>
        </w:rPr>
        <w:t xml:space="preserve"> one solution might be to limit CPI access to existing GPC holders.  However, </w:t>
      </w:r>
      <w:r w:rsidR="002C1A03">
        <w:rPr>
          <w:rFonts w:ascii="Times New Roman" w:hAnsi="Times New Roman" w:cs="Times New Roman"/>
        </w:rPr>
        <w:t xml:space="preserve">assuming the intent is not to issue GPCs to every end user, </w:t>
      </w:r>
      <w:r w:rsidR="00C07645">
        <w:rPr>
          <w:rFonts w:ascii="Times New Roman" w:hAnsi="Times New Roman" w:cs="Times New Roman"/>
        </w:rPr>
        <w:t>that approach forfeits the CPI goal of marrying the agent and end-user into the same person.  Instead, the agency problem shifts to the individual agenc</w:t>
      </w:r>
      <w:r w:rsidR="002C1A03">
        <w:rPr>
          <w:rFonts w:ascii="Times New Roman" w:hAnsi="Times New Roman" w:cs="Times New Roman"/>
        </w:rPr>
        <w:t>y GPC holders</w:t>
      </w:r>
      <w:r w:rsidR="00C07645">
        <w:rPr>
          <w:rFonts w:ascii="Times New Roman" w:hAnsi="Times New Roman" w:cs="Times New Roman"/>
        </w:rPr>
        <w:t>.  While agency GPC holders may be closer to end-users than procurement officials, thereby reducing the feedback gap, the</w:t>
      </w:r>
      <w:r w:rsidR="005071B0">
        <w:rPr>
          <w:rFonts w:ascii="Times New Roman" w:hAnsi="Times New Roman" w:cs="Times New Roman"/>
        </w:rPr>
        <w:t xml:space="preserve"> satisfaction</w:t>
      </w:r>
      <w:r w:rsidR="00C07645">
        <w:rPr>
          <w:rFonts w:ascii="Times New Roman" w:hAnsi="Times New Roman" w:cs="Times New Roman"/>
        </w:rPr>
        <w:t xml:space="preserve"> problem still remains, especially considering the potential size and scope of </w:t>
      </w:r>
      <w:r w:rsidR="00776175">
        <w:rPr>
          <w:rFonts w:ascii="Times New Roman" w:hAnsi="Times New Roman" w:cs="Times New Roman"/>
        </w:rPr>
        <w:t xml:space="preserve">the </w:t>
      </w:r>
      <w:r w:rsidR="00C07645">
        <w:rPr>
          <w:rFonts w:ascii="Times New Roman" w:hAnsi="Times New Roman" w:cs="Times New Roman"/>
        </w:rPr>
        <w:t>organization for which a GPC holder may be responsible.</w:t>
      </w:r>
      <w:r w:rsidR="002C1A03">
        <w:rPr>
          <w:rFonts w:ascii="Times New Roman" w:hAnsi="Times New Roman" w:cs="Times New Roman"/>
        </w:rPr>
        <w:t xml:space="preserve">  </w:t>
      </w:r>
    </w:p>
    <w:p w14:paraId="3F7A0977" w14:textId="687C06F0" w:rsidR="00F72187" w:rsidRDefault="002C1A03" w:rsidP="00776175">
      <w:pPr>
        <w:spacing w:line="480" w:lineRule="auto"/>
        <w:ind w:firstLine="720"/>
        <w:rPr>
          <w:rFonts w:ascii="Times New Roman" w:hAnsi="Times New Roman" w:cs="Times New Roman"/>
        </w:rPr>
      </w:pPr>
      <w:r>
        <w:rPr>
          <w:rFonts w:ascii="Times New Roman" w:hAnsi="Times New Roman" w:cs="Times New Roman"/>
        </w:rPr>
        <w:t>Alternatively, GPC holders may be required to review and approve end-user purchases before</w:t>
      </w:r>
      <w:r w:rsidR="00FD3F52">
        <w:rPr>
          <w:rFonts w:ascii="Times New Roman" w:hAnsi="Times New Roman" w:cs="Times New Roman"/>
        </w:rPr>
        <w:t xml:space="preserve"> they are finalized.  </w:t>
      </w:r>
      <w:r w:rsidR="00140786">
        <w:rPr>
          <w:rFonts w:ascii="Times New Roman" w:hAnsi="Times New Roman" w:cs="Times New Roman"/>
        </w:rPr>
        <w:t xml:space="preserve">Using a central billing model, end-users could be authorized to place purchase requests </w:t>
      </w:r>
      <w:bookmarkStart w:id="1" w:name="_GoBack"/>
      <w:bookmarkEnd w:id="1"/>
      <w:r w:rsidR="00140786">
        <w:rPr>
          <w:rFonts w:ascii="Times New Roman" w:hAnsi="Times New Roman" w:cs="Times New Roman"/>
        </w:rPr>
        <w:t xml:space="preserve">directly on the e-commerce platform that must then be approved by GPC holders before the order is filled.  </w:t>
      </w:r>
      <w:r w:rsidR="00FD3F52">
        <w:rPr>
          <w:rFonts w:ascii="Times New Roman" w:hAnsi="Times New Roman" w:cs="Times New Roman"/>
        </w:rPr>
        <w:t>While this approach still allows the end users to make purchases that directly meet their needs, it increases the management and oversight responsibilities, and associated costs, of the GPC holders.  Indeed, it effectively shifts the oversight and management burdens that CPI seeks to remove from procurement officials to GPC holders that are not trained or resourced to meet them.</w:t>
      </w:r>
    </w:p>
    <w:p w14:paraId="16269F35" w14:textId="4842315F" w:rsidR="00FD3F52" w:rsidRPr="00AB3403" w:rsidRDefault="00FD3F52" w:rsidP="002C1A03">
      <w:pPr>
        <w:spacing w:line="480" w:lineRule="auto"/>
        <w:ind w:firstLine="720"/>
        <w:rPr>
          <w:rFonts w:ascii="Times New Roman" w:hAnsi="Times New Roman" w:cs="Times New Roman"/>
        </w:rPr>
      </w:pPr>
      <w:r>
        <w:rPr>
          <w:rFonts w:ascii="Times New Roman" w:hAnsi="Times New Roman" w:cs="Times New Roman"/>
        </w:rPr>
        <w:t xml:space="preserve">Thus, while CPI is a promising attempt to reduce the agency problem, enhance user satisfaction, increase efficiency, and reduce cost, it is not without risk.  By shifting buying authority to end-users who are ill-suited to evaluate best value for the government, CPI risks overall decreases in value for money and </w:t>
      </w:r>
      <w:r w:rsidR="00902479">
        <w:rPr>
          <w:rFonts w:ascii="Times New Roman" w:hAnsi="Times New Roman" w:cs="Times New Roman"/>
        </w:rPr>
        <w:t>increases in the risk of</w:t>
      </w:r>
      <w:r>
        <w:rPr>
          <w:rFonts w:ascii="Times New Roman" w:hAnsi="Times New Roman" w:cs="Times New Roman"/>
        </w:rPr>
        <w:t xml:space="preserve"> waste.  To combat this, additional time, manpower, and resources will be necessary to establish or enhance management and oversight mechanisms at the agencies to ensure end-users are indeed making best value purchases.  As a result, rather than eliminating these administrative costs, CPI simply shifts them from procurement officials to agencies. </w:t>
      </w:r>
    </w:p>
    <w:sectPr w:rsidR="00FD3F52" w:rsidRPr="00AB3403" w:rsidSect="00FD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A73F" w14:textId="77777777" w:rsidR="00036688" w:rsidRDefault="00036688" w:rsidP="00AB3403">
      <w:r>
        <w:separator/>
      </w:r>
    </w:p>
  </w:endnote>
  <w:endnote w:type="continuationSeparator" w:id="0">
    <w:p w14:paraId="24934DC6" w14:textId="77777777" w:rsidR="00036688" w:rsidRDefault="00036688" w:rsidP="00A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C55A" w14:textId="77777777" w:rsidR="00036688" w:rsidRDefault="00036688" w:rsidP="00AB3403">
      <w:r>
        <w:separator/>
      </w:r>
    </w:p>
  </w:footnote>
  <w:footnote w:type="continuationSeparator" w:id="0">
    <w:p w14:paraId="198B85BD" w14:textId="77777777" w:rsidR="00036688" w:rsidRDefault="00036688" w:rsidP="00AB3403">
      <w:r>
        <w:continuationSeparator/>
      </w:r>
    </w:p>
  </w:footnote>
  <w:footnote w:id="1">
    <w:p w14:paraId="588D3263" w14:textId="77777777" w:rsidR="00AB3403" w:rsidRPr="00AB3403" w:rsidRDefault="00AB3403">
      <w:pPr>
        <w:pStyle w:val="FootnoteText"/>
        <w:rPr>
          <w:rStyle w:val="FootnoteReference"/>
        </w:rPr>
      </w:pPr>
      <w:r>
        <w:rPr>
          <w:rStyle w:val="FootnoteReference"/>
        </w:rPr>
        <w:footnoteRef/>
      </w:r>
      <w:r>
        <w:t xml:space="preserve"> This paper was prepared in partial completion of the requirements for an LL.M. in Government Procurement Law from The George Washington University Law School.</w:t>
      </w:r>
    </w:p>
  </w:footnote>
  <w:footnote w:id="2">
    <w:p w14:paraId="3BD2DF33" w14:textId="77777777" w:rsidR="00AB3403" w:rsidRDefault="00AB3403">
      <w:pPr>
        <w:pStyle w:val="FootnoteText"/>
      </w:pPr>
      <w:r>
        <w:rPr>
          <w:rStyle w:val="FootnoteReference"/>
        </w:rPr>
        <w:footnoteRef/>
      </w:r>
      <w:r>
        <w:t xml:space="preserve"> Michael R. Tregle, Jr. is a Judge Advocate in the United States Army.  All views expressed are those of the author and do not reflect the official policy or position of the United States Army, the United States Department of Defense, or the United States Government.</w:t>
      </w:r>
    </w:p>
  </w:footnote>
  <w:footnote w:id="3">
    <w:p w14:paraId="23C97C33" w14:textId="77777777" w:rsidR="00AB3403" w:rsidRPr="00AB3403" w:rsidRDefault="00AB3403">
      <w:pPr>
        <w:pStyle w:val="FootnoteText"/>
      </w:pPr>
      <w:r>
        <w:rPr>
          <w:rStyle w:val="FootnoteReference"/>
        </w:rPr>
        <w:footnoteRef/>
      </w:r>
      <w:r>
        <w:t xml:space="preserve"> </w:t>
      </w:r>
      <w:r>
        <w:rPr>
          <w:i/>
        </w:rPr>
        <w:t xml:space="preserve">See generally </w:t>
      </w:r>
      <w:r w:rsidRPr="00727C1E">
        <w:rPr>
          <w:rFonts w:cs="Times New Roman"/>
        </w:rPr>
        <w:t xml:space="preserve">Christopher Yukins, Abraham Young, Kristen Ittig, &amp; Eric Valle, </w:t>
      </w:r>
      <w:r w:rsidRPr="00727C1E">
        <w:rPr>
          <w:rFonts w:cs="Times New Roman"/>
          <w:i/>
        </w:rPr>
        <w:t>GSA’s Commercial Marketplaces Initiative: Opening Amazon &amp; Other Private Marketplaces to Direct Purchases by Government Users</w:t>
      </w:r>
      <w:r w:rsidRPr="00727C1E">
        <w:rPr>
          <w:rFonts w:cs="Times New Roman"/>
        </w:rPr>
        <w:t xml:space="preserve">, 20-13 </w:t>
      </w:r>
      <w:r w:rsidRPr="00727C1E">
        <w:rPr>
          <w:rFonts w:cs="Times New Roman"/>
          <w:smallCaps/>
        </w:rPr>
        <w:t>Briefing Papers</w:t>
      </w:r>
      <w:r w:rsidRPr="00727C1E">
        <w:rPr>
          <w:rFonts w:cs="Times New Roman"/>
        </w:rPr>
        <w:t xml:space="preserve"> 1, 2</w:t>
      </w:r>
      <w:r>
        <w:rPr>
          <w:rFonts w:cs="Times New Roman"/>
        </w:rPr>
        <w:t xml:space="preserve"> (2020)</w:t>
      </w:r>
      <w:r>
        <w:rPr>
          <w:rFonts w:cs="Times New Roman"/>
        </w:rPr>
        <w:t>.</w:t>
      </w:r>
    </w:p>
  </w:footnote>
  <w:footnote w:id="4">
    <w:p w14:paraId="42989F35" w14:textId="6E1E8E30" w:rsidR="00025FAA" w:rsidRPr="00025FAA" w:rsidRDefault="00025FAA">
      <w:pPr>
        <w:pStyle w:val="FootnoteText"/>
        <w:rPr>
          <w:i/>
        </w:rPr>
      </w:pPr>
      <w:r>
        <w:rPr>
          <w:rStyle w:val="FootnoteReference"/>
        </w:rPr>
        <w:footnoteRef/>
      </w:r>
      <w:r>
        <w:t xml:space="preserve"> </w:t>
      </w:r>
      <w:r w:rsidRPr="00025FAA">
        <w:rPr>
          <w:i/>
        </w:rPr>
        <w:t>Id</w:t>
      </w:r>
      <w:r>
        <w:t>.  The “agency problem” refers to the phenomenon wherein agents frequently fail to realize the principal’s best procurement outcomes due to competing interests</w:t>
      </w:r>
      <w:r w:rsidR="00213FDB">
        <w:t>, and differing incentives,</w:t>
      </w:r>
      <w:r>
        <w:t xml:space="preserve"> between the principal and agent.  </w:t>
      </w:r>
      <w:r>
        <w:rPr>
          <w:i/>
        </w:rPr>
        <w:t>Id.</w:t>
      </w:r>
    </w:p>
  </w:footnote>
  <w:footnote w:id="5">
    <w:p w14:paraId="03AE6DBF" w14:textId="7D2B7845" w:rsidR="00B211AC" w:rsidRPr="00B211AC" w:rsidRDefault="00B211AC">
      <w:pPr>
        <w:pStyle w:val="FootnoteText"/>
      </w:pPr>
      <w:r>
        <w:rPr>
          <w:rStyle w:val="FootnoteReference"/>
        </w:rPr>
        <w:footnoteRef/>
      </w:r>
      <w:r>
        <w:t xml:space="preserve"> </w:t>
      </w:r>
      <w:r>
        <w:rPr>
          <w:i/>
        </w:rPr>
        <w:t xml:space="preserve">Id. </w:t>
      </w:r>
      <w:r w:rsidR="00A244EA">
        <w:t>at 1-2</w:t>
      </w:r>
      <w:r>
        <w:t>.</w:t>
      </w:r>
    </w:p>
  </w:footnote>
  <w:footnote w:id="6">
    <w:p w14:paraId="55B4FB39" w14:textId="5AF8031A" w:rsidR="00E86516" w:rsidRPr="00E86516" w:rsidRDefault="00E86516">
      <w:pPr>
        <w:pStyle w:val="FootnoteText"/>
      </w:pPr>
      <w:r>
        <w:rPr>
          <w:rStyle w:val="FootnoteReference"/>
        </w:rPr>
        <w:footnoteRef/>
      </w:r>
      <w:r>
        <w:t xml:space="preserve"> </w:t>
      </w:r>
      <w:r>
        <w:rPr>
          <w:i/>
        </w:rPr>
        <w:t>Id.</w:t>
      </w:r>
    </w:p>
  </w:footnote>
  <w:footnote w:id="7">
    <w:p w14:paraId="7D8B2580" w14:textId="77777777" w:rsidR="00854D1F" w:rsidRDefault="00854D1F" w:rsidP="00854D1F">
      <w:pPr>
        <w:pStyle w:val="FootnoteText"/>
      </w:pPr>
      <w:r>
        <w:rPr>
          <w:rStyle w:val="FootnoteReference"/>
        </w:rPr>
        <w:footnoteRef/>
      </w:r>
      <w:r>
        <w:t xml:space="preserve"> National Defense Authorization Act for Fiscal Year 2018, Pub. L. No. 115-91, § 846, 131 Stat. 1283, 1483 (2017).</w:t>
      </w:r>
    </w:p>
  </w:footnote>
  <w:footnote w:id="8">
    <w:p w14:paraId="103CC6FD" w14:textId="29C1F9E7" w:rsidR="00217284" w:rsidRDefault="00217284">
      <w:pPr>
        <w:pStyle w:val="FootnoteText"/>
      </w:pPr>
      <w:r>
        <w:rPr>
          <w:rStyle w:val="FootnoteReference"/>
        </w:rPr>
        <w:footnoteRef/>
      </w:r>
      <w:r>
        <w:t xml:space="preserve"> </w:t>
      </w:r>
      <w:r w:rsidR="009E107A">
        <w:rPr>
          <w:i/>
        </w:rPr>
        <w:t>Id.</w:t>
      </w:r>
      <w:r w:rsidR="00BF46C6">
        <w:t xml:space="preserve"> at 3 (“...end-users (who are personally incentivized to achieve value for money)...”).</w:t>
      </w:r>
    </w:p>
  </w:footnote>
  <w:footnote w:id="9">
    <w:p w14:paraId="0112E5BE" w14:textId="72A312D4" w:rsidR="00A244EA" w:rsidRPr="00A244EA" w:rsidRDefault="00A244EA">
      <w:pPr>
        <w:pStyle w:val="FootnoteText"/>
        <w:rPr>
          <w:rFonts w:cs="Times New Roman"/>
        </w:rPr>
      </w:pPr>
      <w:r>
        <w:rPr>
          <w:rStyle w:val="FootnoteReference"/>
        </w:rPr>
        <w:footnoteRef/>
      </w:r>
      <w:r>
        <w:t xml:space="preserve"> </w:t>
      </w:r>
      <w:r w:rsidRPr="009C4517">
        <w:rPr>
          <w:rFonts w:cs="Times New Roman"/>
        </w:rPr>
        <w:t xml:space="preserve">Abraham Latimer Young, </w:t>
      </w:r>
      <w:r>
        <w:rPr>
          <w:rFonts w:cs="Times New Roman"/>
          <w:i/>
        </w:rPr>
        <w:t>Empowering the End-User as Procurement Agent Through E-Commerce</w:t>
      </w:r>
      <w:r>
        <w:rPr>
          <w:rFonts w:cs="Times New Roman"/>
        </w:rPr>
        <w:t xml:space="preserve">, 49 </w:t>
      </w:r>
      <w:r w:rsidRPr="00727C1E">
        <w:rPr>
          <w:rFonts w:cs="Times New Roman"/>
          <w:smallCaps/>
        </w:rPr>
        <w:t>Public Contract L. Journal</w:t>
      </w:r>
      <w:r>
        <w:rPr>
          <w:rFonts w:cs="Times New Roman"/>
        </w:rPr>
        <w:t xml:space="preserve"> 4 (2020), </w:t>
      </w:r>
      <w:r w:rsidR="00F72187" w:rsidRPr="00F72187">
        <w:rPr>
          <w:rFonts w:cs="Times New Roman"/>
        </w:rPr>
        <w:t>https://www.americanbar.org/groups/public_contract_law/publications/public_contract_law_jrnl/49-4/e-commerce/</w:t>
      </w:r>
      <w:r w:rsidR="00F72187">
        <w:rPr>
          <w:rFonts w:cs="Times New Roman"/>
        </w:rPr>
        <w:t>.</w:t>
      </w:r>
    </w:p>
  </w:footnote>
  <w:footnote w:id="10">
    <w:p w14:paraId="52BB0720" w14:textId="14EB5746" w:rsidR="002C1A03" w:rsidRPr="002C1A03" w:rsidRDefault="002C1A03">
      <w:pPr>
        <w:pStyle w:val="FootnoteText"/>
      </w:pPr>
      <w:r>
        <w:rPr>
          <w:rStyle w:val="FootnoteReference"/>
        </w:rPr>
        <w:footnoteRef/>
      </w:r>
      <w:r>
        <w:t xml:space="preserve"> Yukins, </w:t>
      </w:r>
      <w:r>
        <w:rPr>
          <w:i/>
        </w:rPr>
        <w:t xml:space="preserve">supra </w:t>
      </w:r>
      <w:r>
        <w:t xml:space="preserve">note </w:t>
      </w:r>
      <w:r>
        <w:fldChar w:fldCharType="begin"/>
      </w:r>
      <w:r>
        <w:instrText xml:space="preserve"> NOTEREF _Ref63239023 \h </w:instrText>
      </w:r>
      <w:r>
        <w:fldChar w:fldCharType="separate"/>
      </w:r>
      <w:r>
        <w:t>3</w:t>
      </w:r>
      <w:r>
        <w:fldChar w:fldCharType="end"/>
      </w:r>
      <w:r>
        <w:t>, at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03"/>
    <w:rsid w:val="00025FAA"/>
    <w:rsid w:val="00027729"/>
    <w:rsid w:val="00036688"/>
    <w:rsid w:val="00140786"/>
    <w:rsid w:val="00152156"/>
    <w:rsid w:val="00213FDB"/>
    <w:rsid w:val="00217284"/>
    <w:rsid w:val="002223CD"/>
    <w:rsid w:val="0025240C"/>
    <w:rsid w:val="002C1A03"/>
    <w:rsid w:val="00343532"/>
    <w:rsid w:val="003A4145"/>
    <w:rsid w:val="003D0A67"/>
    <w:rsid w:val="003F669A"/>
    <w:rsid w:val="005071B0"/>
    <w:rsid w:val="00687C1D"/>
    <w:rsid w:val="00776175"/>
    <w:rsid w:val="007F3DCA"/>
    <w:rsid w:val="008055EE"/>
    <w:rsid w:val="00854D1F"/>
    <w:rsid w:val="00902479"/>
    <w:rsid w:val="0090307A"/>
    <w:rsid w:val="009E107A"/>
    <w:rsid w:val="009F5DEC"/>
    <w:rsid w:val="00A244EA"/>
    <w:rsid w:val="00AB3403"/>
    <w:rsid w:val="00B211AC"/>
    <w:rsid w:val="00BF46C6"/>
    <w:rsid w:val="00C07645"/>
    <w:rsid w:val="00C53127"/>
    <w:rsid w:val="00C85B40"/>
    <w:rsid w:val="00C952C4"/>
    <w:rsid w:val="00CA2DED"/>
    <w:rsid w:val="00CC3578"/>
    <w:rsid w:val="00CC78DA"/>
    <w:rsid w:val="00CD1627"/>
    <w:rsid w:val="00D67A89"/>
    <w:rsid w:val="00D70489"/>
    <w:rsid w:val="00DB5AC3"/>
    <w:rsid w:val="00DB5E24"/>
    <w:rsid w:val="00DB73BA"/>
    <w:rsid w:val="00DE3A5A"/>
    <w:rsid w:val="00E86516"/>
    <w:rsid w:val="00F72187"/>
    <w:rsid w:val="00FD0E3A"/>
    <w:rsid w:val="00FD3F52"/>
    <w:rsid w:val="00FF6F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DB3F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3403"/>
    <w:rPr>
      <w:rFonts w:ascii="Times New Roman" w:hAnsi="Times New Roman"/>
    </w:rPr>
  </w:style>
  <w:style w:type="character" w:customStyle="1" w:styleId="FootnoteTextChar">
    <w:name w:val="Footnote Text Char"/>
    <w:basedOn w:val="DefaultParagraphFont"/>
    <w:link w:val="FootnoteText"/>
    <w:uiPriority w:val="99"/>
    <w:rsid w:val="00AB3403"/>
    <w:rPr>
      <w:rFonts w:ascii="Times New Roman" w:hAnsi="Times New Roman"/>
    </w:rPr>
  </w:style>
  <w:style w:type="character" w:styleId="FootnoteReference">
    <w:name w:val="footnote reference"/>
    <w:basedOn w:val="DefaultParagraphFont"/>
    <w:uiPriority w:val="99"/>
    <w:unhideWhenUsed/>
    <w:rsid w:val="00AB3403"/>
    <w:rPr>
      <w:rFonts w:ascii="Times New Roman" w:hAnsi="Times New Roman"/>
      <w:b w:val="0"/>
      <w:bCs w:val="0"/>
      <w:i w:val="0"/>
      <w:iCs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7C053E-D6AD-5248-AB96-8A77C57F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1068</Words>
  <Characters>6092</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Buyer Incentives and Administrative Burdens in the Commercial Platforms Initiati</vt:lpstr>
      <vt:lpstr>Michael R. Tregle, Jr. </vt:lpstr>
    </vt:vector>
  </TitlesOfParts>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Tregle</dc:creator>
  <cp:keywords/>
  <dc:description/>
  <cp:lastModifiedBy>Mike Tregle</cp:lastModifiedBy>
  <cp:revision>3</cp:revision>
  <dcterms:created xsi:type="dcterms:W3CDTF">2021-02-03T16:44:00Z</dcterms:created>
  <dcterms:modified xsi:type="dcterms:W3CDTF">2021-02-03T18:25:00Z</dcterms:modified>
</cp:coreProperties>
</file>