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CD112" w14:textId="77777777" w:rsidR="0092198B" w:rsidRPr="0092198B" w:rsidRDefault="0092198B" w:rsidP="0092198B">
      <w:pPr>
        <w:tabs>
          <w:tab w:val="left" w:pos="284"/>
        </w:tabs>
        <w:contextualSpacing/>
        <w:jc w:val="center"/>
        <w:rPr>
          <w:rFonts w:eastAsia="Calibri"/>
          <w:b/>
          <w:smallCaps/>
          <w:color w:val="000000"/>
          <w:sz w:val="28"/>
          <w:szCs w:val="28"/>
          <w:lang w:val="en-GB" w:eastAsia="en-US"/>
        </w:rPr>
      </w:pPr>
      <w:r w:rsidRPr="0092198B">
        <w:rPr>
          <w:rFonts w:eastAsia="Calibri"/>
          <w:b/>
          <w:smallCaps/>
          <w:color w:val="000000"/>
          <w:sz w:val="28"/>
          <w:szCs w:val="28"/>
          <w:lang w:val="en-GB" w:eastAsia="en-US"/>
        </w:rPr>
        <w:t>REMEDIES AND ADMINISTRATIVE REVIEW IN AWARD PROCEDURES FOR PUBLIC PROCUREMENTS IN SELECTED AFRICAN COUNTRIES</w:t>
      </w:r>
    </w:p>
    <w:p w14:paraId="46CD721C" w14:textId="77777777" w:rsidR="0092198B" w:rsidRPr="0092198B" w:rsidRDefault="0092198B" w:rsidP="0092198B">
      <w:pPr>
        <w:tabs>
          <w:tab w:val="left" w:pos="284"/>
        </w:tabs>
        <w:contextualSpacing/>
        <w:jc w:val="center"/>
        <w:rPr>
          <w:rFonts w:eastAsia="Calibri"/>
          <w:smallCaps/>
          <w:color w:val="FF0000"/>
          <w:lang w:val="en-GB" w:eastAsia="en-US"/>
        </w:rPr>
      </w:pPr>
    </w:p>
    <w:p w14:paraId="529F7C74" w14:textId="77777777" w:rsidR="0092198B" w:rsidRPr="0092198B" w:rsidRDefault="0092198B" w:rsidP="0092198B">
      <w:pPr>
        <w:tabs>
          <w:tab w:val="left" w:pos="284"/>
        </w:tabs>
        <w:contextualSpacing/>
        <w:jc w:val="center"/>
        <w:rPr>
          <w:rFonts w:eastAsia="Calibri"/>
          <w:smallCaps/>
          <w:color w:val="FF0000"/>
          <w:lang w:val="en-GB" w:eastAsia="en-US"/>
        </w:rPr>
      </w:pPr>
    </w:p>
    <w:p w14:paraId="4B7657A4" w14:textId="77777777" w:rsidR="0092198B" w:rsidRPr="00283F0F" w:rsidRDefault="002079AC" w:rsidP="0092198B">
      <w:pPr>
        <w:tabs>
          <w:tab w:val="left" w:pos="284"/>
          <w:tab w:val="center" w:pos="4533"/>
          <w:tab w:val="left" w:pos="6702"/>
        </w:tabs>
        <w:contextualSpacing/>
        <w:jc w:val="center"/>
        <w:outlineLvl w:val="0"/>
        <w:rPr>
          <w:rFonts w:eastAsia="Calibri"/>
          <w:smallCaps/>
          <w:color w:val="000000"/>
          <w:sz w:val="18"/>
          <w:szCs w:val="18"/>
          <w:lang w:val="en-GB" w:eastAsia="en-US"/>
        </w:rPr>
      </w:pPr>
      <w:r w:rsidRPr="00283F0F">
        <w:rPr>
          <w:rFonts w:eastAsia="Calibri"/>
          <w:smallCaps/>
          <w:color w:val="000000"/>
          <w:sz w:val="18"/>
          <w:szCs w:val="18"/>
          <w:lang w:val="en-GB" w:eastAsia="en-US"/>
        </w:rPr>
        <w:t>By</w:t>
      </w:r>
    </w:p>
    <w:p w14:paraId="160CFED4" w14:textId="77777777" w:rsidR="0092198B" w:rsidRPr="005E52D4" w:rsidRDefault="0092198B" w:rsidP="0092198B">
      <w:pPr>
        <w:tabs>
          <w:tab w:val="left" w:pos="284"/>
          <w:tab w:val="center" w:pos="4533"/>
          <w:tab w:val="left" w:pos="6702"/>
        </w:tabs>
        <w:contextualSpacing/>
        <w:outlineLvl w:val="0"/>
        <w:rPr>
          <w:rFonts w:eastAsia="Calibri"/>
          <w:smallCaps/>
          <w:color w:val="000000"/>
          <w:lang w:val="en-GB" w:eastAsia="en-US"/>
        </w:rPr>
      </w:pPr>
      <w:r w:rsidRPr="005E52D4">
        <w:rPr>
          <w:rFonts w:eastAsia="Calibri"/>
          <w:smallCaps/>
          <w:color w:val="000000"/>
          <w:lang w:val="en-GB" w:eastAsia="en-US"/>
        </w:rPr>
        <w:tab/>
      </w:r>
    </w:p>
    <w:p w14:paraId="0B98D31A" w14:textId="77777777" w:rsidR="0092198B" w:rsidRPr="005E52D4" w:rsidRDefault="0092198B" w:rsidP="0092198B">
      <w:pPr>
        <w:tabs>
          <w:tab w:val="left" w:pos="284"/>
        </w:tabs>
        <w:contextualSpacing/>
        <w:jc w:val="center"/>
        <w:outlineLvl w:val="0"/>
        <w:rPr>
          <w:rFonts w:eastAsia="Calibri"/>
          <w:b/>
          <w:smallCaps/>
          <w:color w:val="000000"/>
          <w:lang w:val="en-GB" w:eastAsia="en-US"/>
        </w:rPr>
      </w:pPr>
      <w:r w:rsidRPr="005E52D4">
        <w:rPr>
          <w:rFonts w:eastAsia="Calibri"/>
          <w:b/>
          <w:smallCaps/>
          <w:color w:val="000000"/>
          <w:lang w:val="en-GB" w:eastAsia="en-US"/>
        </w:rPr>
        <w:t xml:space="preserve">Mario </w:t>
      </w:r>
      <w:r w:rsidR="004F397A">
        <w:rPr>
          <w:rFonts w:eastAsia="Calibri"/>
          <w:b/>
          <w:smallCaps/>
          <w:color w:val="000000"/>
          <w:lang w:val="en-GB" w:eastAsia="en-US"/>
        </w:rPr>
        <w:t xml:space="preserve">Eugenio </w:t>
      </w:r>
      <w:r w:rsidRPr="005E52D4">
        <w:rPr>
          <w:rFonts w:eastAsia="Calibri"/>
          <w:b/>
          <w:caps/>
          <w:color w:val="000000"/>
          <w:lang w:val="en-GB" w:eastAsia="en-US"/>
        </w:rPr>
        <w:t>Comba</w:t>
      </w:r>
    </w:p>
    <w:p w14:paraId="00E735E3" w14:textId="77777777" w:rsidR="0092198B" w:rsidRPr="005E52D4" w:rsidRDefault="0092198B" w:rsidP="0092198B">
      <w:pPr>
        <w:tabs>
          <w:tab w:val="left" w:pos="284"/>
        </w:tabs>
        <w:contextualSpacing/>
        <w:jc w:val="center"/>
        <w:outlineLvl w:val="0"/>
        <w:rPr>
          <w:rFonts w:eastAsia="Calibri"/>
          <w:smallCaps/>
          <w:color w:val="000000"/>
          <w:lang w:val="en-GB" w:eastAsia="en-US"/>
        </w:rPr>
      </w:pPr>
    </w:p>
    <w:p w14:paraId="410AE3BC" w14:textId="77777777" w:rsidR="0092198B" w:rsidRPr="002079AC" w:rsidRDefault="0092198B" w:rsidP="0092198B">
      <w:pPr>
        <w:tabs>
          <w:tab w:val="left" w:pos="284"/>
        </w:tabs>
        <w:contextualSpacing/>
        <w:jc w:val="center"/>
        <w:rPr>
          <w:rFonts w:eastAsia="Calibri"/>
          <w:smallCaps/>
          <w:color w:val="000000"/>
          <w:lang w:val="en-GB" w:eastAsia="en-US"/>
        </w:rPr>
      </w:pPr>
      <w:r w:rsidRPr="002079AC">
        <w:rPr>
          <w:rFonts w:eastAsia="Calibri"/>
          <w:smallCaps/>
          <w:color w:val="000000"/>
          <w:lang w:val="en-GB" w:eastAsia="en-US"/>
        </w:rPr>
        <w:t>Profess</w:t>
      </w:r>
      <w:r w:rsidR="002079AC" w:rsidRPr="002079AC">
        <w:rPr>
          <w:rFonts w:eastAsia="Calibri"/>
          <w:smallCaps/>
          <w:color w:val="000000"/>
          <w:lang w:val="en-GB" w:eastAsia="en-US"/>
        </w:rPr>
        <w:t>o</w:t>
      </w:r>
      <w:r w:rsidRPr="002079AC">
        <w:rPr>
          <w:rFonts w:eastAsia="Calibri"/>
          <w:smallCaps/>
          <w:color w:val="000000"/>
          <w:lang w:val="en-GB" w:eastAsia="en-US"/>
        </w:rPr>
        <w:t xml:space="preserve">r </w:t>
      </w:r>
      <w:r w:rsidR="002079AC" w:rsidRPr="002079AC">
        <w:rPr>
          <w:rFonts w:eastAsia="Arial"/>
          <w:smallCaps/>
          <w:color w:val="000000"/>
          <w:sz w:val="22"/>
          <w:lang w:val="en-US" w:eastAsia="en-US"/>
        </w:rPr>
        <w:t xml:space="preserve">of </w:t>
      </w:r>
      <w:r w:rsidR="002079AC">
        <w:rPr>
          <w:rFonts w:eastAsia="Arial"/>
          <w:smallCaps/>
          <w:color w:val="000000"/>
          <w:sz w:val="22"/>
          <w:lang w:val="en-US" w:eastAsia="en-US"/>
        </w:rPr>
        <w:t>P</w:t>
      </w:r>
      <w:r w:rsidR="002079AC" w:rsidRPr="002079AC">
        <w:rPr>
          <w:rFonts w:eastAsia="Arial"/>
          <w:smallCaps/>
          <w:color w:val="000000"/>
          <w:sz w:val="22"/>
          <w:lang w:val="en-US" w:eastAsia="en-US"/>
        </w:rPr>
        <w:t xml:space="preserve">ublic </w:t>
      </w:r>
      <w:r w:rsidR="002079AC">
        <w:rPr>
          <w:rFonts w:eastAsia="Arial"/>
          <w:smallCaps/>
          <w:color w:val="000000"/>
          <w:sz w:val="22"/>
          <w:lang w:val="en-US" w:eastAsia="en-US"/>
        </w:rPr>
        <w:t>Comparative L</w:t>
      </w:r>
      <w:r w:rsidR="002079AC" w:rsidRPr="002079AC">
        <w:rPr>
          <w:rFonts w:eastAsia="Arial"/>
          <w:smallCaps/>
          <w:color w:val="000000"/>
          <w:sz w:val="22"/>
          <w:lang w:val="en-US" w:eastAsia="en-US"/>
        </w:rPr>
        <w:t xml:space="preserve">aw </w:t>
      </w:r>
      <w:r w:rsidR="002079AC">
        <w:rPr>
          <w:rFonts w:eastAsia="Arial"/>
          <w:smallCaps/>
          <w:color w:val="000000"/>
          <w:sz w:val="22"/>
          <w:lang w:val="en-US" w:eastAsia="en-US"/>
        </w:rPr>
        <w:t xml:space="preserve">at </w:t>
      </w:r>
      <w:r w:rsidRPr="002079AC">
        <w:rPr>
          <w:rFonts w:eastAsia="Calibri"/>
          <w:smallCaps/>
          <w:color w:val="000000"/>
          <w:lang w:val="en-GB" w:eastAsia="en-US"/>
        </w:rPr>
        <w:t>Universit</w:t>
      </w:r>
      <w:r w:rsidR="002079AC" w:rsidRPr="002079AC">
        <w:rPr>
          <w:rFonts w:eastAsia="Calibri"/>
          <w:smallCaps/>
          <w:color w:val="000000"/>
          <w:lang w:val="en-GB" w:eastAsia="en-US"/>
        </w:rPr>
        <w:t>y</w:t>
      </w:r>
      <w:r w:rsidRPr="002079AC">
        <w:rPr>
          <w:rFonts w:eastAsia="Calibri"/>
          <w:smallCaps/>
          <w:color w:val="000000"/>
          <w:lang w:val="en-GB" w:eastAsia="en-US"/>
        </w:rPr>
        <w:t xml:space="preserve"> </w:t>
      </w:r>
      <w:r w:rsidR="002079AC">
        <w:rPr>
          <w:rFonts w:eastAsia="Calibri"/>
          <w:smallCaps/>
          <w:color w:val="000000"/>
          <w:lang w:val="en-GB" w:eastAsia="en-US"/>
        </w:rPr>
        <w:t>of</w:t>
      </w:r>
      <w:r w:rsidRPr="002079AC">
        <w:rPr>
          <w:rFonts w:eastAsia="Calibri"/>
          <w:smallCaps/>
          <w:color w:val="000000"/>
          <w:lang w:val="en-GB" w:eastAsia="en-US"/>
        </w:rPr>
        <w:t xml:space="preserve"> Turin</w:t>
      </w:r>
    </w:p>
    <w:p w14:paraId="59CF8BD2" w14:textId="77777777" w:rsidR="0092198B" w:rsidRPr="002079AC" w:rsidRDefault="0092198B" w:rsidP="0092198B">
      <w:pPr>
        <w:tabs>
          <w:tab w:val="left" w:pos="284"/>
          <w:tab w:val="center" w:pos="4533"/>
          <w:tab w:val="left" w:pos="6702"/>
        </w:tabs>
        <w:contextualSpacing/>
        <w:jc w:val="center"/>
        <w:outlineLvl w:val="0"/>
        <w:rPr>
          <w:rFonts w:eastAsia="Calibri"/>
          <w:smallCaps/>
          <w:color w:val="000000"/>
          <w:sz w:val="20"/>
          <w:lang w:val="en-GB" w:eastAsia="en-US"/>
        </w:rPr>
      </w:pPr>
    </w:p>
    <w:p w14:paraId="0A33EB82" w14:textId="77777777" w:rsidR="0092198B" w:rsidRPr="002079AC" w:rsidRDefault="0092198B" w:rsidP="0092198B">
      <w:pPr>
        <w:tabs>
          <w:tab w:val="left" w:pos="284"/>
          <w:tab w:val="center" w:pos="4533"/>
          <w:tab w:val="left" w:pos="6702"/>
        </w:tabs>
        <w:contextualSpacing/>
        <w:jc w:val="center"/>
        <w:outlineLvl w:val="0"/>
        <w:rPr>
          <w:rFonts w:eastAsia="Calibri"/>
          <w:smallCaps/>
          <w:color w:val="000000"/>
          <w:sz w:val="20"/>
          <w:lang w:val="en-GB" w:eastAsia="en-US"/>
        </w:rPr>
      </w:pPr>
    </w:p>
    <w:p w14:paraId="04DE8324" w14:textId="77777777" w:rsidR="0092198B" w:rsidRPr="002079AC" w:rsidRDefault="0092198B" w:rsidP="0092198B">
      <w:pPr>
        <w:tabs>
          <w:tab w:val="left" w:pos="284"/>
          <w:tab w:val="center" w:pos="4533"/>
          <w:tab w:val="left" w:pos="6702"/>
        </w:tabs>
        <w:contextualSpacing/>
        <w:outlineLvl w:val="0"/>
        <w:rPr>
          <w:rFonts w:eastAsia="Calibri"/>
          <w:smallCaps/>
          <w:color w:val="000000"/>
          <w:lang w:val="en-GB" w:eastAsia="en-US"/>
        </w:rPr>
      </w:pPr>
      <w:r w:rsidRPr="002079AC">
        <w:rPr>
          <w:rFonts w:eastAsia="Calibri"/>
          <w:smallCaps/>
          <w:color w:val="000000"/>
          <w:lang w:val="en-GB" w:eastAsia="en-US"/>
        </w:rPr>
        <w:tab/>
      </w:r>
    </w:p>
    <w:p w14:paraId="6759B64C" w14:textId="77777777" w:rsidR="0092198B" w:rsidRPr="005E52D4" w:rsidRDefault="0092198B" w:rsidP="0092198B">
      <w:pPr>
        <w:tabs>
          <w:tab w:val="left" w:pos="284"/>
        </w:tabs>
        <w:contextualSpacing/>
        <w:jc w:val="center"/>
        <w:outlineLvl w:val="0"/>
        <w:rPr>
          <w:rFonts w:eastAsia="Calibri"/>
          <w:b/>
          <w:smallCaps/>
          <w:color w:val="000000"/>
          <w:lang w:val="en-GB" w:eastAsia="en-US"/>
        </w:rPr>
      </w:pPr>
      <w:r w:rsidRPr="005E52D4">
        <w:rPr>
          <w:rFonts w:eastAsia="Calibri"/>
          <w:b/>
          <w:smallCaps/>
          <w:color w:val="000000"/>
          <w:lang w:val="en-GB" w:eastAsia="en-US"/>
        </w:rPr>
        <w:t xml:space="preserve">Roberto </w:t>
      </w:r>
      <w:r w:rsidRPr="005E52D4">
        <w:rPr>
          <w:rFonts w:eastAsia="Calibri"/>
          <w:b/>
          <w:caps/>
          <w:color w:val="000000"/>
          <w:lang w:val="en-GB" w:eastAsia="en-US"/>
        </w:rPr>
        <w:t>Caranta</w:t>
      </w:r>
    </w:p>
    <w:p w14:paraId="77B3609E" w14:textId="77777777" w:rsidR="0092198B" w:rsidRPr="005E52D4" w:rsidRDefault="0092198B" w:rsidP="0092198B">
      <w:pPr>
        <w:tabs>
          <w:tab w:val="left" w:pos="284"/>
        </w:tabs>
        <w:contextualSpacing/>
        <w:jc w:val="center"/>
        <w:outlineLvl w:val="0"/>
        <w:rPr>
          <w:rFonts w:eastAsia="Calibri"/>
          <w:smallCaps/>
          <w:color w:val="000000"/>
          <w:lang w:val="en-GB" w:eastAsia="en-US"/>
        </w:rPr>
      </w:pPr>
    </w:p>
    <w:p w14:paraId="378E7387" w14:textId="77777777" w:rsidR="0092198B" w:rsidRPr="002079AC" w:rsidRDefault="0092198B" w:rsidP="0092198B">
      <w:pPr>
        <w:tabs>
          <w:tab w:val="left" w:pos="284"/>
          <w:tab w:val="center" w:pos="4533"/>
          <w:tab w:val="left" w:pos="6702"/>
        </w:tabs>
        <w:contextualSpacing/>
        <w:jc w:val="center"/>
        <w:outlineLvl w:val="0"/>
        <w:rPr>
          <w:rFonts w:eastAsia="Calibri"/>
          <w:smallCaps/>
          <w:color w:val="000000"/>
          <w:sz w:val="20"/>
          <w:lang w:val="en-GB" w:eastAsia="en-US"/>
        </w:rPr>
      </w:pPr>
      <w:r w:rsidRPr="002079AC">
        <w:rPr>
          <w:rFonts w:eastAsia="Calibri"/>
          <w:smallCaps/>
          <w:color w:val="000000"/>
          <w:lang w:val="en-GB" w:eastAsia="en-US"/>
        </w:rPr>
        <w:t>Profess</w:t>
      </w:r>
      <w:r w:rsidR="002079AC" w:rsidRPr="002079AC">
        <w:rPr>
          <w:rFonts w:eastAsia="Calibri"/>
          <w:smallCaps/>
          <w:color w:val="000000"/>
          <w:lang w:val="en-GB" w:eastAsia="en-US"/>
        </w:rPr>
        <w:t>o</w:t>
      </w:r>
      <w:r w:rsidRPr="002079AC">
        <w:rPr>
          <w:rFonts w:eastAsia="Calibri"/>
          <w:smallCaps/>
          <w:color w:val="000000"/>
          <w:lang w:val="en-GB" w:eastAsia="en-US"/>
        </w:rPr>
        <w:t xml:space="preserve">r </w:t>
      </w:r>
      <w:r w:rsidR="002079AC" w:rsidRPr="002079AC">
        <w:rPr>
          <w:rFonts w:eastAsia="Arial"/>
          <w:smallCaps/>
          <w:color w:val="000000"/>
          <w:sz w:val="22"/>
          <w:lang w:val="en-US" w:eastAsia="en-US"/>
        </w:rPr>
        <w:t xml:space="preserve">of </w:t>
      </w:r>
      <w:r w:rsidR="002079AC">
        <w:rPr>
          <w:rFonts w:eastAsia="Arial"/>
          <w:smallCaps/>
          <w:color w:val="000000"/>
          <w:sz w:val="22"/>
          <w:lang w:val="en-US" w:eastAsia="en-US"/>
        </w:rPr>
        <w:t>A</w:t>
      </w:r>
      <w:r w:rsidR="002079AC" w:rsidRPr="002079AC">
        <w:rPr>
          <w:rFonts w:eastAsia="Arial"/>
          <w:smallCaps/>
          <w:color w:val="000000"/>
          <w:sz w:val="22"/>
          <w:lang w:val="en-US" w:eastAsia="en-US"/>
        </w:rPr>
        <w:t xml:space="preserve">dministrative </w:t>
      </w:r>
      <w:r w:rsidR="002079AC">
        <w:rPr>
          <w:rFonts w:eastAsia="Arial"/>
          <w:smallCaps/>
          <w:color w:val="000000"/>
          <w:sz w:val="22"/>
          <w:lang w:val="en-US" w:eastAsia="en-US"/>
        </w:rPr>
        <w:t>L</w:t>
      </w:r>
      <w:r w:rsidR="002079AC" w:rsidRPr="002079AC">
        <w:rPr>
          <w:rFonts w:eastAsia="Arial"/>
          <w:smallCaps/>
          <w:color w:val="000000"/>
          <w:sz w:val="22"/>
          <w:lang w:val="en-US" w:eastAsia="en-US"/>
        </w:rPr>
        <w:t xml:space="preserve">aw at </w:t>
      </w:r>
      <w:r w:rsidR="002079AC">
        <w:rPr>
          <w:rFonts w:eastAsia="Calibri"/>
          <w:smallCaps/>
          <w:color w:val="000000"/>
          <w:lang w:val="en-GB" w:eastAsia="en-US"/>
        </w:rPr>
        <w:t>University</w:t>
      </w:r>
      <w:r w:rsidRPr="002079AC">
        <w:rPr>
          <w:rFonts w:eastAsia="Calibri"/>
          <w:smallCaps/>
          <w:color w:val="000000"/>
          <w:lang w:val="en-GB" w:eastAsia="en-US"/>
        </w:rPr>
        <w:t xml:space="preserve"> </w:t>
      </w:r>
      <w:r w:rsidR="002079AC">
        <w:rPr>
          <w:rFonts w:eastAsia="Calibri"/>
          <w:smallCaps/>
          <w:color w:val="000000"/>
          <w:lang w:val="en-GB" w:eastAsia="en-US"/>
        </w:rPr>
        <w:t>of</w:t>
      </w:r>
      <w:r w:rsidRPr="002079AC">
        <w:rPr>
          <w:rFonts w:eastAsia="Calibri"/>
          <w:smallCaps/>
          <w:color w:val="000000"/>
          <w:lang w:val="en-GB" w:eastAsia="en-US"/>
        </w:rPr>
        <w:t xml:space="preserve"> Turin</w:t>
      </w:r>
    </w:p>
    <w:p w14:paraId="6EF2CBB2" w14:textId="77777777" w:rsidR="0092198B" w:rsidRPr="002079AC" w:rsidRDefault="0092198B" w:rsidP="0092198B">
      <w:pPr>
        <w:tabs>
          <w:tab w:val="left" w:pos="284"/>
          <w:tab w:val="center" w:pos="4533"/>
          <w:tab w:val="left" w:pos="6702"/>
        </w:tabs>
        <w:contextualSpacing/>
        <w:jc w:val="center"/>
        <w:outlineLvl w:val="0"/>
        <w:rPr>
          <w:rFonts w:eastAsia="Calibri"/>
          <w:smallCaps/>
          <w:color w:val="000000"/>
          <w:sz w:val="20"/>
          <w:lang w:val="en-GB" w:eastAsia="en-US"/>
        </w:rPr>
      </w:pPr>
    </w:p>
    <w:p w14:paraId="737D5AB4" w14:textId="77777777" w:rsidR="002079AC" w:rsidRPr="002079AC" w:rsidRDefault="002079AC" w:rsidP="0092198B">
      <w:pPr>
        <w:tabs>
          <w:tab w:val="left" w:pos="284"/>
          <w:tab w:val="center" w:pos="4533"/>
          <w:tab w:val="left" w:pos="6702"/>
        </w:tabs>
        <w:contextualSpacing/>
        <w:jc w:val="center"/>
        <w:outlineLvl w:val="0"/>
        <w:rPr>
          <w:rFonts w:eastAsia="Calibri"/>
          <w:smallCaps/>
          <w:color w:val="000000"/>
          <w:sz w:val="20"/>
          <w:lang w:val="en-GB" w:eastAsia="en-US"/>
        </w:rPr>
      </w:pPr>
    </w:p>
    <w:p w14:paraId="2B0DB316" w14:textId="77777777" w:rsidR="0092198B" w:rsidRPr="00283F0F" w:rsidRDefault="002079AC" w:rsidP="0092198B">
      <w:pPr>
        <w:tabs>
          <w:tab w:val="left" w:pos="284"/>
          <w:tab w:val="center" w:pos="4533"/>
          <w:tab w:val="left" w:pos="6702"/>
        </w:tabs>
        <w:contextualSpacing/>
        <w:jc w:val="center"/>
        <w:outlineLvl w:val="0"/>
        <w:rPr>
          <w:rFonts w:eastAsia="Calibri"/>
          <w:smallCaps/>
          <w:color w:val="000000"/>
          <w:sz w:val="18"/>
          <w:szCs w:val="18"/>
          <w:lang w:val="en-GB" w:eastAsia="en-US"/>
        </w:rPr>
      </w:pPr>
      <w:r w:rsidRPr="00283F0F">
        <w:rPr>
          <w:rFonts w:eastAsia="Calibri"/>
          <w:smallCaps/>
          <w:color w:val="000000"/>
          <w:sz w:val="18"/>
          <w:szCs w:val="18"/>
          <w:lang w:val="en-GB" w:eastAsia="en-US"/>
        </w:rPr>
        <w:t>And</w:t>
      </w:r>
    </w:p>
    <w:p w14:paraId="479C2B08" w14:textId="77777777" w:rsidR="0092198B" w:rsidRPr="005E52D4" w:rsidRDefault="0092198B" w:rsidP="0092198B">
      <w:pPr>
        <w:tabs>
          <w:tab w:val="left" w:pos="284"/>
          <w:tab w:val="center" w:pos="4533"/>
          <w:tab w:val="left" w:pos="6702"/>
        </w:tabs>
        <w:contextualSpacing/>
        <w:jc w:val="center"/>
        <w:outlineLvl w:val="0"/>
        <w:rPr>
          <w:rFonts w:eastAsia="Calibri"/>
          <w:smallCaps/>
          <w:color w:val="000000"/>
          <w:sz w:val="20"/>
          <w:lang w:val="en-GB" w:eastAsia="en-US"/>
        </w:rPr>
      </w:pPr>
    </w:p>
    <w:p w14:paraId="4D2BBC27" w14:textId="77777777" w:rsidR="0092198B" w:rsidRPr="005E52D4" w:rsidRDefault="0092198B" w:rsidP="0092198B">
      <w:pPr>
        <w:tabs>
          <w:tab w:val="left" w:pos="284"/>
          <w:tab w:val="center" w:pos="4533"/>
          <w:tab w:val="left" w:pos="6702"/>
        </w:tabs>
        <w:contextualSpacing/>
        <w:outlineLvl w:val="0"/>
        <w:rPr>
          <w:rFonts w:eastAsia="Calibri"/>
          <w:smallCaps/>
          <w:color w:val="000000"/>
          <w:lang w:val="en-GB" w:eastAsia="en-US"/>
        </w:rPr>
      </w:pPr>
      <w:r w:rsidRPr="005E52D4">
        <w:rPr>
          <w:rFonts w:eastAsia="Calibri"/>
          <w:smallCaps/>
          <w:color w:val="000000"/>
          <w:lang w:val="en-GB" w:eastAsia="en-US"/>
        </w:rPr>
        <w:tab/>
      </w:r>
    </w:p>
    <w:p w14:paraId="21DE13BD" w14:textId="77777777" w:rsidR="0092198B" w:rsidRPr="005E52D4" w:rsidRDefault="0092198B" w:rsidP="0092198B">
      <w:pPr>
        <w:tabs>
          <w:tab w:val="left" w:pos="284"/>
        </w:tabs>
        <w:contextualSpacing/>
        <w:jc w:val="center"/>
        <w:outlineLvl w:val="0"/>
        <w:rPr>
          <w:rFonts w:eastAsia="Calibri"/>
          <w:b/>
          <w:smallCaps/>
          <w:color w:val="000000"/>
          <w:lang w:val="en-GB" w:eastAsia="en-US"/>
        </w:rPr>
      </w:pPr>
      <w:r w:rsidRPr="005E52D4">
        <w:rPr>
          <w:rFonts w:eastAsia="Calibri"/>
          <w:b/>
          <w:smallCaps/>
          <w:color w:val="000000"/>
          <w:lang w:val="en-GB" w:eastAsia="en-US"/>
        </w:rPr>
        <w:t xml:space="preserve">Carol </w:t>
      </w:r>
      <w:r w:rsidRPr="005E52D4">
        <w:rPr>
          <w:rFonts w:eastAsia="Calibri"/>
          <w:b/>
          <w:caps/>
          <w:color w:val="000000"/>
          <w:lang w:val="en-GB" w:eastAsia="en-US"/>
        </w:rPr>
        <w:t>Cravero</w:t>
      </w:r>
    </w:p>
    <w:p w14:paraId="5FA7FEE4" w14:textId="77777777" w:rsidR="0092198B" w:rsidRPr="005E52D4" w:rsidRDefault="0092198B" w:rsidP="0092198B">
      <w:pPr>
        <w:tabs>
          <w:tab w:val="left" w:pos="284"/>
        </w:tabs>
        <w:contextualSpacing/>
        <w:jc w:val="center"/>
        <w:outlineLvl w:val="0"/>
        <w:rPr>
          <w:rFonts w:eastAsia="Calibri"/>
          <w:smallCaps/>
          <w:color w:val="000000"/>
          <w:lang w:val="en-GB" w:eastAsia="en-US"/>
        </w:rPr>
      </w:pPr>
    </w:p>
    <w:p w14:paraId="4AEA6ABC" w14:textId="77777777" w:rsidR="0092198B" w:rsidRPr="00283F0F" w:rsidRDefault="002079AC" w:rsidP="0092198B">
      <w:pPr>
        <w:tabs>
          <w:tab w:val="left" w:pos="284"/>
        </w:tabs>
        <w:contextualSpacing/>
        <w:jc w:val="center"/>
        <w:rPr>
          <w:rFonts w:eastAsia="Calibri"/>
          <w:smallCaps/>
          <w:color w:val="000000"/>
          <w:sz w:val="22"/>
          <w:szCs w:val="22"/>
          <w:lang w:val="en-GB" w:eastAsia="en-US"/>
        </w:rPr>
      </w:pPr>
      <w:r w:rsidRPr="00283F0F">
        <w:rPr>
          <w:rFonts w:eastAsia="Calibri"/>
          <w:smallCaps/>
          <w:color w:val="000000"/>
          <w:sz w:val="22"/>
          <w:szCs w:val="22"/>
          <w:lang w:val="en-GB" w:eastAsia="en-US"/>
        </w:rPr>
        <w:t xml:space="preserve">Ph.D. Candidate at </w:t>
      </w:r>
      <w:r w:rsidR="0092198B" w:rsidRPr="00283F0F">
        <w:rPr>
          <w:rFonts w:eastAsia="Calibri"/>
          <w:smallCaps/>
          <w:color w:val="000000"/>
          <w:sz w:val="22"/>
          <w:szCs w:val="22"/>
          <w:lang w:val="en-GB" w:eastAsia="en-US"/>
        </w:rPr>
        <w:t>Universit</w:t>
      </w:r>
      <w:r w:rsidRPr="00283F0F">
        <w:rPr>
          <w:rFonts w:eastAsia="Calibri"/>
          <w:smallCaps/>
          <w:color w:val="000000"/>
          <w:sz w:val="22"/>
          <w:szCs w:val="22"/>
          <w:lang w:val="en-GB" w:eastAsia="en-US"/>
        </w:rPr>
        <w:t>y of</w:t>
      </w:r>
      <w:r w:rsidR="0092198B" w:rsidRPr="00283F0F">
        <w:rPr>
          <w:rFonts w:eastAsia="Calibri"/>
          <w:smallCaps/>
          <w:color w:val="000000"/>
          <w:sz w:val="22"/>
          <w:szCs w:val="22"/>
          <w:lang w:val="en-GB" w:eastAsia="en-US"/>
        </w:rPr>
        <w:t xml:space="preserve"> Turin </w:t>
      </w:r>
      <w:r w:rsidRPr="00283F0F">
        <w:rPr>
          <w:rFonts w:eastAsia="Calibri"/>
          <w:smallCaps/>
          <w:color w:val="000000"/>
          <w:sz w:val="22"/>
          <w:szCs w:val="22"/>
          <w:lang w:val="en-GB" w:eastAsia="en-US"/>
        </w:rPr>
        <w:t>and University of</w:t>
      </w:r>
      <w:r w:rsidR="0092198B" w:rsidRPr="00283F0F">
        <w:rPr>
          <w:rFonts w:eastAsia="Calibri"/>
          <w:smallCaps/>
          <w:color w:val="000000"/>
          <w:sz w:val="22"/>
          <w:szCs w:val="22"/>
          <w:lang w:val="en-GB" w:eastAsia="en-US"/>
        </w:rPr>
        <w:t xml:space="preserve"> Paris-Nanterre</w:t>
      </w:r>
    </w:p>
    <w:p w14:paraId="1E0D9C72" w14:textId="77777777" w:rsidR="0092198B" w:rsidRPr="002079AC" w:rsidRDefault="0092198B" w:rsidP="0092198B">
      <w:pPr>
        <w:tabs>
          <w:tab w:val="left" w:pos="284"/>
        </w:tabs>
        <w:contextualSpacing/>
        <w:rPr>
          <w:rFonts w:eastAsia="Calibri"/>
          <w:smallCaps/>
          <w:color w:val="FF0000"/>
          <w:lang w:val="en-GB" w:eastAsia="en-US"/>
        </w:rPr>
      </w:pPr>
    </w:p>
    <w:p w14:paraId="0B377558" w14:textId="77777777" w:rsidR="0092198B" w:rsidRPr="002079AC" w:rsidRDefault="0092198B" w:rsidP="0092198B">
      <w:pPr>
        <w:tabs>
          <w:tab w:val="left" w:pos="284"/>
          <w:tab w:val="left" w:pos="1413"/>
        </w:tabs>
        <w:contextualSpacing/>
        <w:rPr>
          <w:rFonts w:eastAsia="Calibri"/>
          <w:color w:val="FF0000"/>
          <w:lang w:val="en-GB" w:eastAsia="en-US"/>
        </w:rPr>
      </w:pPr>
      <w:r w:rsidRPr="002079AC">
        <w:rPr>
          <w:rFonts w:eastAsia="Calibri"/>
          <w:color w:val="FF0000"/>
          <w:lang w:val="en-GB" w:eastAsia="en-US"/>
        </w:rPr>
        <w:tab/>
        <w:t xml:space="preserve">                 </w:t>
      </w:r>
    </w:p>
    <w:p w14:paraId="699D5FB9" w14:textId="77777777" w:rsidR="0092198B" w:rsidRDefault="0092198B" w:rsidP="0092198B">
      <w:pPr>
        <w:tabs>
          <w:tab w:val="left" w:pos="284"/>
          <w:tab w:val="left" w:pos="1413"/>
        </w:tabs>
        <w:contextualSpacing/>
        <w:rPr>
          <w:rFonts w:eastAsia="Calibri"/>
          <w:color w:val="FF0000"/>
          <w:lang w:val="en-GB" w:eastAsia="en-US"/>
        </w:rPr>
      </w:pPr>
    </w:p>
    <w:p w14:paraId="556E233C" w14:textId="77777777" w:rsidR="003E7603" w:rsidRPr="002079AC" w:rsidRDefault="003E7603" w:rsidP="0092198B">
      <w:pPr>
        <w:tabs>
          <w:tab w:val="left" w:pos="284"/>
          <w:tab w:val="left" w:pos="1413"/>
        </w:tabs>
        <w:contextualSpacing/>
        <w:rPr>
          <w:rFonts w:eastAsia="Calibri"/>
          <w:color w:val="FF0000"/>
          <w:lang w:val="en-GB" w:eastAsia="en-US"/>
        </w:rPr>
      </w:pPr>
    </w:p>
    <w:p w14:paraId="7D4A8544" w14:textId="77777777" w:rsidR="0092198B" w:rsidRDefault="0092198B" w:rsidP="003E7603">
      <w:pPr>
        <w:tabs>
          <w:tab w:val="left" w:pos="284"/>
        </w:tabs>
        <w:spacing w:line="276" w:lineRule="auto"/>
        <w:contextualSpacing/>
        <w:jc w:val="center"/>
        <w:outlineLvl w:val="0"/>
        <w:rPr>
          <w:rFonts w:eastAsia="Calibri"/>
          <w:smallCaps/>
          <w:color w:val="000000"/>
          <w:lang w:val="en-GB" w:eastAsia="en-US"/>
        </w:rPr>
      </w:pPr>
      <w:r w:rsidRPr="003E7603">
        <w:rPr>
          <w:rFonts w:eastAsia="Calibri"/>
          <w:color w:val="000000"/>
          <w:lang w:val="en-GB" w:eastAsia="en-US"/>
        </w:rPr>
        <w:t xml:space="preserve">1. – </w:t>
      </w:r>
      <w:r w:rsidR="003E7603" w:rsidRPr="003E7603">
        <w:rPr>
          <w:rFonts w:eastAsia="Calibri"/>
          <w:smallCaps/>
          <w:color w:val="000000"/>
          <w:lang w:val="en-GB" w:eastAsia="en-US"/>
        </w:rPr>
        <w:t>The origin of the research and the questionnaire</w:t>
      </w:r>
    </w:p>
    <w:p w14:paraId="2EE7850E" w14:textId="77777777" w:rsidR="003E7603" w:rsidRPr="003E7603" w:rsidRDefault="003E7603" w:rsidP="003E7603">
      <w:pPr>
        <w:tabs>
          <w:tab w:val="left" w:pos="284"/>
        </w:tabs>
        <w:spacing w:line="276" w:lineRule="auto"/>
        <w:contextualSpacing/>
        <w:jc w:val="center"/>
        <w:outlineLvl w:val="0"/>
        <w:rPr>
          <w:rFonts w:eastAsia="Calibri"/>
          <w:smallCaps/>
          <w:color w:val="000000"/>
          <w:lang w:val="en-GB" w:eastAsia="en-US"/>
        </w:rPr>
      </w:pPr>
    </w:p>
    <w:p w14:paraId="02E82D9A" w14:textId="77777777" w:rsidR="000064A6" w:rsidRDefault="000064A6" w:rsidP="003E7603">
      <w:pPr>
        <w:spacing w:line="276" w:lineRule="auto"/>
        <w:ind w:firstLine="284"/>
        <w:contextualSpacing/>
        <w:jc w:val="both"/>
        <w:rPr>
          <w:lang w:val="en-GB"/>
        </w:rPr>
      </w:pPr>
      <w:r w:rsidRPr="003E7603">
        <w:rPr>
          <w:lang w:val="en-GB"/>
        </w:rPr>
        <w:t xml:space="preserve">Not much scientific literature is available on public procurement remedies in African </w:t>
      </w:r>
      <w:r w:rsidR="00D140F9">
        <w:rPr>
          <w:lang w:val="en-GB"/>
        </w:rPr>
        <w:t>c</w:t>
      </w:r>
      <w:r w:rsidRPr="003E7603">
        <w:rPr>
          <w:lang w:val="en-GB"/>
        </w:rPr>
        <w:t>ountries</w:t>
      </w:r>
      <w:r w:rsidRPr="003E7603">
        <w:rPr>
          <w:rStyle w:val="FootnoteReference"/>
          <w:lang w:val="en-GB"/>
        </w:rPr>
        <w:footnoteReference w:id="1"/>
      </w:r>
      <w:r w:rsidR="00D140F9">
        <w:rPr>
          <w:lang w:val="en-GB"/>
        </w:rPr>
        <w:t>.</w:t>
      </w:r>
      <w:r w:rsidRPr="003E7603">
        <w:rPr>
          <w:lang w:val="en-GB"/>
        </w:rPr>
        <w:t xml:space="preserve"> The present research started with a questionnaire distributed to some s</w:t>
      </w:r>
      <w:r w:rsidR="00A37872">
        <w:rPr>
          <w:lang w:val="en-GB"/>
        </w:rPr>
        <w:t>tudents and former students of m</w:t>
      </w:r>
      <w:r w:rsidRPr="003E7603">
        <w:rPr>
          <w:lang w:val="en-GB"/>
        </w:rPr>
        <w:t>aster programs organized by the University of Torino and the ITCILO (the training centre of the ILO, an agency of the UN) on public procurements managem</w:t>
      </w:r>
      <w:r w:rsidR="00D140F9">
        <w:rPr>
          <w:lang w:val="en-GB"/>
        </w:rPr>
        <w:t>ent for sustainable development</w:t>
      </w:r>
      <w:r w:rsidRPr="003E7603">
        <w:rPr>
          <w:rStyle w:val="FootnoteReference"/>
          <w:lang w:val="en-GB"/>
        </w:rPr>
        <w:footnoteReference w:id="2"/>
      </w:r>
      <w:r w:rsidR="00D140F9">
        <w:rPr>
          <w:lang w:val="en-GB"/>
        </w:rPr>
        <w:t>.</w:t>
      </w:r>
      <w:r w:rsidRPr="003E7603">
        <w:rPr>
          <w:lang w:val="en-GB"/>
        </w:rPr>
        <w:t xml:space="preserve"> </w:t>
      </w:r>
    </w:p>
    <w:p w14:paraId="202A1350" w14:textId="77777777" w:rsidR="003E7603" w:rsidRPr="003E7603" w:rsidRDefault="003E7603" w:rsidP="003E7603">
      <w:pPr>
        <w:spacing w:line="276" w:lineRule="auto"/>
        <w:ind w:firstLine="284"/>
        <w:contextualSpacing/>
        <w:jc w:val="both"/>
        <w:rPr>
          <w:lang w:val="en-GB"/>
        </w:rPr>
      </w:pPr>
    </w:p>
    <w:p w14:paraId="0933978B" w14:textId="77777777" w:rsidR="000064A6" w:rsidRDefault="00D140F9" w:rsidP="003E7603">
      <w:pPr>
        <w:spacing w:line="276" w:lineRule="auto"/>
        <w:ind w:firstLine="284"/>
        <w:contextualSpacing/>
        <w:jc w:val="both"/>
        <w:rPr>
          <w:lang w:val="en-GB"/>
        </w:rPr>
      </w:pPr>
      <w:r>
        <w:rPr>
          <w:lang w:val="en-GB"/>
        </w:rPr>
        <w:t>A questionnaire was prepared (a</w:t>
      </w:r>
      <w:r w:rsidR="000064A6" w:rsidRPr="003E7603">
        <w:rPr>
          <w:lang w:val="en-GB"/>
        </w:rPr>
        <w:t>nnexe 1), both in English and in French, with the idea of covering the main issues of a remedies system but also to use a case method</w:t>
      </w:r>
      <w:r w:rsidR="000064A6" w:rsidRPr="003E7603">
        <w:rPr>
          <w:rStyle w:val="FootnoteReference"/>
          <w:lang w:val="en-GB"/>
        </w:rPr>
        <w:footnoteReference w:id="3"/>
      </w:r>
      <w:r w:rsidR="000064A6" w:rsidRPr="003E7603">
        <w:rPr>
          <w:lang w:val="en-GB"/>
        </w:rPr>
        <w:t xml:space="preserve"> for testing the effectiveness of remedies in similar situations. However, the case method was coupled with some systematic questions, with inevitable reference to a doctrinal language: we are well aware of the flaws this part of our questionnaire may imply, but we were backed by two main reasons. First, the language problem was reduced, since all participants were very skilled in French or in English and, above all, their legal systems use those two languages as official languages (e.g. the UEMOA countries use French </w:t>
      </w:r>
      <w:r w:rsidR="000064A6" w:rsidRPr="003E7603">
        <w:rPr>
          <w:lang w:val="en-GB"/>
        </w:rPr>
        <w:lastRenderedPageBreak/>
        <w:t>officially, as well as UEMOA directives themselves are officially written in French). It is true that using the same language does not mean having the same legal institutions, but undoubtedly that helps to avoid the problems which could be generated by comparing dogmatic questions in different languages. Secondly, we felt that in order to understand how a remedies system works in a foreign country it is also necessary to have a hint of the main institution involved, and the description of institutional design can hardly be achieved just based on a case method. That is because (</w:t>
      </w:r>
      <w:proofErr w:type="spellStart"/>
      <w:r w:rsidR="000064A6" w:rsidRPr="003E7603">
        <w:rPr>
          <w:lang w:val="en-GB"/>
        </w:rPr>
        <w:t>i</w:t>
      </w:r>
      <w:proofErr w:type="spellEnd"/>
      <w:r w:rsidR="000064A6" w:rsidRPr="003E7603">
        <w:rPr>
          <w:lang w:val="en-GB"/>
        </w:rPr>
        <w:t>) judicial cases mainly resolve litigation between parties and rarely inquire into institutional mechanisms (for an example drawn from constitutional law, it is almost impossible to find a Court decision about the vote of confidence between the Parliament and the Government) and (ii) even if a sufficient number of cases were available, it would have taken too much questions in order to provide a full picture of the whole system.</w:t>
      </w:r>
    </w:p>
    <w:p w14:paraId="1B4971CF" w14:textId="77777777" w:rsidR="003E7603" w:rsidRPr="003E7603" w:rsidRDefault="003E7603" w:rsidP="003E7603">
      <w:pPr>
        <w:spacing w:line="276" w:lineRule="auto"/>
        <w:ind w:firstLine="284"/>
        <w:contextualSpacing/>
        <w:jc w:val="both"/>
        <w:rPr>
          <w:lang w:val="en-GB"/>
        </w:rPr>
      </w:pPr>
    </w:p>
    <w:p w14:paraId="6B9FE285" w14:textId="77777777" w:rsidR="000064A6" w:rsidRDefault="000064A6" w:rsidP="003E7603">
      <w:pPr>
        <w:spacing w:line="276" w:lineRule="auto"/>
        <w:ind w:firstLine="284"/>
        <w:contextualSpacing/>
        <w:jc w:val="both"/>
        <w:rPr>
          <w:lang w:val="en-GB"/>
        </w:rPr>
      </w:pPr>
      <w:r w:rsidRPr="003E7603">
        <w:rPr>
          <w:lang w:val="en-GB"/>
        </w:rPr>
        <w:t xml:space="preserve">The choice of respondents was another tricky point in our methodology. We were faced with a high number of former participants to the two masters, coming virtually form every African </w:t>
      </w:r>
      <w:r w:rsidR="00D140F9">
        <w:rPr>
          <w:lang w:val="en-GB"/>
        </w:rPr>
        <w:t>c</w:t>
      </w:r>
      <w:r w:rsidRPr="003E7603">
        <w:rPr>
          <w:lang w:val="en-GB"/>
        </w:rPr>
        <w:t>ountry, but we were not sure about who would have answered and with what degree of accuracy. This is why we decided not to make a selection, nor to target the questionnaires, but to send them out to all African present and former participants in the two Masters, both the French and the English one, hoping to cover the wider possible range of African States. The result was not a complete success in terms of quantity because, after a long exchange of emails, we finally received nine full and reasoned answers to our questionnaires, covering eight African countries</w:t>
      </w:r>
      <w:r w:rsidRPr="003E7603">
        <w:rPr>
          <w:rStyle w:val="FootnoteReference"/>
          <w:lang w:val="en-GB"/>
        </w:rPr>
        <w:footnoteReference w:id="4"/>
      </w:r>
      <w:r w:rsidRPr="003E7603">
        <w:rPr>
          <w:lang w:val="en-GB"/>
        </w:rPr>
        <w:t xml:space="preserve"> (two were from Burkina Faso). Out of them, six were from French speaking countries (Benin, Burkina Faso, Congo Bra</w:t>
      </w:r>
      <w:r w:rsidR="003E3D23">
        <w:rPr>
          <w:lang w:val="en-GB"/>
        </w:rPr>
        <w:t>z</w:t>
      </w:r>
      <w:r w:rsidRPr="003E7603">
        <w:rPr>
          <w:lang w:val="en-GB"/>
        </w:rPr>
        <w:t>zaville, Mauritius, Madagascar and Togo) and only two from English speaking countries (Sudan and Tanz</w:t>
      </w:r>
      <w:r w:rsidR="00586E3F">
        <w:rPr>
          <w:lang w:val="en-GB"/>
        </w:rPr>
        <w:t>ania). All these countries are m</w:t>
      </w:r>
      <w:r w:rsidRPr="003E7603">
        <w:rPr>
          <w:lang w:val="en-GB"/>
        </w:rPr>
        <w:t xml:space="preserve">ember States of the African Union (AU). Among its objectives, the African Union is committed to coordinate and harmonize the policies between the existing and </w:t>
      </w:r>
      <w:r w:rsidR="00336D58">
        <w:rPr>
          <w:lang w:val="en-GB"/>
        </w:rPr>
        <w:t>future regional economic c</w:t>
      </w:r>
      <w:r w:rsidRPr="003E7603">
        <w:rPr>
          <w:lang w:val="en-GB"/>
        </w:rPr>
        <w:t xml:space="preserve">ommunities (RECs) for the gradual attainment of the objectives of the Union (art. 3, letter “l” of the Constitutive Act of </w:t>
      </w:r>
      <w:r w:rsidR="00336D58">
        <w:rPr>
          <w:lang w:val="en-GB"/>
        </w:rPr>
        <w:t>t</w:t>
      </w:r>
      <w:r w:rsidRPr="003E7603">
        <w:rPr>
          <w:lang w:val="en-GB"/>
        </w:rPr>
        <w:t>he African Union)</w:t>
      </w:r>
      <w:r w:rsidRPr="003E7603">
        <w:rPr>
          <w:rStyle w:val="FootnoteReference"/>
          <w:lang w:val="en-GB"/>
        </w:rPr>
        <w:footnoteReference w:id="5"/>
      </w:r>
      <w:r w:rsidR="00D140F9">
        <w:rPr>
          <w:lang w:val="en-GB"/>
        </w:rPr>
        <w:t>.</w:t>
      </w:r>
      <w:r w:rsidRPr="003E7603">
        <w:rPr>
          <w:lang w:val="en-GB"/>
        </w:rPr>
        <w:t xml:space="preserve"> Several </w:t>
      </w:r>
      <w:r w:rsidR="00336D58">
        <w:rPr>
          <w:lang w:val="en-GB"/>
        </w:rPr>
        <w:t>r</w:t>
      </w:r>
      <w:r w:rsidRPr="003E7603">
        <w:rPr>
          <w:lang w:val="en-GB"/>
        </w:rPr>
        <w:t xml:space="preserve">egional </w:t>
      </w:r>
      <w:r w:rsidR="00D140F9">
        <w:rPr>
          <w:lang w:val="en-GB"/>
        </w:rPr>
        <w:t>e</w:t>
      </w:r>
      <w:r w:rsidRPr="003E7603">
        <w:rPr>
          <w:lang w:val="en-GB"/>
        </w:rPr>
        <w:t xml:space="preserve">conomic </w:t>
      </w:r>
      <w:r w:rsidR="00D140F9">
        <w:rPr>
          <w:lang w:val="en-GB"/>
        </w:rPr>
        <w:t>c</w:t>
      </w:r>
      <w:r w:rsidRPr="003E7603">
        <w:rPr>
          <w:lang w:val="en-GB"/>
        </w:rPr>
        <w:t>ommunities exist in Africa: “Africa’s RECs do not only constitute key building blocks for economic integration in Africa, but are also key actors working in collaboration with the African Union (AU), in ensuring peace and stability in their regions”</w:t>
      </w:r>
      <w:r w:rsidRPr="003E7603">
        <w:rPr>
          <w:rStyle w:val="FootnoteReference"/>
          <w:lang w:val="en-GB"/>
        </w:rPr>
        <w:footnoteReference w:id="6"/>
      </w:r>
      <w:r w:rsidR="00D140F9">
        <w:rPr>
          <w:lang w:val="en-GB"/>
        </w:rPr>
        <w:t>.</w:t>
      </w:r>
      <w:r w:rsidRPr="003E7603">
        <w:rPr>
          <w:lang w:val="en-GB"/>
        </w:rPr>
        <w:t xml:space="preserve"> Out of the six reports coming from French speaking countries, three are from </w:t>
      </w:r>
      <w:r w:rsidR="00336D58">
        <w:rPr>
          <w:lang w:val="en-GB"/>
        </w:rPr>
        <w:t>Economic c</w:t>
      </w:r>
      <w:r w:rsidR="00596DB6">
        <w:rPr>
          <w:lang w:val="en-GB"/>
        </w:rPr>
        <w:t>ommunity of w</w:t>
      </w:r>
      <w:r w:rsidRPr="003E7603">
        <w:rPr>
          <w:lang w:val="en-GB"/>
        </w:rPr>
        <w:t xml:space="preserve">est African States (ECOWAS) countries (Benin, Burkina Faso and Togo). The same three </w:t>
      </w:r>
      <w:r w:rsidR="00596DB6">
        <w:rPr>
          <w:lang w:val="en-GB"/>
        </w:rPr>
        <w:t>countries are also part of the west African e</w:t>
      </w:r>
      <w:r w:rsidRPr="003E7603">
        <w:rPr>
          <w:lang w:val="en-GB"/>
        </w:rPr>
        <w:t xml:space="preserve">conomic and </w:t>
      </w:r>
      <w:r w:rsidR="00596DB6">
        <w:rPr>
          <w:lang w:val="en-GB"/>
        </w:rPr>
        <w:t>m</w:t>
      </w:r>
      <w:r w:rsidRPr="003E7603">
        <w:rPr>
          <w:lang w:val="en-GB"/>
        </w:rPr>
        <w:t>onetary Union (UEMOA), which is a sort of subgroup of ECOWAS representing a more integrated unit within it</w:t>
      </w:r>
      <w:r w:rsidRPr="003E7603">
        <w:rPr>
          <w:rStyle w:val="FootnoteReference"/>
          <w:lang w:val="en-GB"/>
        </w:rPr>
        <w:footnoteReference w:id="7"/>
      </w:r>
      <w:r w:rsidRPr="003E7603">
        <w:rPr>
          <w:lang w:val="en-GB"/>
        </w:rPr>
        <w:t xml:space="preserve">. </w:t>
      </w:r>
    </w:p>
    <w:p w14:paraId="6FC1FDBA" w14:textId="77777777" w:rsidR="003E7603" w:rsidRPr="003E7603" w:rsidRDefault="003E7603" w:rsidP="003E7603">
      <w:pPr>
        <w:spacing w:line="276" w:lineRule="auto"/>
        <w:ind w:firstLine="284"/>
        <w:contextualSpacing/>
        <w:jc w:val="both"/>
        <w:rPr>
          <w:lang w:val="en-GB"/>
        </w:rPr>
      </w:pPr>
    </w:p>
    <w:p w14:paraId="002FBAB1" w14:textId="77777777" w:rsidR="000064A6" w:rsidRDefault="000064A6" w:rsidP="003E7603">
      <w:pPr>
        <w:spacing w:line="276" w:lineRule="auto"/>
        <w:ind w:firstLine="284"/>
        <w:contextualSpacing/>
        <w:jc w:val="both"/>
        <w:rPr>
          <w:lang w:val="en-GB"/>
        </w:rPr>
      </w:pPr>
      <w:r w:rsidRPr="003E7603">
        <w:rPr>
          <w:lang w:val="en-GB"/>
        </w:rPr>
        <w:t>Even if not explicitly pursued, the result was to have a representation of countries, both from Common law and from mainly Civil law systems</w:t>
      </w:r>
      <w:r w:rsidRPr="003E7603">
        <w:rPr>
          <w:rStyle w:val="FootnoteReference"/>
          <w:lang w:val="en-GB"/>
        </w:rPr>
        <w:footnoteReference w:id="8"/>
      </w:r>
      <w:r w:rsidRPr="003E7603">
        <w:rPr>
          <w:lang w:val="en-GB"/>
        </w:rPr>
        <w:t xml:space="preserve">, which we considered a well-balanced starting point. On the other hand, the “random” choice of countries to be analysed was not only a weakness </w:t>
      </w:r>
      <w:r w:rsidRPr="003E7603">
        <w:rPr>
          <w:lang w:val="en-GB"/>
        </w:rPr>
        <w:lastRenderedPageBreak/>
        <w:t xml:space="preserve">of our research, due to the lack of homogeneity, but also a key factor because we avoided any bias in the choice of models to analyse, which is often a common mistake in comparative law. The “random” nature of the chosen models will be however reduced in the future, thanks to the participation of the new Master classes to the questionnaire, which will be handed out while students attend the course and thus will presumably produce a higher level of answers. </w:t>
      </w:r>
    </w:p>
    <w:p w14:paraId="4219BDFD" w14:textId="77777777" w:rsidR="003E7603" w:rsidRPr="003E7603" w:rsidRDefault="003E7603" w:rsidP="003E7603">
      <w:pPr>
        <w:spacing w:line="276" w:lineRule="auto"/>
        <w:ind w:firstLine="284"/>
        <w:contextualSpacing/>
        <w:jc w:val="both"/>
        <w:rPr>
          <w:lang w:val="en-GB"/>
        </w:rPr>
      </w:pPr>
    </w:p>
    <w:p w14:paraId="709A7AC2" w14:textId="77777777" w:rsidR="000064A6" w:rsidRDefault="00654942" w:rsidP="00654942">
      <w:pPr>
        <w:spacing w:line="276" w:lineRule="auto"/>
        <w:ind w:firstLine="284"/>
        <w:contextualSpacing/>
        <w:jc w:val="center"/>
        <w:rPr>
          <w:u w:val="single"/>
          <w:lang w:val="en-GB"/>
        </w:rPr>
      </w:pPr>
      <w:r>
        <w:rPr>
          <w:rFonts w:eastAsia="Calibri"/>
          <w:color w:val="000000"/>
          <w:lang w:val="en-GB" w:eastAsia="en-US"/>
        </w:rPr>
        <w:t>2</w:t>
      </w:r>
      <w:r w:rsidRPr="003E7603">
        <w:rPr>
          <w:rFonts w:eastAsia="Calibri"/>
          <w:color w:val="000000"/>
          <w:lang w:val="en-GB" w:eastAsia="en-US"/>
        </w:rPr>
        <w:t xml:space="preserve">. – </w:t>
      </w:r>
      <w:r w:rsidRPr="00654942">
        <w:rPr>
          <w:rFonts w:eastAsia="Calibri"/>
          <w:smallCaps/>
          <w:color w:val="000000"/>
          <w:lang w:val="en-GB" w:eastAsia="en-US"/>
        </w:rPr>
        <w:t>The result of the general part of the questionnaire: characters, sources, types, rules, defence rights and effectiveness</w:t>
      </w:r>
    </w:p>
    <w:p w14:paraId="7164699F" w14:textId="77777777" w:rsidR="003E7603" w:rsidRPr="003E7603" w:rsidRDefault="003E7603" w:rsidP="003E7603">
      <w:pPr>
        <w:spacing w:line="276" w:lineRule="auto"/>
        <w:ind w:firstLine="284"/>
        <w:contextualSpacing/>
        <w:jc w:val="both"/>
        <w:rPr>
          <w:u w:val="single"/>
          <w:lang w:val="en-GB"/>
        </w:rPr>
      </w:pPr>
    </w:p>
    <w:p w14:paraId="3434F06C" w14:textId="77777777" w:rsidR="000064A6" w:rsidRDefault="000064A6" w:rsidP="003E7603">
      <w:pPr>
        <w:spacing w:line="276" w:lineRule="auto"/>
        <w:ind w:firstLine="284"/>
        <w:contextualSpacing/>
        <w:jc w:val="both"/>
        <w:rPr>
          <w:lang w:val="en-GB"/>
        </w:rPr>
      </w:pPr>
      <w:r w:rsidRPr="003E7603">
        <w:rPr>
          <w:lang w:val="en-GB"/>
        </w:rPr>
        <w:t xml:space="preserve">The six general questions of the questionnaire, covering the main features of any remedies system in public procurements, may be resumed in the following four points, which will be followed in order to highlight the legal systems of African countries covered in this paper. The aim is not to simply offer description of different legal systems of public procurement, but to find common features, if any, and to describe the main common models, in order to compare them with other external models, coming from international or regional institutions. </w:t>
      </w:r>
    </w:p>
    <w:p w14:paraId="6DF83C38" w14:textId="77777777" w:rsidR="003E7603" w:rsidRPr="003E7603" w:rsidRDefault="003E7603" w:rsidP="003E7603">
      <w:pPr>
        <w:spacing w:line="276" w:lineRule="auto"/>
        <w:ind w:firstLine="284"/>
        <w:contextualSpacing/>
        <w:jc w:val="both"/>
        <w:rPr>
          <w:lang w:val="en-GB"/>
        </w:rPr>
      </w:pPr>
    </w:p>
    <w:p w14:paraId="672B1A24" w14:textId="77777777" w:rsidR="000064A6" w:rsidRDefault="00654942" w:rsidP="00654942">
      <w:pPr>
        <w:spacing w:line="276" w:lineRule="auto"/>
        <w:ind w:firstLine="284"/>
        <w:contextualSpacing/>
        <w:jc w:val="center"/>
        <w:rPr>
          <w:u w:val="single"/>
          <w:lang w:val="en-GB"/>
        </w:rPr>
      </w:pPr>
      <w:r>
        <w:rPr>
          <w:rFonts w:eastAsia="Calibri"/>
          <w:bCs/>
          <w:lang w:val="en-GB" w:eastAsia="en-US"/>
        </w:rPr>
        <w:t>2</w:t>
      </w:r>
      <w:r w:rsidRPr="00654942">
        <w:rPr>
          <w:rFonts w:eastAsia="Calibri"/>
          <w:lang w:val="en-GB" w:eastAsia="en-US"/>
        </w:rPr>
        <w:t xml:space="preserve">.1. </w:t>
      </w:r>
      <w:r w:rsidRPr="00654942">
        <w:rPr>
          <w:rFonts w:eastAsia="Calibri"/>
          <w:smallCaps/>
          <w:lang w:val="en-GB" w:eastAsia="en-US"/>
        </w:rPr>
        <w:t xml:space="preserve">– </w:t>
      </w:r>
      <w:r w:rsidRPr="00654942">
        <w:rPr>
          <w:rFonts w:eastAsia="Calibri"/>
          <w:i/>
          <w:lang w:val="en-GB" w:eastAsia="en-US"/>
        </w:rPr>
        <w:t>Characters of the legal system (</w:t>
      </w:r>
      <w:r w:rsidR="00596DB6">
        <w:rPr>
          <w:rFonts w:eastAsia="Calibri"/>
          <w:i/>
          <w:lang w:val="en-GB" w:eastAsia="en-US"/>
        </w:rPr>
        <w:t>C</w:t>
      </w:r>
      <w:r w:rsidRPr="00654942">
        <w:rPr>
          <w:rFonts w:eastAsia="Calibri"/>
          <w:i/>
          <w:lang w:val="en-GB" w:eastAsia="en-US"/>
        </w:rPr>
        <w:t xml:space="preserve">ommon law vs. </w:t>
      </w:r>
      <w:r w:rsidR="00596DB6">
        <w:rPr>
          <w:rFonts w:eastAsia="Calibri"/>
          <w:i/>
          <w:lang w:val="en-GB" w:eastAsia="en-US"/>
        </w:rPr>
        <w:t>C</w:t>
      </w:r>
      <w:r w:rsidRPr="00654942">
        <w:rPr>
          <w:rFonts w:eastAsia="Calibri"/>
          <w:i/>
          <w:lang w:val="en-GB" w:eastAsia="en-US"/>
        </w:rPr>
        <w:t>ivil law) and main sources of public procurement legislation</w:t>
      </w:r>
    </w:p>
    <w:p w14:paraId="7B96C332" w14:textId="77777777" w:rsidR="003E7603" w:rsidRPr="003E7603" w:rsidRDefault="003E7603" w:rsidP="003E7603">
      <w:pPr>
        <w:spacing w:line="276" w:lineRule="auto"/>
        <w:ind w:firstLine="284"/>
        <w:contextualSpacing/>
        <w:jc w:val="both"/>
        <w:rPr>
          <w:lang w:val="en-GB"/>
        </w:rPr>
      </w:pPr>
    </w:p>
    <w:p w14:paraId="61CB597C" w14:textId="77777777" w:rsidR="000064A6" w:rsidRDefault="000064A6" w:rsidP="003E7603">
      <w:pPr>
        <w:spacing w:line="276" w:lineRule="auto"/>
        <w:ind w:firstLine="284"/>
        <w:contextualSpacing/>
        <w:jc w:val="both"/>
        <w:rPr>
          <w:lang w:val="en-GB"/>
        </w:rPr>
      </w:pPr>
      <w:r w:rsidRPr="003E7603">
        <w:rPr>
          <w:lang w:val="en-GB"/>
        </w:rPr>
        <w:t>Out of our eight African countries, only one declared its complete adherence to a common law system (Tanzania) while the others are mainly following a French oriented civil law model, with two exceptions for the Mauritian mixed model (</w:t>
      </w:r>
      <w:r w:rsidR="00596DB6">
        <w:rPr>
          <w:lang w:val="en-GB"/>
        </w:rPr>
        <w:t>C</w:t>
      </w:r>
      <w:r w:rsidRPr="003E7603">
        <w:rPr>
          <w:lang w:val="en-GB"/>
        </w:rPr>
        <w:t xml:space="preserve">ivil law for substantial law and </w:t>
      </w:r>
      <w:r w:rsidR="00596DB6">
        <w:rPr>
          <w:lang w:val="en-GB"/>
        </w:rPr>
        <w:t>C</w:t>
      </w:r>
      <w:r w:rsidRPr="003E7603">
        <w:rPr>
          <w:lang w:val="en-GB"/>
        </w:rPr>
        <w:t>ommon law for procedures) and Sudan (</w:t>
      </w:r>
      <w:r w:rsidR="00596DB6">
        <w:rPr>
          <w:lang w:val="en-GB"/>
        </w:rPr>
        <w:t>C</w:t>
      </w:r>
      <w:r w:rsidRPr="003E7603">
        <w:rPr>
          <w:lang w:val="en-GB"/>
        </w:rPr>
        <w:t>ivil law and Islamic law).</w:t>
      </w:r>
    </w:p>
    <w:p w14:paraId="5134E1DB" w14:textId="77777777" w:rsidR="003E7603" w:rsidRPr="003E7603" w:rsidRDefault="003E7603" w:rsidP="003E7603">
      <w:pPr>
        <w:spacing w:line="276" w:lineRule="auto"/>
        <w:ind w:firstLine="284"/>
        <w:contextualSpacing/>
        <w:jc w:val="both"/>
        <w:rPr>
          <w:lang w:val="en-GB"/>
        </w:rPr>
      </w:pPr>
    </w:p>
    <w:p w14:paraId="74C97967" w14:textId="77777777" w:rsidR="000064A6" w:rsidRDefault="000064A6" w:rsidP="003E7603">
      <w:pPr>
        <w:spacing w:line="276" w:lineRule="auto"/>
        <w:ind w:firstLine="284"/>
        <w:contextualSpacing/>
        <w:jc w:val="both"/>
        <w:rPr>
          <w:lang w:val="en-GB"/>
        </w:rPr>
      </w:pPr>
      <w:r w:rsidRPr="003E7603">
        <w:rPr>
          <w:lang w:val="en-GB"/>
        </w:rPr>
        <w:t>What is however most interesting are the answers to questions which reveal the influence of external legal systems onto the national legislation regarding public procurements. The most evident influence is that of U</w:t>
      </w:r>
      <w:r w:rsidR="00D140F9">
        <w:rPr>
          <w:lang w:val="en-GB"/>
        </w:rPr>
        <w:t>EMOA directives onto the three c</w:t>
      </w:r>
      <w:r w:rsidRPr="003E7603">
        <w:rPr>
          <w:lang w:val="en-GB"/>
        </w:rPr>
        <w:t xml:space="preserve">ountries which are members of it (Benin, Burkina Faso and Togo): in all three cases directive UEMOA n. 5/2006 is often cited as the main source for remedies in public procurement local legislation (always inserted in the local public procurement code – code des </w:t>
      </w:r>
      <w:proofErr w:type="spellStart"/>
      <w:r w:rsidRPr="003E7603">
        <w:rPr>
          <w:lang w:val="en-GB"/>
        </w:rPr>
        <w:t>marchés</w:t>
      </w:r>
      <w:proofErr w:type="spellEnd"/>
      <w:r w:rsidRPr="003E7603">
        <w:rPr>
          <w:lang w:val="en-GB"/>
        </w:rPr>
        <w:t xml:space="preserve"> publics)</w:t>
      </w:r>
      <w:r w:rsidRPr="003E7603">
        <w:rPr>
          <w:rStyle w:val="FootnoteReference"/>
          <w:lang w:val="en-GB"/>
        </w:rPr>
        <w:footnoteReference w:id="9"/>
      </w:r>
      <w:r w:rsidRPr="003E7603">
        <w:rPr>
          <w:lang w:val="en-GB"/>
        </w:rPr>
        <w:t xml:space="preserve">. The Benin report informs us that </w:t>
      </w:r>
      <w:r w:rsidR="00D140F9">
        <w:rPr>
          <w:lang w:val="en-GB"/>
        </w:rPr>
        <w:t>d</w:t>
      </w:r>
      <w:r w:rsidRPr="003E7603">
        <w:rPr>
          <w:lang w:val="en-GB"/>
        </w:rPr>
        <w:t xml:space="preserve">irective UEMOA 5/2006, on remedies in public procurement, is presently undergoing a process of reformation and is thus likely to be modified soon, with consequent amendment of all the UEMOA </w:t>
      </w:r>
      <w:r w:rsidR="00D140F9">
        <w:rPr>
          <w:lang w:val="en-GB"/>
        </w:rPr>
        <w:t>c</w:t>
      </w:r>
      <w:r w:rsidRPr="003E7603">
        <w:rPr>
          <w:lang w:val="en-GB"/>
        </w:rPr>
        <w:t>ountries remedies system</w:t>
      </w:r>
      <w:r w:rsidRPr="003E7603">
        <w:rPr>
          <w:rStyle w:val="FootnoteReference"/>
          <w:lang w:val="en-GB"/>
        </w:rPr>
        <w:footnoteReference w:id="10"/>
      </w:r>
      <w:r w:rsidRPr="003E7603">
        <w:rPr>
          <w:lang w:val="en-GB"/>
        </w:rPr>
        <w:t xml:space="preserve">. </w:t>
      </w:r>
    </w:p>
    <w:p w14:paraId="7043655E" w14:textId="77777777" w:rsidR="003E7603" w:rsidRPr="003E7603" w:rsidRDefault="003E7603" w:rsidP="003E7603">
      <w:pPr>
        <w:spacing w:line="276" w:lineRule="auto"/>
        <w:ind w:firstLine="284"/>
        <w:contextualSpacing/>
        <w:jc w:val="both"/>
        <w:rPr>
          <w:lang w:val="en-GB"/>
        </w:rPr>
      </w:pPr>
    </w:p>
    <w:p w14:paraId="6494B837" w14:textId="77777777" w:rsidR="000064A6" w:rsidRDefault="000064A6" w:rsidP="003E7603">
      <w:pPr>
        <w:spacing w:line="276" w:lineRule="auto"/>
        <w:ind w:firstLine="284"/>
        <w:contextualSpacing/>
        <w:jc w:val="both"/>
        <w:rPr>
          <w:lang w:val="en-GB"/>
        </w:rPr>
      </w:pPr>
      <w:r w:rsidRPr="003E7603">
        <w:rPr>
          <w:lang w:val="en-GB"/>
        </w:rPr>
        <w:lastRenderedPageBreak/>
        <w:t>Another important source for national legislation on remedies in public procurement in undoubtedly the UNCITRAL 2011 model law, which was in fact cited in most of the national report as a source of reference in the construction of the national remedies system</w:t>
      </w:r>
      <w:r w:rsidRPr="003E7603">
        <w:rPr>
          <w:rStyle w:val="FootnoteReference"/>
          <w:lang w:val="en-GB"/>
        </w:rPr>
        <w:footnoteReference w:id="11"/>
      </w:r>
      <w:r w:rsidRPr="003E7603">
        <w:rPr>
          <w:lang w:val="en-GB"/>
        </w:rPr>
        <w:t xml:space="preserve">. As it will be seen more extensively later, the African States following the UNCITRAL model law applied all the options included in the model law, introducing a three levels system of remedies including the recourse with the </w:t>
      </w:r>
      <w:r w:rsidR="00A37872">
        <w:rPr>
          <w:lang w:val="en-GB"/>
        </w:rPr>
        <w:t>c</w:t>
      </w:r>
      <w:r w:rsidRPr="003E7603">
        <w:rPr>
          <w:lang w:val="en-GB"/>
        </w:rPr>
        <w:t xml:space="preserve">ontracting </w:t>
      </w:r>
      <w:r w:rsidR="00A37872">
        <w:rPr>
          <w:lang w:val="en-GB"/>
        </w:rPr>
        <w:t>a</w:t>
      </w:r>
      <w:r w:rsidRPr="003E7603">
        <w:rPr>
          <w:lang w:val="en-GB"/>
        </w:rPr>
        <w:t>uthority and/or a hierarchical recourse, then th</w:t>
      </w:r>
      <w:r w:rsidR="00A37872">
        <w:rPr>
          <w:lang w:val="en-GB"/>
        </w:rPr>
        <w:t>e recourse with an independent a</w:t>
      </w:r>
      <w:r w:rsidRPr="003E7603">
        <w:rPr>
          <w:lang w:val="en-GB"/>
        </w:rPr>
        <w:t>uthority and finally, only in case of dissatisfaction also with t</w:t>
      </w:r>
      <w:r w:rsidR="00A37872">
        <w:rPr>
          <w:lang w:val="en-GB"/>
        </w:rPr>
        <w:t>he decision of the independent a</w:t>
      </w:r>
      <w:r w:rsidRPr="003E7603">
        <w:rPr>
          <w:lang w:val="en-GB"/>
        </w:rPr>
        <w:t>uthority, a final recourse with a judicial authority. However</w:t>
      </w:r>
      <w:r w:rsidR="00A37872">
        <w:rPr>
          <w:lang w:val="en-GB"/>
        </w:rPr>
        <w:t>,</w:t>
      </w:r>
      <w:r w:rsidRPr="003E7603">
        <w:rPr>
          <w:lang w:val="en-GB"/>
        </w:rPr>
        <w:t xml:space="preserve"> in certain cases (Togo), after the introduction of the second level of remedy (recourse with the </w:t>
      </w:r>
      <w:r w:rsidR="00441C62">
        <w:rPr>
          <w:lang w:val="en-GB"/>
        </w:rPr>
        <w:t>i</w:t>
      </w:r>
      <w:r w:rsidRPr="003E7603">
        <w:rPr>
          <w:lang w:val="en-GB"/>
        </w:rPr>
        <w:t xml:space="preserve">ndependent </w:t>
      </w:r>
      <w:r w:rsidR="00441C62">
        <w:rPr>
          <w:lang w:val="en-GB"/>
        </w:rPr>
        <w:t>a</w:t>
      </w:r>
      <w:r w:rsidRPr="003E7603">
        <w:rPr>
          <w:lang w:val="en-GB"/>
        </w:rPr>
        <w:t xml:space="preserve">uthority), the </w:t>
      </w:r>
      <w:r w:rsidR="00A37872">
        <w:rPr>
          <w:lang w:val="en-GB"/>
        </w:rPr>
        <w:t>j</w:t>
      </w:r>
      <w:r w:rsidRPr="003E7603">
        <w:rPr>
          <w:lang w:val="en-GB"/>
        </w:rPr>
        <w:t>udicial authority was never more addressed by dissatisfied supplier</w:t>
      </w:r>
      <w:r w:rsidRPr="003E7603">
        <w:rPr>
          <w:rStyle w:val="FootnoteReference"/>
          <w:lang w:val="en-GB"/>
        </w:rPr>
        <w:footnoteReference w:id="12"/>
      </w:r>
      <w:r w:rsidRPr="003E7603">
        <w:rPr>
          <w:lang w:val="en-GB"/>
        </w:rPr>
        <w:t xml:space="preserve">. </w:t>
      </w:r>
    </w:p>
    <w:p w14:paraId="386BF391" w14:textId="77777777" w:rsidR="003E7603" w:rsidRPr="003E7603" w:rsidRDefault="003E7603" w:rsidP="003E7603">
      <w:pPr>
        <w:spacing w:line="276" w:lineRule="auto"/>
        <w:ind w:firstLine="284"/>
        <w:contextualSpacing/>
        <w:jc w:val="both"/>
        <w:rPr>
          <w:lang w:val="en-GB"/>
        </w:rPr>
      </w:pPr>
    </w:p>
    <w:p w14:paraId="206BD67F" w14:textId="77777777" w:rsidR="000064A6" w:rsidRDefault="000064A6" w:rsidP="003E7603">
      <w:pPr>
        <w:spacing w:line="276" w:lineRule="auto"/>
        <w:ind w:firstLine="284"/>
        <w:contextualSpacing/>
        <w:jc w:val="both"/>
        <w:rPr>
          <w:lang w:val="en-GB"/>
        </w:rPr>
      </w:pPr>
      <w:r w:rsidRPr="003E7603">
        <w:rPr>
          <w:lang w:val="en-GB"/>
        </w:rPr>
        <w:t>Donors rules, in particular African Development Bank and World Bank are another source of law for remedies legislation in the African countries covered in this paper. Even if the questionnaire was sent out before the new World Bank procurement regulations for IPF borrowers, publis</w:t>
      </w:r>
      <w:r w:rsidR="00D140F9">
        <w:rPr>
          <w:lang w:val="en-GB"/>
        </w:rPr>
        <w:t>hed in July 2016, some African c</w:t>
      </w:r>
      <w:r w:rsidRPr="003E7603">
        <w:rPr>
          <w:lang w:val="en-GB"/>
        </w:rPr>
        <w:t>ountries were already applying the previous version of such regulations. In particular, Sudan and Tanzania stick very much to World Bank rules, also in the “architecture” of their remedies system, distinguishing between appeals before intention to award and after intent</w:t>
      </w:r>
      <w:r w:rsidR="004003C1">
        <w:rPr>
          <w:lang w:val="en-GB"/>
        </w:rPr>
        <w:t xml:space="preserve">ion to award, along with a </w:t>
      </w:r>
      <w:proofErr w:type="spellStart"/>
      <w:r w:rsidR="004003C1">
        <w:rPr>
          <w:lang w:val="en-GB"/>
        </w:rPr>
        <w:t>well established</w:t>
      </w:r>
      <w:proofErr w:type="spellEnd"/>
      <w:r w:rsidR="004003C1">
        <w:rPr>
          <w:lang w:val="en-GB"/>
        </w:rPr>
        <w:t xml:space="preserve"> World B</w:t>
      </w:r>
      <w:r w:rsidRPr="003E7603">
        <w:rPr>
          <w:lang w:val="en-GB"/>
        </w:rPr>
        <w:t>ank pattern</w:t>
      </w:r>
      <w:r w:rsidRPr="003E7603">
        <w:rPr>
          <w:rStyle w:val="FootnoteReference"/>
          <w:lang w:val="en-GB"/>
        </w:rPr>
        <w:footnoteReference w:id="13"/>
      </w:r>
      <w:r w:rsidRPr="003E7603">
        <w:rPr>
          <w:lang w:val="en-GB"/>
        </w:rPr>
        <w:t>. International donors’ influence on national legislation about remedies can also be realized thr</w:t>
      </w:r>
      <w:r w:rsidR="00D140F9">
        <w:rPr>
          <w:lang w:val="en-GB"/>
        </w:rPr>
        <w:t>ough studies and evaluation on c</w:t>
      </w:r>
      <w:r w:rsidRPr="003E7603">
        <w:rPr>
          <w:lang w:val="en-GB"/>
        </w:rPr>
        <w:t>ountries which receive donations, which are often ranked according to the reliability of their public procurement system, included remedies regulation. This is the case, for example, of Congo Bra</w:t>
      </w:r>
      <w:r w:rsidR="003E3D23">
        <w:rPr>
          <w:lang w:val="en-GB"/>
        </w:rPr>
        <w:t>z</w:t>
      </w:r>
      <w:r w:rsidRPr="003E7603">
        <w:rPr>
          <w:lang w:val="en-GB"/>
        </w:rPr>
        <w:t>zaville, whose new public procurement code of 2009 was strongly influenced by a study commission financed by the World Bank and the International Monetary Fund, particularly focused onto the fight against corruption. The effects of this reform were subsequently assessed by the bank in order to evaluate the effectiveness of the reform</w:t>
      </w:r>
      <w:r w:rsidRPr="003E7603">
        <w:rPr>
          <w:rStyle w:val="FootnoteReference"/>
          <w:lang w:val="en-GB"/>
        </w:rPr>
        <w:footnoteReference w:id="14"/>
      </w:r>
      <w:r w:rsidRPr="003E7603">
        <w:rPr>
          <w:lang w:val="en-GB"/>
        </w:rPr>
        <w:t xml:space="preserve">. </w:t>
      </w:r>
    </w:p>
    <w:p w14:paraId="6410914A" w14:textId="77777777" w:rsidR="003E7603" w:rsidRPr="003E7603" w:rsidRDefault="003E7603" w:rsidP="003E7603">
      <w:pPr>
        <w:spacing w:line="276" w:lineRule="auto"/>
        <w:ind w:firstLine="284"/>
        <w:contextualSpacing/>
        <w:jc w:val="both"/>
        <w:rPr>
          <w:lang w:val="en-GB"/>
        </w:rPr>
      </w:pPr>
    </w:p>
    <w:p w14:paraId="6AA2A4D6" w14:textId="77777777" w:rsidR="000064A6" w:rsidRDefault="000064A6" w:rsidP="003E7603">
      <w:pPr>
        <w:spacing w:line="276" w:lineRule="auto"/>
        <w:ind w:firstLine="284"/>
        <w:contextualSpacing/>
        <w:jc w:val="both"/>
        <w:rPr>
          <w:lang w:val="en-GB"/>
        </w:rPr>
      </w:pPr>
      <w:r w:rsidRPr="003E7603">
        <w:rPr>
          <w:lang w:val="en-GB"/>
        </w:rPr>
        <w:t>Finally, donors rules can also be applied instead of national rules, thus creating a double remedies regime: one for State financed public procurements and another for public procurements financed by international donors</w:t>
      </w:r>
      <w:r w:rsidRPr="003E7603">
        <w:rPr>
          <w:rStyle w:val="FootnoteReference"/>
          <w:lang w:val="en-GB"/>
        </w:rPr>
        <w:footnoteReference w:id="15"/>
      </w:r>
      <w:r w:rsidRPr="003E7603">
        <w:rPr>
          <w:lang w:val="en-GB"/>
        </w:rPr>
        <w:t>. The questionnaire did not address this specific point, which is therefore not clearly developed in national reports. However</w:t>
      </w:r>
      <w:r w:rsidR="00441C62">
        <w:rPr>
          <w:lang w:val="en-GB"/>
        </w:rPr>
        <w:t>,</w:t>
      </w:r>
      <w:r w:rsidRPr="003E7603">
        <w:rPr>
          <w:lang w:val="en-GB"/>
        </w:rPr>
        <w:t xml:space="preserve"> it seems that in African countries covered by the reports there is not a double remedies regime, since only national remedies were cited. In any case the analysis on this point will certainly have to be deepened in future questionnaires.</w:t>
      </w:r>
    </w:p>
    <w:p w14:paraId="7C9AA797" w14:textId="77777777" w:rsidR="003E7603" w:rsidRPr="003E7603" w:rsidRDefault="003E7603" w:rsidP="003E7603">
      <w:pPr>
        <w:spacing w:line="276" w:lineRule="auto"/>
        <w:ind w:firstLine="284"/>
        <w:contextualSpacing/>
        <w:jc w:val="both"/>
        <w:rPr>
          <w:lang w:val="en-GB"/>
        </w:rPr>
      </w:pPr>
    </w:p>
    <w:p w14:paraId="541C43BD" w14:textId="77777777" w:rsidR="000064A6" w:rsidRPr="003E7603" w:rsidRDefault="00654942" w:rsidP="00654942">
      <w:pPr>
        <w:spacing w:line="276" w:lineRule="auto"/>
        <w:ind w:firstLine="284"/>
        <w:contextualSpacing/>
        <w:jc w:val="center"/>
        <w:rPr>
          <w:lang w:val="en-GB"/>
        </w:rPr>
      </w:pPr>
      <w:r>
        <w:rPr>
          <w:rFonts w:eastAsia="Calibri"/>
          <w:bCs/>
          <w:lang w:val="en-GB" w:eastAsia="en-US"/>
        </w:rPr>
        <w:lastRenderedPageBreak/>
        <w:t>2</w:t>
      </w:r>
      <w:r w:rsidRPr="00654942">
        <w:rPr>
          <w:rFonts w:eastAsia="Calibri"/>
          <w:lang w:val="en-GB" w:eastAsia="en-US"/>
        </w:rPr>
        <w:t>.</w:t>
      </w:r>
      <w:r>
        <w:rPr>
          <w:rFonts w:eastAsia="Calibri"/>
          <w:lang w:val="en-GB" w:eastAsia="en-US"/>
        </w:rPr>
        <w:t>2</w:t>
      </w:r>
      <w:r w:rsidRPr="00654942">
        <w:rPr>
          <w:rFonts w:eastAsia="Calibri"/>
          <w:lang w:val="en-GB" w:eastAsia="en-US"/>
        </w:rPr>
        <w:t xml:space="preserve">. </w:t>
      </w:r>
      <w:r w:rsidRPr="00654942">
        <w:rPr>
          <w:rFonts w:eastAsia="Calibri"/>
          <w:smallCaps/>
          <w:lang w:val="en-GB" w:eastAsia="en-US"/>
        </w:rPr>
        <w:t xml:space="preserve">– </w:t>
      </w:r>
      <w:r w:rsidRPr="00654942">
        <w:rPr>
          <w:rFonts w:eastAsia="Calibri"/>
          <w:i/>
          <w:lang w:val="en-GB" w:eastAsia="en-US"/>
        </w:rPr>
        <w:t>Type of remedies afforded to the dissatisfied bidder and rules buttressing the independence/impartiality of the institution competent to grant the remedy, setting its powers and their limits, duration and costs of the procedure</w:t>
      </w:r>
    </w:p>
    <w:p w14:paraId="5B5F9B7A" w14:textId="77777777" w:rsidR="003E7603" w:rsidRDefault="003E7603" w:rsidP="003E7603">
      <w:pPr>
        <w:spacing w:line="276" w:lineRule="auto"/>
        <w:ind w:firstLine="284"/>
        <w:contextualSpacing/>
        <w:jc w:val="both"/>
        <w:rPr>
          <w:lang w:val="en-GB"/>
        </w:rPr>
      </w:pPr>
    </w:p>
    <w:p w14:paraId="7DDC6DC9" w14:textId="77777777" w:rsidR="000064A6" w:rsidRPr="003E7603" w:rsidRDefault="000064A6" w:rsidP="00A37872">
      <w:pPr>
        <w:spacing w:line="276" w:lineRule="auto"/>
        <w:ind w:firstLine="284"/>
        <w:contextualSpacing/>
        <w:jc w:val="both"/>
        <w:rPr>
          <w:lang w:val="en-GB"/>
        </w:rPr>
      </w:pPr>
      <w:r w:rsidRPr="003E7603">
        <w:rPr>
          <w:lang w:val="en-GB"/>
        </w:rPr>
        <w:t xml:space="preserve">With an amazing homogeneity, all </w:t>
      </w:r>
      <w:r w:rsidR="00D140F9">
        <w:rPr>
          <w:lang w:val="en-GB"/>
        </w:rPr>
        <w:t>c</w:t>
      </w:r>
      <w:r w:rsidRPr="003E7603">
        <w:rPr>
          <w:lang w:val="en-GB"/>
        </w:rPr>
        <w:t>ountries covered in this research but one (Sudan</w:t>
      </w:r>
      <w:r w:rsidRPr="003E7603">
        <w:rPr>
          <w:rStyle w:val="FootnoteReference"/>
          <w:lang w:val="en-GB"/>
        </w:rPr>
        <w:footnoteReference w:id="16"/>
      </w:r>
      <w:r w:rsidRPr="003E7603">
        <w:rPr>
          <w:lang w:val="en-GB"/>
        </w:rPr>
        <w:t xml:space="preserve">) present a </w:t>
      </w:r>
      <w:r w:rsidR="00A37872" w:rsidRPr="003E7603">
        <w:rPr>
          <w:lang w:val="en-GB"/>
        </w:rPr>
        <w:t>three-layer</w:t>
      </w:r>
      <w:r w:rsidRPr="003E7603">
        <w:rPr>
          <w:lang w:val="en-GB"/>
        </w:rPr>
        <w:t xml:space="preserve"> system of remedies, the first layer being an application for reconsid</w:t>
      </w:r>
      <w:r w:rsidR="00D140F9">
        <w:rPr>
          <w:lang w:val="en-GB"/>
        </w:rPr>
        <w:t>eration, be it before the same c</w:t>
      </w:r>
      <w:r w:rsidRPr="003E7603">
        <w:rPr>
          <w:lang w:val="en-GB"/>
        </w:rPr>
        <w:t xml:space="preserve">ontracting </w:t>
      </w:r>
      <w:r w:rsidR="00D140F9">
        <w:rPr>
          <w:lang w:val="en-GB"/>
        </w:rPr>
        <w:t>a</w:t>
      </w:r>
      <w:r w:rsidR="00441C62">
        <w:rPr>
          <w:lang w:val="en-GB"/>
        </w:rPr>
        <w:t>uthority (CA) and/or with a</w:t>
      </w:r>
      <w:r w:rsidRPr="003E7603">
        <w:rPr>
          <w:lang w:val="en-GB"/>
        </w:rPr>
        <w:t xml:space="preserve"> hierarchically higher administrative body; t</w:t>
      </w:r>
      <w:r w:rsidR="00A37872">
        <w:rPr>
          <w:lang w:val="en-GB"/>
        </w:rPr>
        <w:t>he second a recourse before an i</w:t>
      </w:r>
      <w:r w:rsidRPr="003E7603">
        <w:rPr>
          <w:lang w:val="en-GB"/>
        </w:rPr>
        <w:t>ndependent administrative agency and the third a recourse before the judicial Authority. At first sight, the scheme followed is the same proposed by the UNCITRAL model law of 2011</w:t>
      </w:r>
      <w:r w:rsidRPr="003E7603">
        <w:rPr>
          <w:rStyle w:val="FootnoteReference"/>
          <w:lang w:val="en-GB"/>
        </w:rPr>
        <w:footnoteReference w:id="17"/>
      </w:r>
      <w:r w:rsidRPr="003E7603">
        <w:rPr>
          <w:lang w:val="en-GB"/>
        </w:rPr>
        <w:t xml:space="preserve">, which however suggests the availability of an application of reconsideration with the same CA and then, alternatively, a recourse before an </w:t>
      </w:r>
      <w:r w:rsidR="00D9209E">
        <w:rPr>
          <w:lang w:val="en-GB"/>
        </w:rPr>
        <w:t>i</w:t>
      </w:r>
      <w:r w:rsidRPr="003E7603">
        <w:rPr>
          <w:lang w:val="en-GB"/>
        </w:rPr>
        <w:t xml:space="preserve">ndependent body or before the Judicial Authority. Instead, through a sort of “over-implementation” </w:t>
      </w:r>
      <w:r w:rsidR="00D140F9">
        <w:rPr>
          <w:lang w:val="en-GB"/>
        </w:rPr>
        <w:t>of the UNCITRAL model law, the c</w:t>
      </w:r>
      <w:r w:rsidRPr="003E7603">
        <w:rPr>
          <w:lang w:val="en-GB"/>
        </w:rPr>
        <w:t>ountries covered in this paper have chosen to supply dissatisfied bidders with both options after the application for reconsideration, giving them the possibility to file a</w:t>
      </w:r>
      <w:r w:rsidR="00A37872">
        <w:rPr>
          <w:lang w:val="en-GB"/>
        </w:rPr>
        <w:t xml:space="preserve"> recourse with a non-judicial i</w:t>
      </w:r>
      <w:r w:rsidRPr="003E7603">
        <w:rPr>
          <w:lang w:val="en-GB"/>
        </w:rPr>
        <w:t xml:space="preserve">ndependent </w:t>
      </w:r>
      <w:r w:rsidR="00A37872">
        <w:rPr>
          <w:lang w:val="en-GB"/>
        </w:rPr>
        <w:t>a</w:t>
      </w:r>
      <w:r w:rsidRPr="003E7603">
        <w:rPr>
          <w:lang w:val="en-GB"/>
        </w:rPr>
        <w:t xml:space="preserve">uthority and, after that, before the </w:t>
      </w:r>
      <w:r w:rsidR="00A37872">
        <w:rPr>
          <w:lang w:val="en-GB"/>
        </w:rPr>
        <w:t>j</w:t>
      </w:r>
      <w:r w:rsidRPr="003E7603">
        <w:rPr>
          <w:lang w:val="en-GB"/>
        </w:rPr>
        <w:t>udicial authority</w:t>
      </w:r>
      <w:r w:rsidRPr="003E7603">
        <w:rPr>
          <w:rStyle w:val="FootnoteReference"/>
          <w:lang w:val="en-GB"/>
        </w:rPr>
        <w:footnoteReference w:id="18"/>
      </w:r>
      <w:r w:rsidRPr="003E7603">
        <w:rPr>
          <w:lang w:val="en-GB"/>
        </w:rPr>
        <w:t xml:space="preserve">. </w:t>
      </w:r>
    </w:p>
    <w:p w14:paraId="0C6CA964" w14:textId="77777777" w:rsidR="003E7603" w:rsidRDefault="003E7603" w:rsidP="003E7603">
      <w:pPr>
        <w:spacing w:line="276" w:lineRule="auto"/>
        <w:ind w:firstLine="284"/>
        <w:contextualSpacing/>
        <w:jc w:val="both"/>
        <w:rPr>
          <w:lang w:val="en-GB"/>
        </w:rPr>
      </w:pPr>
    </w:p>
    <w:p w14:paraId="3FAB0E10" w14:textId="77777777" w:rsidR="000064A6" w:rsidRPr="003E7603" w:rsidRDefault="000064A6" w:rsidP="003E7603">
      <w:pPr>
        <w:spacing w:line="276" w:lineRule="auto"/>
        <w:ind w:firstLine="284"/>
        <w:contextualSpacing/>
        <w:jc w:val="both"/>
        <w:rPr>
          <w:lang w:val="en-GB"/>
        </w:rPr>
      </w:pPr>
      <w:r w:rsidRPr="003E7603">
        <w:rPr>
          <w:lang w:val="en-GB"/>
        </w:rPr>
        <w:t xml:space="preserve">Very often, the first layer is further composed of two steps: the first being strictly speaking an application for reconsideration before the same CA, while the second is a hierarchical recourse before a higher administrative body.  </w:t>
      </w:r>
    </w:p>
    <w:p w14:paraId="20474026" w14:textId="77777777" w:rsidR="003E7603" w:rsidRDefault="003E7603" w:rsidP="003E7603">
      <w:pPr>
        <w:spacing w:line="276" w:lineRule="auto"/>
        <w:ind w:firstLine="284"/>
        <w:contextualSpacing/>
        <w:jc w:val="both"/>
        <w:rPr>
          <w:lang w:val="en-GB"/>
        </w:rPr>
      </w:pPr>
    </w:p>
    <w:p w14:paraId="6874BE74" w14:textId="77777777" w:rsidR="000064A6" w:rsidRPr="003E7603" w:rsidRDefault="000064A6" w:rsidP="003E7603">
      <w:pPr>
        <w:spacing w:line="276" w:lineRule="auto"/>
        <w:ind w:firstLine="284"/>
        <w:contextualSpacing/>
        <w:jc w:val="both"/>
        <w:rPr>
          <w:lang w:val="en-GB"/>
        </w:rPr>
      </w:pPr>
      <w:r w:rsidRPr="003E7603">
        <w:rPr>
          <w:lang w:val="en-GB"/>
        </w:rPr>
        <w:t>The third layer, the one before the Judicial authority, is the one which attracted the lower level of attention from our national rapporteurs, who considered it as something given and, it seems, not so much efficient particularly for reasons of costs and length of the procedure</w:t>
      </w:r>
      <w:r w:rsidRPr="003E7603">
        <w:rPr>
          <w:rStyle w:val="FootnoteReference"/>
          <w:lang w:val="en-GB"/>
        </w:rPr>
        <w:footnoteReference w:id="19"/>
      </w:r>
      <w:r w:rsidRPr="003E7603">
        <w:rPr>
          <w:lang w:val="en-GB"/>
        </w:rPr>
        <w:t xml:space="preserve">. The only relevant difference among the </w:t>
      </w:r>
      <w:r w:rsidR="00D140F9">
        <w:rPr>
          <w:lang w:val="en-GB"/>
        </w:rPr>
        <w:t>c</w:t>
      </w:r>
      <w:r w:rsidRPr="003E7603">
        <w:rPr>
          <w:lang w:val="en-GB"/>
        </w:rPr>
        <w:t>ountries examined is that in French speaking countries with a Fr</w:t>
      </w:r>
      <w:r w:rsidR="00A37872">
        <w:rPr>
          <w:lang w:val="en-GB"/>
        </w:rPr>
        <w:t>ench-like judicial system, the j</w:t>
      </w:r>
      <w:r w:rsidRPr="003E7603">
        <w:rPr>
          <w:lang w:val="en-GB"/>
        </w:rPr>
        <w:t xml:space="preserve">udicial </w:t>
      </w:r>
      <w:r w:rsidR="00A37872">
        <w:rPr>
          <w:lang w:val="en-GB"/>
        </w:rPr>
        <w:t>a</w:t>
      </w:r>
      <w:r w:rsidRPr="003E7603">
        <w:rPr>
          <w:lang w:val="en-GB"/>
        </w:rPr>
        <w:t>uthority competent for recourses in pu</w:t>
      </w:r>
      <w:r w:rsidR="00A37872">
        <w:rPr>
          <w:lang w:val="en-GB"/>
        </w:rPr>
        <w:t>blic procurement sector is the administrative j</w:t>
      </w:r>
      <w:r w:rsidRPr="003E7603">
        <w:rPr>
          <w:lang w:val="en-GB"/>
        </w:rPr>
        <w:t xml:space="preserve">udge, while in the </w:t>
      </w:r>
      <w:r w:rsidR="00D140F9">
        <w:rPr>
          <w:lang w:val="en-GB"/>
        </w:rPr>
        <w:t>common law c</w:t>
      </w:r>
      <w:r w:rsidRPr="003E7603">
        <w:rPr>
          <w:lang w:val="en-GB"/>
        </w:rPr>
        <w:t>ountries (Tanzania) and mixed systems (Mauritius) it is not.</w:t>
      </w:r>
    </w:p>
    <w:p w14:paraId="61BB615F" w14:textId="77777777" w:rsidR="003E7603" w:rsidRDefault="003E7603" w:rsidP="003E7603">
      <w:pPr>
        <w:spacing w:line="276" w:lineRule="auto"/>
        <w:ind w:firstLine="284"/>
        <w:contextualSpacing/>
        <w:jc w:val="both"/>
        <w:rPr>
          <w:lang w:val="en-GB"/>
        </w:rPr>
      </w:pPr>
    </w:p>
    <w:p w14:paraId="6C9375AA" w14:textId="77777777" w:rsidR="000064A6" w:rsidRPr="003E7603" w:rsidRDefault="000064A6" w:rsidP="003E7603">
      <w:pPr>
        <w:spacing w:line="276" w:lineRule="auto"/>
        <w:ind w:firstLine="284"/>
        <w:contextualSpacing/>
        <w:jc w:val="both"/>
        <w:rPr>
          <w:lang w:val="en-GB"/>
        </w:rPr>
      </w:pPr>
      <w:r w:rsidRPr="003E7603">
        <w:rPr>
          <w:lang w:val="en-GB"/>
        </w:rPr>
        <w:t>More attention is given to application for reconsideration with the CA (in French: “</w:t>
      </w:r>
      <w:proofErr w:type="spellStart"/>
      <w:r w:rsidRPr="003E7603">
        <w:rPr>
          <w:lang w:val="en-GB"/>
        </w:rPr>
        <w:t>recours</w:t>
      </w:r>
      <w:proofErr w:type="spellEnd"/>
      <w:r w:rsidRPr="003E7603">
        <w:rPr>
          <w:lang w:val="en-GB"/>
        </w:rPr>
        <w:t xml:space="preserve"> </w:t>
      </w:r>
      <w:proofErr w:type="spellStart"/>
      <w:r w:rsidRPr="003E7603">
        <w:rPr>
          <w:lang w:val="en-GB"/>
        </w:rPr>
        <w:t>gracieux</w:t>
      </w:r>
      <w:proofErr w:type="spellEnd"/>
      <w:r w:rsidRPr="003E7603">
        <w:rPr>
          <w:lang w:val="en-GB"/>
        </w:rPr>
        <w:t>”), which in some cases are doubled with appeals to a higher administrative body (hierarchical recourses). Both are parts of the so-called “</w:t>
      </w:r>
      <w:proofErr w:type="spellStart"/>
      <w:r w:rsidRPr="003E7603">
        <w:rPr>
          <w:lang w:val="en-GB"/>
        </w:rPr>
        <w:t>recours</w:t>
      </w:r>
      <w:proofErr w:type="spellEnd"/>
      <w:r w:rsidRPr="003E7603">
        <w:rPr>
          <w:lang w:val="en-GB"/>
        </w:rPr>
        <w:t xml:space="preserve"> </w:t>
      </w:r>
      <w:proofErr w:type="spellStart"/>
      <w:r w:rsidRPr="003E7603">
        <w:rPr>
          <w:lang w:val="en-GB"/>
        </w:rPr>
        <w:t>préalable</w:t>
      </w:r>
      <w:proofErr w:type="spellEnd"/>
      <w:r w:rsidRPr="003E7603">
        <w:rPr>
          <w:lang w:val="en-GB"/>
        </w:rPr>
        <w:t xml:space="preserve">”. In the case of hierarchical recourses, the independence of the deciding persons is not required (and would not be possible), as the recourse is more perceived as the participation of interested parties into the same procedure of </w:t>
      </w:r>
      <w:r w:rsidRPr="003E7603">
        <w:rPr>
          <w:lang w:val="en-GB"/>
        </w:rPr>
        <w:lastRenderedPageBreak/>
        <w:t>awarding the contract. It almost always happen</w:t>
      </w:r>
      <w:r w:rsidR="007D2640">
        <w:rPr>
          <w:lang w:val="en-GB"/>
        </w:rPr>
        <w:t>s</w:t>
      </w:r>
      <w:r w:rsidRPr="003E7603">
        <w:rPr>
          <w:lang w:val="en-GB"/>
        </w:rPr>
        <w:t xml:space="preserve"> that application for reconsideration with the CA entails automatic suspension of the awa</w:t>
      </w:r>
      <w:r w:rsidR="00D140F9">
        <w:rPr>
          <w:lang w:val="en-GB"/>
        </w:rPr>
        <w:t>rd (e.g. it is so in all UEMOA c</w:t>
      </w:r>
      <w:r w:rsidRPr="003E7603">
        <w:rPr>
          <w:lang w:val="en-GB"/>
        </w:rPr>
        <w:t xml:space="preserve">ountries, due to the specific </w:t>
      </w:r>
      <w:r w:rsidR="005E52D4">
        <w:rPr>
          <w:lang w:val="en-GB"/>
        </w:rPr>
        <w:t>provision of art. 10 d</w:t>
      </w:r>
      <w:r w:rsidRPr="003E7603">
        <w:rPr>
          <w:lang w:val="en-GB"/>
        </w:rPr>
        <w:t xml:space="preserve">irective 5/2005), but this feature is justified with a very short deadlines for filing the application (five working days from the publication or notification of the contested decision) an for the CA to decide (another limited number of working days). In almost all the French speaking </w:t>
      </w:r>
      <w:r w:rsidR="00D140F9">
        <w:rPr>
          <w:lang w:val="en-GB"/>
        </w:rPr>
        <w:t>c</w:t>
      </w:r>
      <w:r w:rsidRPr="003E7603">
        <w:rPr>
          <w:lang w:val="en-GB"/>
        </w:rPr>
        <w:t>o</w:t>
      </w:r>
      <w:r w:rsidR="00586E3F">
        <w:rPr>
          <w:lang w:val="en-GB"/>
        </w:rPr>
        <w:t>untries (not necessarily UEMOA m</w:t>
      </w:r>
      <w:r w:rsidRPr="003E7603">
        <w:rPr>
          <w:lang w:val="en-GB"/>
        </w:rPr>
        <w:t>embers) the law pro</w:t>
      </w:r>
      <w:r w:rsidR="00441C62">
        <w:rPr>
          <w:lang w:val="en-GB"/>
        </w:rPr>
        <w:t>vides for a Person responsible for p</w:t>
      </w:r>
      <w:r w:rsidRPr="003E7603">
        <w:rPr>
          <w:lang w:val="en-GB"/>
        </w:rPr>
        <w:t xml:space="preserve">ublic </w:t>
      </w:r>
      <w:r w:rsidR="00441C62">
        <w:rPr>
          <w:lang w:val="en-GB"/>
        </w:rPr>
        <w:t>p</w:t>
      </w:r>
      <w:r w:rsidRPr="003E7603">
        <w:rPr>
          <w:lang w:val="en-GB"/>
        </w:rPr>
        <w:t>rocurement (PRPP) who sometimes is a technical expert, while other times is a political appointee (e.g. in Madagascar</w:t>
      </w:r>
      <w:r w:rsidRPr="003E7603">
        <w:rPr>
          <w:rStyle w:val="FootnoteReference"/>
          <w:lang w:val="en-GB"/>
        </w:rPr>
        <w:footnoteReference w:id="20"/>
      </w:r>
      <w:r w:rsidRPr="003E7603">
        <w:rPr>
          <w:lang w:val="en-GB"/>
        </w:rPr>
        <w:t xml:space="preserve">) and deals as representative of the CA also in case of appeals. In Congo Brazzaville, the appeal must be addressed to the PRPP, who is previously identified by law and is authorized to take final decision, subject to challenge through a hierarchical appeal. </w:t>
      </w:r>
    </w:p>
    <w:p w14:paraId="7015FA22" w14:textId="77777777" w:rsidR="003E7603" w:rsidRDefault="003E7603" w:rsidP="003E7603">
      <w:pPr>
        <w:spacing w:line="276" w:lineRule="auto"/>
        <w:ind w:firstLine="284"/>
        <w:contextualSpacing/>
        <w:jc w:val="both"/>
        <w:rPr>
          <w:lang w:val="en-GB"/>
        </w:rPr>
      </w:pPr>
    </w:p>
    <w:p w14:paraId="1629E277" w14:textId="77777777" w:rsidR="000064A6" w:rsidRDefault="000064A6" w:rsidP="003E7603">
      <w:pPr>
        <w:spacing w:line="276" w:lineRule="auto"/>
        <w:ind w:firstLine="284"/>
        <w:contextualSpacing/>
        <w:jc w:val="both"/>
        <w:rPr>
          <w:lang w:val="en-GB"/>
        </w:rPr>
      </w:pPr>
      <w:r w:rsidRPr="003E7603">
        <w:rPr>
          <w:lang w:val="en-GB"/>
        </w:rPr>
        <w:t>The most interest</w:t>
      </w:r>
      <w:r w:rsidR="004003C1">
        <w:rPr>
          <w:lang w:val="en-GB"/>
        </w:rPr>
        <w:t xml:space="preserve">ing layer is surely the second, </w:t>
      </w:r>
      <w:r w:rsidRPr="003E7603">
        <w:rPr>
          <w:lang w:val="en-GB"/>
        </w:rPr>
        <w:t xml:space="preserve">that is the one before the </w:t>
      </w:r>
      <w:r w:rsidR="00A37872">
        <w:rPr>
          <w:lang w:val="en-GB"/>
        </w:rPr>
        <w:t>independent a</w:t>
      </w:r>
      <w:r w:rsidRPr="003E7603">
        <w:rPr>
          <w:lang w:val="en-GB"/>
        </w:rPr>
        <w:t>dmini</w:t>
      </w:r>
      <w:r w:rsidR="00A37872">
        <w:rPr>
          <w:lang w:val="en-GB"/>
        </w:rPr>
        <w:t>strative a</w:t>
      </w:r>
      <w:r w:rsidR="001F0969">
        <w:rPr>
          <w:lang w:val="en-GB"/>
        </w:rPr>
        <w:t>gency. Every African c</w:t>
      </w:r>
      <w:r w:rsidRPr="003E7603">
        <w:rPr>
          <w:lang w:val="en-GB"/>
        </w:rPr>
        <w:t xml:space="preserve">ountry covered by </w:t>
      </w:r>
      <w:r w:rsidR="00A37872">
        <w:rPr>
          <w:lang w:val="en-GB"/>
        </w:rPr>
        <w:t>this report has an independent a</w:t>
      </w:r>
      <w:r w:rsidRPr="003E7603">
        <w:rPr>
          <w:lang w:val="en-GB"/>
        </w:rPr>
        <w:t xml:space="preserve">dministrative </w:t>
      </w:r>
      <w:r w:rsidR="00A37872">
        <w:rPr>
          <w:lang w:val="en-GB"/>
        </w:rPr>
        <w:t>a</w:t>
      </w:r>
      <w:r w:rsidRPr="003E7603">
        <w:rPr>
          <w:lang w:val="en-GB"/>
        </w:rPr>
        <w:t>gency with the power to settle public procurement litigation</w:t>
      </w:r>
      <w:r w:rsidRPr="003E7603">
        <w:rPr>
          <w:rStyle w:val="FootnoteReference"/>
          <w:lang w:val="en-GB"/>
        </w:rPr>
        <w:footnoteReference w:id="21"/>
      </w:r>
      <w:r w:rsidRPr="003E7603">
        <w:rPr>
          <w:lang w:val="en-GB"/>
        </w:rPr>
        <w:t>.</w:t>
      </w:r>
      <w:r w:rsidR="00441C62">
        <w:rPr>
          <w:lang w:val="en-GB"/>
        </w:rPr>
        <w:t xml:space="preserve"> </w:t>
      </w:r>
      <w:r w:rsidRPr="003E7603">
        <w:rPr>
          <w:lang w:val="en-GB"/>
        </w:rPr>
        <w:t>Each authority has obviously not only a different name, but also a different composition and different powers. However, all of them have become a permanent feature in the remedies system for public procurement. Judging from the reports received, it seems they begin to be perceived as the best level for administering complaints of dissatisfied bidders, better than judicial Courts. Moreover, their decisions seem to be more accessible than the judi</w:t>
      </w:r>
      <w:r w:rsidR="00A37872">
        <w:rPr>
          <w:lang w:val="en-GB"/>
        </w:rPr>
        <w:t>cial ones, this as a result of i</w:t>
      </w:r>
      <w:r w:rsidRPr="003E7603">
        <w:rPr>
          <w:lang w:val="en-GB"/>
        </w:rPr>
        <w:t xml:space="preserve">ndependent </w:t>
      </w:r>
      <w:r w:rsidR="00A37872">
        <w:rPr>
          <w:lang w:val="en-GB"/>
        </w:rPr>
        <w:t>a</w:t>
      </w:r>
      <w:r w:rsidRPr="003E7603">
        <w:rPr>
          <w:lang w:val="en-GB"/>
        </w:rPr>
        <w:t xml:space="preserve">dministrative </w:t>
      </w:r>
      <w:r w:rsidR="00A37872">
        <w:rPr>
          <w:lang w:val="en-GB"/>
        </w:rPr>
        <w:t>a</w:t>
      </w:r>
      <w:r w:rsidRPr="003E7603">
        <w:rPr>
          <w:lang w:val="en-GB"/>
        </w:rPr>
        <w:t>gency’s transparency efforts. Their websites generally include a section specifically dealing with publishing and making available their decisions</w:t>
      </w:r>
      <w:r w:rsidRPr="003E7603">
        <w:rPr>
          <w:rStyle w:val="FootnoteReference"/>
          <w:lang w:val="en-GB"/>
        </w:rPr>
        <w:footnoteReference w:id="22"/>
      </w:r>
      <w:r w:rsidRPr="003E7603">
        <w:rPr>
          <w:lang w:val="en-GB"/>
        </w:rPr>
        <w:t>. However, the collection of decisions</w:t>
      </w:r>
      <w:r w:rsidRPr="003E7603">
        <w:rPr>
          <w:lang w:val="en-US"/>
        </w:rPr>
        <w:t xml:space="preserve"> </w:t>
      </w:r>
      <w:r w:rsidRPr="003E7603">
        <w:rPr>
          <w:lang w:val="en-GB"/>
        </w:rPr>
        <w:t>is not always periodically updated. Other times, texts of decisions are not available or downloadable (this is in particular the case of the platform putting together the public procurem</w:t>
      </w:r>
      <w:r w:rsidR="00586E3F">
        <w:rPr>
          <w:lang w:val="en-GB"/>
        </w:rPr>
        <w:t>ent data coming from the eight m</w:t>
      </w:r>
      <w:r w:rsidR="004003C1">
        <w:rPr>
          <w:lang w:val="en-GB"/>
        </w:rPr>
        <w:t>ember States of UEMOA)</w:t>
      </w:r>
      <w:r w:rsidRPr="003E7603">
        <w:rPr>
          <w:rStyle w:val="FootnoteReference"/>
          <w:lang w:val="en-GB"/>
        </w:rPr>
        <w:footnoteReference w:id="23"/>
      </w:r>
      <w:r w:rsidRPr="003E7603">
        <w:rPr>
          <w:lang w:val="en-GB"/>
        </w:rPr>
        <w:t>.</w:t>
      </w:r>
    </w:p>
    <w:p w14:paraId="5FE1A94C" w14:textId="77777777" w:rsidR="003E7603" w:rsidRPr="003E7603" w:rsidRDefault="003E7603" w:rsidP="003E7603">
      <w:pPr>
        <w:spacing w:line="276" w:lineRule="auto"/>
        <w:ind w:firstLine="284"/>
        <w:contextualSpacing/>
        <w:jc w:val="both"/>
        <w:rPr>
          <w:lang w:val="en-GB"/>
        </w:rPr>
      </w:pPr>
    </w:p>
    <w:p w14:paraId="6F28C00B" w14:textId="77777777" w:rsidR="000064A6" w:rsidRPr="003E7603" w:rsidRDefault="00654942" w:rsidP="00654942">
      <w:pPr>
        <w:spacing w:line="276" w:lineRule="auto"/>
        <w:ind w:firstLine="284"/>
        <w:contextualSpacing/>
        <w:jc w:val="center"/>
        <w:rPr>
          <w:color w:val="000000"/>
          <w:lang w:val="en-GB" w:bidi="lo-LA"/>
        </w:rPr>
      </w:pPr>
      <w:r>
        <w:rPr>
          <w:rFonts w:eastAsia="Calibri"/>
          <w:bCs/>
          <w:lang w:val="en-GB" w:eastAsia="en-US"/>
        </w:rPr>
        <w:t>2</w:t>
      </w:r>
      <w:r w:rsidRPr="00654942">
        <w:rPr>
          <w:rFonts w:eastAsia="Calibri"/>
          <w:lang w:val="en-GB" w:eastAsia="en-US"/>
        </w:rPr>
        <w:t>.</w:t>
      </w:r>
      <w:r>
        <w:rPr>
          <w:rFonts w:eastAsia="Calibri"/>
          <w:lang w:val="en-GB" w:eastAsia="en-US"/>
        </w:rPr>
        <w:t>3</w:t>
      </w:r>
      <w:r w:rsidRPr="00654942">
        <w:rPr>
          <w:rFonts w:eastAsia="Calibri"/>
          <w:lang w:val="en-GB" w:eastAsia="en-US"/>
        </w:rPr>
        <w:t xml:space="preserve">. </w:t>
      </w:r>
      <w:r w:rsidRPr="00654942">
        <w:rPr>
          <w:rFonts w:eastAsia="Calibri"/>
          <w:smallCaps/>
          <w:lang w:val="en-GB" w:eastAsia="en-US"/>
        </w:rPr>
        <w:t xml:space="preserve">– </w:t>
      </w:r>
      <w:r w:rsidRPr="00654942">
        <w:rPr>
          <w:rFonts w:eastAsia="Calibri"/>
          <w:i/>
          <w:lang w:val="en-GB" w:eastAsia="en-US"/>
        </w:rPr>
        <w:t>Defence rights granted to the applicants and to the opponent (the bidder having being awarded the contract or the preferred bidder)</w:t>
      </w:r>
    </w:p>
    <w:p w14:paraId="095C545E" w14:textId="77777777" w:rsidR="003E7603" w:rsidRDefault="003E7603" w:rsidP="003E7603">
      <w:pPr>
        <w:spacing w:line="276" w:lineRule="auto"/>
        <w:ind w:firstLine="284"/>
        <w:contextualSpacing/>
        <w:jc w:val="both"/>
        <w:rPr>
          <w:color w:val="000000"/>
          <w:lang w:val="en-GB" w:bidi="lo-LA"/>
        </w:rPr>
      </w:pPr>
    </w:p>
    <w:p w14:paraId="361D630E" w14:textId="77777777" w:rsidR="000064A6" w:rsidRPr="003E7603" w:rsidRDefault="000064A6" w:rsidP="003E7603">
      <w:pPr>
        <w:spacing w:line="276" w:lineRule="auto"/>
        <w:ind w:firstLine="284"/>
        <w:contextualSpacing/>
        <w:jc w:val="both"/>
        <w:rPr>
          <w:color w:val="000000"/>
          <w:lang w:val="en-GB" w:bidi="lo-LA"/>
        </w:rPr>
      </w:pPr>
      <w:r w:rsidRPr="003E7603">
        <w:rPr>
          <w:color w:val="000000"/>
          <w:lang w:val="en-GB" w:bidi="lo-LA"/>
        </w:rPr>
        <w:lastRenderedPageBreak/>
        <w:t xml:space="preserve">The level of defence rights is of course varying in relation to the authority where the defence rights have to be provided: they are lower at the first stage (application for consideration before the CA) and they are maximum when litigation arrives before the </w:t>
      </w:r>
      <w:r w:rsidR="00441C62">
        <w:rPr>
          <w:color w:val="000000"/>
          <w:lang w:val="en-GB" w:bidi="lo-LA"/>
        </w:rPr>
        <w:t>j</w:t>
      </w:r>
      <w:r w:rsidRPr="003E7603">
        <w:rPr>
          <w:color w:val="000000"/>
          <w:lang w:val="en-GB" w:bidi="lo-LA"/>
        </w:rPr>
        <w:t xml:space="preserve">udicial </w:t>
      </w:r>
      <w:r w:rsidR="00441C62">
        <w:rPr>
          <w:color w:val="000000"/>
          <w:lang w:val="en-GB" w:bidi="lo-LA"/>
        </w:rPr>
        <w:t>a</w:t>
      </w:r>
      <w:r w:rsidRPr="003E7603">
        <w:rPr>
          <w:color w:val="000000"/>
          <w:lang w:val="en-GB" w:bidi="lo-LA"/>
        </w:rPr>
        <w:t xml:space="preserve">uthority. However, following a pattern already noticed in previous paragraphs, our national rapporteurs do no spend too much words for describing the rights given to aggrieved parties in the Judicial process, considering it as granted, while describing more accurately the other two phases and particularly the one before </w:t>
      </w:r>
      <w:r w:rsidR="00D9209E">
        <w:rPr>
          <w:color w:val="000000"/>
          <w:lang w:val="en-GB" w:bidi="lo-LA"/>
        </w:rPr>
        <w:t>independent a</w:t>
      </w:r>
      <w:r w:rsidRPr="003E7603">
        <w:rPr>
          <w:color w:val="000000"/>
          <w:lang w:val="en-GB" w:bidi="lo-LA"/>
        </w:rPr>
        <w:t xml:space="preserve">gencies. </w:t>
      </w:r>
    </w:p>
    <w:p w14:paraId="206DDFD0" w14:textId="77777777" w:rsidR="003E7603" w:rsidRDefault="003E7603" w:rsidP="003E7603">
      <w:pPr>
        <w:spacing w:line="276" w:lineRule="auto"/>
        <w:ind w:firstLine="284"/>
        <w:contextualSpacing/>
        <w:jc w:val="both"/>
        <w:rPr>
          <w:color w:val="000000"/>
          <w:lang w:val="en-GB" w:bidi="lo-LA"/>
        </w:rPr>
      </w:pPr>
    </w:p>
    <w:p w14:paraId="322FEC3B" w14:textId="77777777" w:rsidR="000064A6" w:rsidRPr="003E7603" w:rsidRDefault="000064A6" w:rsidP="003E7603">
      <w:pPr>
        <w:spacing w:line="276" w:lineRule="auto"/>
        <w:ind w:firstLine="284"/>
        <w:contextualSpacing/>
        <w:jc w:val="both"/>
        <w:rPr>
          <w:color w:val="000000"/>
          <w:lang w:val="en-GB" w:bidi="lo-LA"/>
        </w:rPr>
      </w:pPr>
      <w:r w:rsidRPr="003E7603">
        <w:rPr>
          <w:color w:val="000000"/>
          <w:lang w:val="en-GB" w:bidi="lo-LA"/>
        </w:rPr>
        <w:t>In the first layer, namely the application for reconsideration and the appeal to a higher administrative authority, the right to hearing, to lodge written memos and to a reasoned decision are widely recognized, while the right to have access to all the documents of the procedure is more controversial. In some cases</w:t>
      </w:r>
      <w:r w:rsidR="00441C62">
        <w:rPr>
          <w:color w:val="000000"/>
          <w:lang w:val="en-GB" w:bidi="lo-LA"/>
        </w:rPr>
        <w:t>,</w:t>
      </w:r>
      <w:r w:rsidRPr="003E7603">
        <w:rPr>
          <w:color w:val="000000"/>
          <w:lang w:val="en-GB" w:bidi="lo-LA"/>
        </w:rPr>
        <w:t xml:space="preserve"> it is not recognized and it is up to the CA or the higher administrative entity (in case of hierarchical recourse) to decide, while in other cases it is granted. </w:t>
      </w:r>
    </w:p>
    <w:p w14:paraId="738659B7" w14:textId="77777777" w:rsidR="003E7603" w:rsidRDefault="003E7603" w:rsidP="003E7603">
      <w:pPr>
        <w:spacing w:line="276" w:lineRule="auto"/>
        <w:ind w:firstLine="284"/>
        <w:contextualSpacing/>
        <w:jc w:val="both"/>
        <w:rPr>
          <w:color w:val="000000"/>
          <w:lang w:val="en-GB" w:bidi="lo-LA"/>
        </w:rPr>
      </w:pPr>
    </w:p>
    <w:p w14:paraId="042CA9DC" w14:textId="77777777" w:rsidR="000064A6" w:rsidRDefault="000064A6" w:rsidP="003E7603">
      <w:pPr>
        <w:spacing w:line="276" w:lineRule="auto"/>
        <w:ind w:firstLine="284"/>
        <w:contextualSpacing/>
        <w:jc w:val="both"/>
        <w:rPr>
          <w:color w:val="000000"/>
          <w:lang w:val="en-GB" w:bidi="lo-LA"/>
        </w:rPr>
      </w:pPr>
      <w:r w:rsidRPr="003E7603">
        <w:rPr>
          <w:color w:val="000000"/>
          <w:lang w:val="en-GB" w:bidi="lo-LA"/>
        </w:rPr>
        <w:t>The second level or remedies provided by the jurisdictions examined consists of an</w:t>
      </w:r>
      <w:r w:rsidR="00D9209E">
        <w:rPr>
          <w:color w:val="000000"/>
          <w:lang w:val="en-GB" w:bidi="lo-LA"/>
        </w:rPr>
        <w:t xml:space="preserve"> appeal before and i</w:t>
      </w:r>
      <w:r w:rsidR="00441C62">
        <w:rPr>
          <w:color w:val="000000"/>
          <w:lang w:val="en-GB" w:bidi="lo-LA"/>
        </w:rPr>
        <w:t>ndependent n</w:t>
      </w:r>
      <w:r w:rsidRPr="003E7603">
        <w:rPr>
          <w:color w:val="000000"/>
          <w:lang w:val="en-GB" w:bidi="lo-LA"/>
        </w:rPr>
        <w:t>on</w:t>
      </w:r>
      <w:r w:rsidR="00441C62">
        <w:rPr>
          <w:color w:val="000000"/>
          <w:lang w:val="en-GB" w:bidi="lo-LA"/>
        </w:rPr>
        <w:t>-</w:t>
      </w:r>
      <w:r w:rsidRPr="003E7603">
        <w:rPr>
          <w:color w:val="000000"/>
          <w:lang w:val="en-GB" w:bidi="lo-LA"/>
        </w:rPr>
        <w:t xml:space="preserve">judicial </w:t>
      </w:r>
      <w:r w:rsidR="00441C62">
        <w:rPr>
          <w:color w:val="000000"/>
          <w:lang w:val="en-GB" w:bidi="lo-LA"/>
        </w:rPr>
        <w:t>a</w:t>
      </w:r>
      <w:r w:rsidRPr="003E7603">
        <w:rPr>
          <w:color w:val="000000"/>
          <w:lang w:val="en-GB" w:bidi="lo-LA"/>
        </w:rPr>
        <w:t>uthority. In this case almost all the guarantees typical of a judicial recourse are granted to the dissatisfied bidder and to the opponents but, again, access to documents is controversial: Togo does not grant it for appeals before the CRD, nor Mauritius for appeals before the IRP. However, that does not mean the access to documents is always denied, but only that it is at the discr</w:t>
      </w:r>
      <w:r w:rsidR="00441C62">
        <w:rPr>
          <w:color w:val="000000"/>
          <w:lang w:val="en-GB" w:bidi="lo-LA"/>
        </w:rPr>
        <w:t>etion of the a</w:t>
      </w:r>
      <w:r w:rsidRPr="003E7603">
        <w:rPr>
          <w:color w:val="000000"/>
          <w:lang w:val="en-GB" w:bidi="lo-LA"/>
        </w:rPr>
        <w:t xml:space="preserve">uthority. </w:t>
      </w:r>
    </w:p>
    <w:p w14:paraId="407D1172" w14:textId="77777777" w:rsidR="003E7603" w:rsidRPr="003E7603" w:rsidRDefault="003E7603" w:rsidP="003E7603">
      <w:pPr>
        <w:spacing w:line="276" w:lineRule="auto"/>
        <w:ind w:firstLine="284"/>
        <w:contextualSpacing/>
        <w:jc w:val="both"/>
        <w:rPr>
          <w:color w:val="000000"/>
          <w:lang w:val="en-GB" w:bidi="lo-LA"/>
        </w:rPr>
      </w:pPr>
    </w:p>
    <w:p w14:paraId="191328EB" w14:textId="77777777" w:rsidR="000064A6" w:rsidRDefault="000064A6" w:rsidP="003E7603">
      <w:pPr>
        <w:spacing w:line="276" w:lineRule="auto"/>
        <w:ind w:firstLine="284"/>
        <w:contextualSpacing/>
        <w:jc w:val="both"/>
        <w:rPr>
          <w:color w:val="000000"/>
          <w:lang w:val="en-GB" w:bidi="lo-LA"/>
        </w:rPr>
      </w:pPr>
      <w:r w:rsidRPr="003E7603">
        <w:rPr>
          <w:color w:val="000000"/>
          <w:lang w:val="en-GB" w:bidi="lo-LA"/>
        </w:rPr>
        <w:t xml:space="preserve">In both cases of application for reconsideration and appeals to an </w:t>
      </w:r>
      <w:r w:rsidR="00D9209E">
        <w:rPr>
          <w:color w:val="000000"/>
          <w:lang w:val="en-GB" w:bidi="lo-LA"/>
        </w:rPr>
        <w:t>i</w:t>
      </w:r>
      <w:r w:rsidRPr="003E7603">
        <w:rPr>
          <w:color w:val="000000"/>
          <w:lang w:val="en-GB" w:bidi="lo-LA"/>
        </w:rPr>
        <w:t xml:space="preserve">ndependent body, the UNCITRAL model law, art. 68, suggests to grant to applicants the right to be present, represented and accompanied at all hearings during the proceedings; the right to request that any hearing take place in public and the right to seek access to the record of the challenge proceedings, subject to the provision of article 69 which states some exceptions in order to protect confidentiality. According to UNCITRAL, thus, the right to have access to documents is the only which can be limited, even if it must be recognized in general, and that can perhaps explain the different </w:t>
      </w:r>
      <w:r w:rsidR="00D140F9">
        <w:rPr>
          <w:color w:val="000000"/>
          <w:lang w:val="en-GB" w:bidi="lo-LA"/>
        </w:rPr>
        <w:t>solutions given by the several c</w:t>
      </w:r>
      <w:r w:rsidRPr="003E7603">
        <w:rPr>
          <w:color w:val="000000"/>
          <w:lang w:val="en-GB" w:bidi="lo-LA"/>
        </w:rPr>
        <w:t xml:space="preserve">ountries covered in this report. On the other hand, the UNCITRAL model law provides with the same rights both applicants in a reconsideration procedure before the CA and applicants for an appeal before the Independent </w:t>
      </w:r>
      <w:r w:rsidR="00D9209E">
        <w:rPr>
          <w:color w:val="000000"/>
          <w:lang w:val="en-GB" w:bidi="lo-LA"/>
        </w:rPr>
        <w:t>b</w:t>
      </w:r>
      <w:r w:rsidR="00D140F9">
        <w:rPr>
          <w:color w:val="000000"/>
          <w:lang w:val="en-GB" w:bidi="lo-LA"/>
        </w:rPr>
        <w:t>ody, while what happens to the c</w:t>
      </w:r>
      <w:r w:rsidRPr="003E7603">
        <w:rPr>
          <w:color w:val="000000"/>
          <w:lang w:val="en-GB" w:bidi="lo-LA"/>
        </w:rPr>
        <w:t xml:space="preserve">ountries examined in this paper is that in the first case rights granted to applicants are fewer than in the latter. </w:t>
      </w:r>
    </w:p>
    <w:p w14:paraId="0F15856F" w14:textId="77777777" w:rsidR="003E7603" w:rsidRPr="003E7603" w:rsidRDefault="003E7603" w:rsidP="003E7603">
      <w:pPr>
        <w:spacing w:line="276" w:lineRule="auto"/>
        <w:ind w:firstLine="284"/>
        <w:contextualSpacing/>
        <w:jc w:val="both"/>
        <w:rPr>
          <w:color w:val="000000"/>
          <w:lang w:val="en-GB" w:bidi="lo-LA"/>
        </w:rPr>
      </w:pPr>
    </w:p>
    <w:p w14:paraId="47ACA06E" w14:textId="77777777" w:rsidR="000064A6" w:rsidRPr="003E7603" w:rsidRDefault="00654942" w:rsidP="00654942">
      <w:pPr>
        <w:spacing w:line="276" w:lineRule="auto"/>
        <w:ind w:firstLine="284"/>
        <w:contextualSpacing/>
        <w:jc w:val="center"/>
        <w:rPr>
          <w:u w:val="single"/>
          <w:lang w:val="en-GB"/>
        </w:rPr>
      </w:pPr>
      <w:r>
        <w:rPr>
          <w:rFonts w:eastAsia="Calibri"/>
          <w:color w:val="000000"/>
          <w:lang w:val="en-GB" w:eastAsia="en-US"/>
        </w:rPr>
        <w:t>3</w:t>
      </w:r>
      <w:r w:rsidRPr="003E7603">
        <w:rPr>
          <w:rFonts w:eastAsia="Calibri"/>
          <w:color w:val="000000"/>
          <w:lang w:val="en-GB" w:eastAsia="en-US"/>
        </w:rPr>
        <w:t xml:space="preserve">. – </w:t>
      </w:r>
      <w:r w:rsidRPr="003E7603">
        <w:rPr>
          <w:rFonts w:eastAsia="Calibri"/>
          <w:smallCaps/>
          <w:color w:val="000000"/>
          <w:lang w:val="en-GB" w:eastAsia="en-US"/>
        </w:rPr>
        <w:t>The</w:t>
      </w:r>
      <w:r w:rsidRPr="00654942">
        <w:rPr>
          <w:lang w:val="en-GB"/>
        </w:rPr>
        <w:t xml:space="preserve"> </w:t>
      </w:r>
      <w:r w:rsidRPr="00654942">
        <w:rPr>
          <w:rFonts w:eastAsia="Calibri"/>
          <w:smallCaps/>
          <w:color w:val="000000"/>
          <w:lang w:val="en-GB" w:eastAsia="en-US"/>
        </w:rPr>
        <w:t>result of the case method part of the questionnaire</w:t>
      </w:r>
    </w:p>
    <w:p w14:paraId="44938323" w14:textId="77777777" w:rsidR="003E7603" w:rsidRDefault="003E7603" w:rsidP="003E7603">
      <w:pPr>
        <w:spacing w:line="276" w:lineRule="auto"/>
        <w:ind w:firstLine="284"/>
        <w:contextualSpacing/>
        <w:jc w:val="both"/>
        <w:rPr>
          <w:lang w:val="en-GB"/>
        </w:rPr>
      </w:pPr>
    </w:p>
    <w:p w14:paraId="6A1AB41F" w14:textId="77777777" w:rsidR="000064A6" w:rsidRPr="003E7603" w:rsidRDefault="000064A6" w:rsidP="003E7603">
      <w:pPr>
        <w:spacing w:line="276" w:lineRule="auto"/>
        <w:ind w:firstLine="284"/>
        <w:contextualSpacing/>
        <w:jc w:val="both"/>
        <w:rPr>
          <w:lang w:val="en-GB"/>
        </w:rPr>
      </w:pPr>
      <w:r w:rsidRPr="003E7603">
        <w:rPr>
          <w:lang w:val="en-GB"/>
        </w:rPr>
        <w:t>The second part of the questionnaire included two cases to which the national rapporteurs had to reply, explaining what would have been the result of the recourse in their legal system. The two cases were the following:</w:t>
      </w:r>
    </w:p>
    <w:p w14:paraId="1D7D045F" w14:textId="77777777" w:rsidR="003E7603" w:rsidRDefault="003E7603" w:rsidP="003E7603">
      <w:pPr>
        <w:spacing w:line="276" w:lineRule="auto"/>
        <w:ind w:firstLine="284"/>
        <w:contextualSpacing/>
        <w:jc w:val="both"/>
        <w:rPr>
          <w:u w:val="single"/>
          <w:lang w:val="en-GB"/>
        </w:rPr>
      </w:pPr>
    </w:p>
    <w:p w14:paraId="601D74B2" w14:textId="77777777" w:rsidR="000064A6" w:rsidRPr="003E7603" w:rsidRDefault="000064A6" w:rsidP="003E7603">
      <w:pPr>
        <w:spacing w:line="276" w:lineRule="auto"/>
        <w:ind w:firstLine="284"/>
        <w:contextualSpacing/>
        <w:jc w:val="both"/>
        <w:rPr>
          <w:lang w:val="en-GB"/>
        </w:rPr>
      </w:pPr>
      <w:r w:rsidRPr="003E7603">
        <w:rPr>
          <w:b/>
          <w:lang w:val="en-GB"/>
        </w:rPr>
        <w:t>CASE 1</w:t>
      </w:r>
      <w:r w:rsidRPr="003E7603">
        <w:rPr>
          <w:lang w:val="en-GB"/>
        </w:rPr>
        <w:t xml:space="preserve">. A contract for a standard built school was directly awarded to company A without the contract being advertised and without any urgency or other justification for direct award. Company B would have been ready to take part in a competitive procedure. What are the remedies available to company B? More specifically, to which avenue it may have recourse. What would be the types of remedies? Would this include interim relief, such as staying the contract implementation? If yes under </w:t>
      </w:r>
      <w:r w:rsidRPr="003E7603">
        <w:rPr>
          <w:lang w:val="en-GB"/>
        </w:rPr>
        <w:lastRenderedPageBreak/>
        <w:t>which condition? Would the remedies change if the contract was already executed before the final decision is taken by competent institution? What would be the average times and cost to get to the decision? Would anything of the above change is company B is from outside the country?</w:t>
      </w:r>
    </w:p>
    <w:p w14:paraId="6512B5BE" w14:textId="77777777" w:rsidR="003E7603" w:rsidRDefault="003E7603" w:rsidP="003E7603">
      <w:pPr>
        <w:spacing w:line="276" w:lineRule="auto"/>
        <w:ind w:firstLine="284"/>
        <w:contextualSpacing/>
        <w:jc w:val="both"/>
        <w:rPr>
          <w:u w:val="single"/>
          <w:lang w:val="en-GB"/>
        </w:rPr>
      </w:pPr>
    </w:p>
    <w:p w14:paraId="19D31524" w14:textId="77777777" w:rsidR="000064A6" w:rsidRPr="003E7603" w:rsidRDefault="000064A6" w:rsidP="003E7603">
      <w:pPr>
        <w:spacing w:line="276" w:lineRule="auto"/>
        <w:ind w:firstLine="284"/>
        <w:contextualSpacing/>
        <w:jc w:val="both"/>
        <w:rPr>
          <w:lang w:val="en-GB"/>
        </w:rPr>
      </w:pPr>
      <w:r w:rsidRPr="003E7603">
        <w:rPr>
          <w:b/>
          <w:lang w:val="en-GB"/>
        </w:rPr>
        <w:t>CASE 2</w:t>
      </w:r>
      <w:r w:rsidRPr="003E7603">
        <w:rPr>
          <w:lang w:val="en-GB"/>
        </w:rPr>
        <w:t xml:space="preserve">. A contract for chauffeur-driven car and minibus service for members of the Parliament. Under invitation to tender, the contract was to be awarded to the tender offering best value for money assessed on the weighted criteria concerning not only the price, but also vehicle fleet provided (quantity and quality), measures taken or specific to the vehicles to meet environmental requirements, staff social policy. Company B, that was placed second, claim that the first placed tender has an inferior quality. How have bids been evaluated? What is the authority/institution which can be entered by company B? (e.g. </w:t>
      </w:r>
      <w:r w:rsidR="005D2032">
        <w:rPr>
          <w:lang w:val="en-GB"/>
        </w:rPr>
        <w:t>C</w:t>
      </w:r>
      <w:r w:rsidRPr="003E7603">
        <w:rPr>
          <w:lang w:val="en-GB"/>
        </w:rPr>
        <w:t>ourt, independent authority, someone or board in higher position in the procuring entity, etc.). What are its powers? More specifically, is the authority/institution competent to review the application of the qualitative and functional award criteria? What type of control/check can it do? (e.g. judicial review may be limited to checking that the rules governing the procedure and statement of reasons are complied with, the facts are correct and there is no manifest error of assessment or misuse of powers, or it can substitute its appreciation to the one of the decision maker – substitutive control). What is the expertise of this institution? Is it specialised in public procurement? (e.g. administrative judge could not be specialized in procurement). Can it avail itself of expert witnesses?</w:t>
      </w:r>
    </w:p>
    <w:p w14:paraId="51DEB4C2" w14:textId="77777777" w:rsidR="003E7603" w:rsidRDefault="003E7603" w:rsidP="003E7603">
      <w:pPr>
        <w:spacing w:line="276" w:lineRule="auto"/>
        <w:ind w:firstLine="284"/>
        <w:contextualSpacing/>
        <w:jc w:val="both"/>
        <w:rPr>
          <w:lang w:val="en-GB"/>
        </w:rPr>
      </w:pPr>
    </w:p>
    <w:p w14:paraId="67C95688" w14:textId="77777777" w:rsidR="000064A6" w:rsidRPr="003E7603" w:rsidRDefault="000064A6" w:rsidP="003E7603">
      <w:pPr>
        <w:spacing w:line="276" w:lineRule="auto"/>
        <w:ind w:firstLine="284"/>
        <w:contextualSpacing/>
        <w:jc w:val="both"/>
        <w:rPr>
          <w:lang w:val="en-GB"/>
        </w:rPr>
      </w:pPr>
      <w:r w:rsidRPr="003E7603">
        <w:rPr>
          <w:lang w:val="en-GB"/>
        </w:rPr>
        <w:t xml:space="preserve">Answers </w:t>
      </w:r>
      <w:r w:rsidR="00D9209E">
        <w:rPr>
          <w:lang w:val="en-GB"/>
        </w:rPr>
        <w:t>to c</w:t>
      </w:r>
      <w:r w:rsidRPr="003E7603">
        <w:rPr>
          <w:lang w:val="en-GB"/>
        </w:rPr>
        <w:t xml:space="preserve">ase </w:t>
      </w:r>
      <w:r w:rsidR="00D9209E">
        <w:rPr>
          <w:lang w:val="en-GB"/>
        </w:rPr>
        <w:t xml:space="preserve">n. </w:t>
      </w:r>
      <w:r w:rsidRPr="003E7603">
        <w:rPr>
          <w:lang w:val="en-GB"/>
        </w:rPr>
        <w:t xml:space="preserve">1 were surprising in the sense that the only two </w:t>
      </w:r>
      <w:r w:rsidR="00D140F9">
        <w:rPr>
          <w:lang w:val="en-GB"/>
        </w:rPr>
        <w:t>c</w:t>
      </w:r>
      <w:r w:rsidRPr="003E7603">
        <w:rPr>
          <w:lang w:val="en-GB"/>
        </w:rPr>
        <w:t xml:space="preserve">ountries without a French legal tradition (Sudan and Tanzania) were very neat in excluding any possible way of recourse for company B, on the basis of the fact that it did not participate to the procedure and thus was not qualified for any remedy. Not even a request for damages. Madagascar, for its part, excluded the possibility of a recourse for annulment of the contract, but not an action for damages, to be filed within 20 days from the signature of the contract. That is probably due to the fact that Madagascar does not admit the possibility of annulment of a contract once it has been concluded, even if it has not yet been executed. All the other </w:t>
      </w:r>
      <w:r w:rsidR="00D140F9">
        <w:rPr>
          <w:lang w:val="en-GB"/>
        </w:rPr>
        <w:t>c</w:t>
      </w:r>
      <w:r w:rsidRPr="003E7603">
        <w:rPr>
          <w:lang w:val="en-GB"/>
        </w:rPr>
        <w:t xml:space="preserve">ountries admitted a remedy for annulment, following the </w:t>
      </w:r>
      <w:r w:rsidR="00A37872" w:rsidRPr="003E7603">
        <w:rPr>
          <w:lang w:val="en-GB"/>
        </w:rPr>
        <w:t>three-layer</w:t>
      </w:r>
      <w:r w:rsidRPr="003E7603">
        <w:rPr>
          <w:lang w:val="en-GB"/>
        </w:rPr>
        <w:t xml:space="preserve"> system described above: before the CA (and in certain countries also before the higher administrati</w:t>
      </w:r>
      <w:r w:rsidR="00A37872">
        <w:rPr>
          <w:lang w:val="en-GB"/>
        </w:rPr>
        <w:t>ve authority), then before the i</w:t>
      </w:r>
      <w:r w:rsidRPr="003E7603">
        <w:rPr>
          <w:lang w:val="en-GB"/>
        </w:rPr>
        <w:t xml:space="preserve">ndependent </w:t>
      </w:r>
      <w:r w:rsidR="00A37872">
        <w:rPr>
          <w:lang w:val="en-GB"/>
        </w:rPr>
        <w:t>administrative a</w:t>
      </w:r>
      <w:r w:rsidRPr="003E7603">
        <w:rPr>
          <w:lang w:val="en-GB"/>
        </w:rPr>
        <w:t xml:space="preserve">uthority and finally before the </w:t>
      </w:r>
      <w:r w:rsidR="00A37872">
        <w:rPr>
          <w:lang w:val="en-GB"/>
        </w:rPr>
        <w:t>judicial a</w:t>
      </w:r>
      <w:r w:rsidRPr="003E7603">
        <w:rPr>
          <w:lang w:val="en-GB"/>
        </w:rPr>
        <w:t>uthority. Possibility of suspension of the contract form being executed is admitted, unless the contract is already in an advanced state of execution, in which case only an action for damages i</w:t>
      </w:r>
      <w:r w:rsidR="00A37872">
        <w:rPr>
          <w:lang w:val="en-GB"/>
        </w:rPr>
        <w:t>s allowed, and only before the j</w:t>
      </w:r>
      <w:r w:rsidRPr="003E7603">
        <w:rPr>
          <w:lang w:val="en-GB"/>
        </w:rPr>
        <w:t xml:space="preserve">udicial authority (Benin). When the answer was given, time for a decision was assessed between 20 and 30 days and cost negligible. </w:t>
      </w:r>
    </w:p>
    <w:p w14:paraId="32099A5D" w14:textId="77777777" w:rsidR="003E7603" w:rsidRDefault="003E7603" w:rsidP="003E7603">
      <w:pPr>
        <w:spacing w:line="276" w:lineRule="auto"/>
        <w:ind w:firstLine="284"/>
        <w:contextualSpacing/>
        <w:jc w:val="both"/>
        <w:rPr>
          <w:lang w:val="en-GB"/>
        </w:rPr>
      </w:pPr>
    </w:p>
    <w:p w14:paraId="3573BE66" w14:textId="77777777" w:rsidR="000064A6" w:rsidRDefault="000064A6" w:rsidP="003E7603">
      <w:pPr>
        <w:spacing w:line="276" w:lineRule="auto"/>
        <w:ind w:firstLine="284"/>
        <w:contextualSpacing/>
        <w:jc w:val="both"/>
        <w:rPr>
          <w:lang w:val="en-GB"/>
        </w:rPr>
      </w:pPr>
      <w:r w:rsidRPr="003E7603">
        <w:rPr>
          <w:lang w:val="en-GB"/>
        </w:rPr>
        <w:t>Answers to case</w:t>
      </w:r>
      <w:r w:rsidR="00D9209E">
        <w:rPr>
          <w:lang w:val="en-GB"/>
        </w:rPr>
        <w:t xml:space="preserve"> n.</w:t>
      </w:r>
      <w:r w:rsidRPr="003E7603">
        <w:rPr>
          <w:lang w:val="en-GB"/>
        </w:rPr>
        <w:t xml:space="preserve"> 2 were more homogeneous because all jurisdictions covered in this paper admit remedy in the case described, following the regular </w:t>
      </w:r>
      <w:r w:rsidR="00A37872" w:rsidRPr="003E7603">
        <w:rPr>
          <w:lang w:val="en-GB"/>
        </w:rPr>
        <w:t>three-layer</w:t>
      </w:r>
      <w:r w:rsidRPr="003E7603">
        <w:rPr>
          <w:lang w:val="en-GB"/>
        </w:rPr>
        <w:t xml:space="preserve"> system. Also the possibility to ask for external experts is admitted by all, with the only obvious specification that experts cannot participate to th</w:t>
      </w:r>
      <w:r w:rsidR="00A37872">
        <w:rPr>
          <w:lang w:val="en-GB"/>
        </w:rPr>
        <w:t>e decision but only advice the independent a</w:t>
      </w:r>
      <w:r w:rsidRPr="003E7603">
        <w:rPr>
          <w:lang w:val="en-GB"/>
        </w:rPr>
        <w:t xml:space="preserve">dministrative </w:t>
      </w:r>
      <w:r w:rsidR="00A37872">
        <w:rPr>
          <w:lang w:val="en-GB"/>
        </w:rPr>
        <w:t>authority or the j</w:t>
      </w:r>
      <w:r w:rsidRPr="003E7603">
        <w:rPr>
          <w:lang w:val="en-GB"/>
        </w:rPr>
        <w:t xml:space="preserve">udicial </w:t>
      </w:r>
      <w:r w:rsidR="00A37872">
        <w:rPr>
          <w:lang w:val="en-GB"/>
        </w:rPr>
        <w:t>a</w:t>
      </w:r>
      <w:r w:rsidRPr="003E7603">
        <w:rPr>
          <w:lang w:val="en-GB"/>
        </w:rPr>
        <w:t>uthority. Where differences arose was on the most delicate point of the question, namely</w:t>
      </w:r>
      <w:r w:rsidR="00A37872">
        <w:rPr>
          <w:lang w:val="en-GB"/>
        </w:rPr>
        <w:t xml:space="preserve"> the type of control which the a</w:t>
      </w:r>
      <w:r w:rsidRPr="003E7603">
        <w:rPr>
          <w:lang w:val="en-GB"/>
        </w:rPr>
        <w:t xml:space="preserve">uthority (be it administrative or judicial) is empowered with: in some cases (Benin) the rapporteur declared that the addressed </w:t>
      </w:r>
      <w:r w:rsidR="00A37872">
        <w:rPr>
          <w:lang w:val="en-GB"/>
        </w:rPr>
        <w:t>a</w:t>
      </w:r>
      <w:r w:rsidRPr="003E7603">
        <w:rPr>
          <w:lang w:val="en-GB"/>
        </w:rPr>
        <w:t xml:space="preserve">uthority can only annul the decision and order the CA to reassess the bids, without any possibility to substitute its judgment to that of the CA, while in other cases (Tanzania, Madagascar) it </w:t>
      </w:r>
      <w:r w:rsidR="00A37872">
        <w:rPr>
          <w:lang w:val="en-GB"/>
        </w:rPr>
        <w:t>was explicitly stated that the a</w:t>
      </w:r>
      <w:r w:rsidRPr="003E7603">
        <w:rPr>
          <w:lang w:val="en-GB"/>
        </w:rPr>
        <w:t xml:space="preserve">uthority could substitute the CA and </w:t>
      </w:r>
      <w:r w:rsidRPr="003E7603">
        <w:rPr>
          <w:lang w:val="en-GB"/>
        </w:rPr>
        <w:lastRenderedPageBreak/>
        <w:t>decide himself which bid was best on the basis of the full documentation presented by bidders. The fact that this second opti</w:t>
      </w:r>
      <w:r w:rsidR="000570D7">
        <w:rPr>
          <w:lang w:val="en-GB"/>
        </w:rPr>
        <w:t>on was chosen indifferently by Common law and C</w:t>
      </w:r>
      <w:r w:rsidRPr="003E7603">
        <w:rPr>
          <w:lang w:val="en-GB"/>
        </w:rPr>
        <w:t>ivil law countries does not help in finding the real reason, even if perhaps one can also take into account the possibility of some difficulties encountered by the rapporteurs in fully appreciating the difference between the two options, which in fact is perhaps one of the most difficult points to be resolved in any remedies system because it involves the hard question of Separation of powers</w:t>
      </w:r>
      <w:r w:rsidRPr="003E7603">
        <w:rPr>
          <w:rStyle w:val="FootnoteReference"/>
          <w:lang w:val="en-GB"/>
        </w:rPr>
        <w:footnoteReference w:id="24"/>
      </w:r>
      <w:r w:rsidRPr="003E7603">
        <w:rPr>
          <w:lang w:val="en-GB"/>
        </w:rPr>
        <w:t xml:space="preserve">. </w:t>
      </w:r>
    </w:p>
    <w:p w14:paraId="345C1603" w14:textId="77777777" w:rsidR="003E7603" w:rsidRPr="003E7603" w:rsidRDefault="003E7603" w:rsidP="003E7603">
      <w:pPr>
        <w:spacing w:line="276" w:lineRule="auto"/>
        <w:ind w:firstLine="284"/>
        <w:contextualSpacing/>
        <w:jc w:val="both"/>
        <w:rPr>
          <w:lang w:val="en-GB"/>
        </w:rPr>
      </w:pPr>
    </w:p>
    <w:p w14:paraId="4BC54B74" w14:textId="77777777" w:rsidR="000064A6" w:rsidRPr="003E7603" w:rsidRDefault="006A33BA" w:rsidP="006A33BA">
      <w:pPr>
        <w:spacing w:line="276" w:lineRule="auto"/>
        <w:ind w:firstLine="284"/>
        <w:contextualSpacing/>
        <w:jc w:val="center"/>
        <w:rPr>
          <w:u w:val="single"/>
          <w:lang w:val="en-GB"/>
        </w:rPr>
      </w:pPr>
      <w:r>
        <w:rPr>
          <w:rFonts w:eastAsia="Calibri"/>
          <w:color w:val="000000"/>
          <w:lang w:val="en-GB" w:eastAsia="en-US"/>
        </w:rPr>
        <w:t>4</w:t>
      </w:r>
      <w:r w:rsidRPr="003E7603">
        <w:rPr>
          <w:rFonts w:eastAsia="Calibri"/>
          <w:color w:val="000000"/>
          <w:lang w:val="en-GB" w:eastAsia="en-US"/>
        </w:rPr>
        <w:t xml:space="preserve">. – </w:t>
      </w:r>
      <w:r w:rsidRPr="006A33BA">
        <w:rPr>
          <w:rFonts w:eastAsia="Calibri"/>
          <w:smallCaps/>
          <w:color w:val="000000"/>
          <w:lang w:val="en-GB" w:eastAsia="en-US"/>
        </w:rPr>
        <w:t>A striking regularity: the growing role of regulatory bodies</w:t>
      </w:r>
    </w:p>
    <w:p w14:paraId="6AEC7D3A" w14:textId="77777777" w:rsidR="003E7603" w:rsidRDefault="003E7603" w:rsidP="003E7603">
      <w:pPr>
        <w:spacing w:line="276" w:lineRule="auto"/>
        <w:ind w:firstLine="284"/>
        <w:contextualSpacing/>
        <w:jc w:val="both"/>
        <w:rPr>
          <w:lang w:val="en-GB"/>
        </w:rPr>
      </w:pPr>
    </w:p>
    <w:p w14:paraId="0D8CFCFB" w14:textId="77777777" w:rsidR="000064A6" w:rsidRPr="003E7603" w:rsidRDefault="000064A6" w:rsidP="003E7603">
      <w:pPr>
        <w:spacing w:line="276" w:lineRule="auto"/>
        <w:ind w:firstLine="284"/>
        <w:contextualSpacing/>
        <w:jc w:val="both"/>
        <w:rPr>
          <w:lang w:val="en-GB"/>
        </w:rPr>
      </w:pPr>
      <w:r w:rsidRPr="003E7603">
        <w:rPr>
          <w:lang w:val="en-GB"/>
        </w:rPr>
        <w:t>The comparative analysis so far presented shows one element which seems to us of the utmost interest, namely the presence in all the jurisdictio</w:t>
      </w:r>
      <w:r w:rsidR="00822BF0">
        <w:rPr>
          <w:lang w:val="en-GB"/>
        </w:rPr>
        <w:t>ns covered by this paper of an i</w:t>
      </w:r>
      <w:r w:rsidRPr="003E7603">
        <w:rPr>
          <w:lang w:val="en-GB"/>
        </w:rPr>
        <w:t xml:space="preserve">ndependent </w:t>
      </w:r>
      <w:r w:rsidR="00822BF0">
        <w:rPr>
          <w:lang w:val="en-GB"/>
        </w:rPr>
        <w:t>administrative a</w:t>
      </w:r>
      <w:r w:rsidRPr="003E7603">
        <w:rPr>
          <w:lang w:val="en-GB"/>
        </w:rPr>
        <w:t xml:space="preserve">gency for the management of appeals against decisions of the CAs. Since we have chosen the respondents of our questionnaire in a random way, this result is not the result of a tailored selection of </w:t>
      </w:r>
      <w:r w:rsidR="00D140F9">
        <w:rPr>
          <w:lang w:val="en-GB"/>
        </w:rPr>
        <w:t>c</w:t>
      </w:r>
      <w:r w:rsidRPr="003E7603">
        <w:rPr>
          <w:lang w:val="en-GB"/>
        </w:rPr>
        <w:t>ountries but can be considered well representative of a widespread reality in Africa. This reality can be assessed against the European situation where only</w:t>
      </w:r>
      <w:r w:rsidR="00586E3F">
        <w:rPr>
          <w:lang w:val="en-GB"/>
        </w:rPr>
        <w:t xml:space="preserve"> a slight majority of m</w:t>
      </w:r>
      <w:r w:rsidRPr="003E7603">
        <w:rPr>
          <w:lang w:val="en-GB"/>
        </w:rPr>
        <w:t>ember States has established specialised public procurement review bodies to manage the review procedures</w:t>
      </w:r>
      <w:r w:rsidRPr="003E7603">
        <w:rPr>
          <w:rStyle w:val="FootnoteReference"/>
          <w:lang w:val="en-GB"/>
        </w:rPr>
        <w:footnoteReference w:id="25"/>
      </w:r>
      <w:r w:rsidRPr="003E7603">
        <w:rPr>
          <w:lang w:val="en-GB"/>
        </w:rPr>
        <w:t>.</w:t>
      </w:r>
    </w:p>
    <w:p w14:paraId="74D1D3AA" w14:textId="77777777" w:rsidR="003E7603" w:rsidRDefault="003E7603" w:rsidP="003E7603">
      <w:pPr>
        <w:spacing w:line="276" w:lineRule="auto"/>
        <w:ind w:firstLine="284"/>
        <w:contextualSpacing/>
        <w:jc w:val="both"/>
        <w:rPr>
          <w:lang w:val="en-GB"/>
        </w:rPr>
      </w:pPr>
    </w:p>
    <w:p w14:paraId="30B22096" w14:textId="77777777" w:rsidR="000064A6" w:rsidRPr="003E7603" w:rsidRDefault="000064A6" w:rsidP="003E7603">
      <w:pPr>
        <w:spacing w:line="276" w:lineRule="auto"/>
        <w:ind w:firstLine="284"/>
        <w:contextualSpacing/>
        <w:jc w:val="both"/>
        <w:rPr>
          <w:lang w:val="en-GB"/>
        </w:rPr>
      </w:pPr>
      <w:r w:rsidRPr="003E7603">
        <w:rPr>
          <w:lang w:val="en-GB"/>
        </w:rPr>
        <w:t>If one tries to find out the reasons for such a striking regularity, UNCITRAL model law can be identifies as one of the most likely and powerful source of influence: as it was seen in previous paragraphs, Article 65 of the UNCITRAL model law provides for a scheme of review procedures where, after an application for reconsideration before the CA, the dissatisfied bidder c</w:t>
      </w:r>
      <w:r w:rsidR="00D9209E">
        <w:rPr>
          <w:lang w:val="en-GB"/>
        </w:rPr>
        <w:t>an address his complaint to an independent b</w:t>
      </w:r>
      <w:r w:rsidRPr="003E7603">
        <w:rPr>
          <w:lang w:val="en-GB"/>
        </w:rPr>
        <w:t>ody or to a Court and article 66 describes the procedure bef</w:t>
      </w:r>
      <w:r w:rsidR="00441C62">
        <w:rPr>
          <w:lang w:val="en-GB"/>
        </w:rPr>
        <w:t>ore the i</w:t>
      </w:r>
      <w:r w:rsidR="005E52D4">
        <w:rPr>
          <w:lang w:val="en-GB"/>
        </w:rPr>
        <w:t xml:space="preserve">ndependent </w:t>
      </w:r>
      <w:r w:rsidR="00441C62">
        <w:rPr>
          <w:lang w:val="en-GB"/>
        </w:rPr>
        <w:t>b</w:t>
      </w:r>
      <w:r w:rsidR="005E52D4">
        <w:rPr>
          <w:lang w:val="en-GB"/>
        </w:rPr>
        <w:t>ody. Also d</w:t>
      </w:r>
      <w:r w:rsidRPr="003E7603">
        <w:rPr>
          <w:lang w:val="en-GB"/>
        </w:rPr>
        <w:t xml:space="preserve">irective 5/2005 UEMOA provides for the recourse before an </w:t>
      </w:r>
      <w:proofErr w:type="spellStart"/>
      <w:r w:rsidR="004003C1">
        <w:rPr>
          <w:i/>
          <w:lang w:val="en-GB"/>
        </w:rPr>
        <w:t>Autorité</w:t>
      </w:r>
      <w:proofErr w:type="spellEnd"/>
      <w:r w:rsidR="004003C1">
        <w:rPr>
          <w:i/>
          <w:lang w:val="en-GB"/>
        </w:rPr>
        <w:t xml:space="preserve"> de </w:t>
      </w:r>
      <w:proofErr w:type="spellStart"/>
      <w:r w:rsidR="004003C1">
        <w:rPr>
          <w:i/>
          <w:lang w:val="en-GB"/>
        </w:rPr>
        <w:t>recours</w:t>
      </w:r>
      <w:proofErr w:type="spellEnd"/>
      <w:r w:rsidR="004003C1">
        <w:rPr>
          <w:i/>
          <w:lang w:val="en-GB"/>
        </w:rPr>
        <w:t xml:space="preserve"> non </w:t>
      </w:r>
      <w:proofErr w:type="spellStart"/>
      <w:r w:rsidR="004003C1">
        <w:rPr>
          <w:i/>
          <w:lang w:val="en-GB"/>
        </w:rPr>
        <w:t>juridictionnelle</w:t>
      </w:r>
      <w:proofErr w:type="spellEnd"/>
      <w:r w:rsidRPr="003E7603">
        <w:rPr>
          <w:i/>
          <w:lang w:val="en-GB"/>
        </w:rPr>
        <w:t xml:space="preserve"> </w:t>
      </w:r>
      <w:r w:rsidRPr="003E7603">
        <w:rPr>
          <w:lang w:val="en-GB"/>
        </w:rPr>
        <w:t>and describes not only the procedure b</w:t>
      </w:r>
      <w:r w:rsidR="00441C62">
        <w:rPr>
          <w:lang w:val="en-GB"/>
        </w:rPr>
        <w:t>ut also the composition of the a</w:t>
      </w:r>
      <w:r w:rsidRPr="003E7603">
        <w:rPr>
          <w:lang w:val="en-GB"/>
        </w:rPr>
        <w:t>uthority.</w:t>
      </w:r>
    </w:p>
    <w:p w14:paraId="3C98EFD6" w14:textId="77777777" w:rsidR="003E7603" w:rsidRDefault="003E7603" w:rsidP="003E7603">
      <w:pPr>
        <w:spacing w:line="276" w:lineRule="auto"/>
        <w:ind w:firstLine="284"/>
        <w:contextualSpacing/>
        <w:jc w:val="both"/>
        <w:rPr>
          <w:lang w:val="en-GB"/>
        </w:rPr>
      </w:pPr>
    </w:p>
    <w:p w14:paraId="5235BA4F" w14:textId="77777777" w:rsidR="000064A6" w:rsidRPr="003E7603" w:rsidRDefault="00A37872" w:rsidP="003E7603">
      <w:pPr>
        <w:spacing w:line="276" w:lineRule="auto"/>
        <w:ind w:firstLine="284"/>
        <w:contextualSpacing/>
        <w:jc w:val="both"/>
        <w:rPr>
          <w:lang w:val="en-GB"/>
        </w:rPr>
      </w:pPr>
      <w:r>
        <w:rPr>
          <w:lang w:val="en-GB"/>
        </w:rPr>
        <w:t>The composition of the a</w:t>
      </w:r>
      <w:r w:rsidR="000064A6" w:rsidRPr="003E7603">
        <w:rPr>
          <w:lang w:val="en-GB"/>
        </w:rPr>
        <w:t xml:space="preserve">uthority is an important feature for granting its independence, or at least its autonomy, and more generally, for characterizing the nature of the </w:t>
      </w:r>
      <w:r w:rsidR="00441C62">
        <w:rPr>
          <w:lang w:val="en-GB"/>
        </w:rPr>
        <w:t>a</w:t>
      </w:r>
      <w:r w:rsidR="000064A6" w:rsidRPr="003E7603">
        <w:rPr>
          <w:lang w:val="en-GB"/>
        </w:rPr>
        <w:t xml:space="preserve">uthority. As we have seen, UNCITRAL model law does not suggest anything about the composition, while directive UEMOA 5/2015, article 12.3, says that the </w:t>
      </w:r>
      <w:r>
        <w:rPr>
          <w:lang w:val="en-GB"/>
        </w:rPr>
        <w:t>a</w:t>
      </w:r>
      <w:r w:rsidR="000064A6" w:rsidRPr="003E7603">
        <w:rPr>
          <w:lang w:val="en-GB"/>
        </w:rPr>
        <w:t>uthority is composed of members of the administration, of the private sector and of the civil society, recognized for their professionalism, independence and representativeness, and this definition entails at least two considerations.</w:t>
      </w:r>
    </w:p>
    <w:p w14:paraId="7239532B" w14:textId="77777777" w:rsidR="003E7603" w:rsidRDefault="003E7603" w:rsidP="003E7603">
      <w:pPr>
        <w:spacing w:line="276" w:lineRule="auto"/>
        <w:ind w:firstLine="284"/>
        <w:contextualSpacing/>
        <w:jc w:val="both"/>
        <w:rPr>
          <w:lang w:val="en-GB"/>
        </w:rPr>
      </w:pPr>
    </w:p>
    <w:p w14:paraId="1C389D19" w14:textId="77777777" w:rsidR="000064A6" w:rsidRPr="003E7603" w:rsidRDefault="000064A6" w:rsidP="003E7603">
      <w:pPr>
        <w:spacing w:line="276" w:lineRule="auto"/>
        <w:ind w:firstLine="284"/>
        <w:contextualSpacing/>
        <w:jc w:val="both"/>
        <w:rPr>
          <w:lang w:val="en-GB"/>
        </w:rPr>
      </w:pPr>
      <w:r w:rsidRPr="003E7603">
        <w:rPr>
          <w:lang w:val="en-GB"/>
        </w:rPr>
        <w:t>The first is that the UEMO</w:t>
      </w:r>
      <w:r w:rsidR="00A37872">
        <w:rPr>
          <w:lang w:val="en-GB"/>
        </w:rPr>
        <w:t>A model for the composition of i</w:t>
      </w:r>
      <w:r w:rsidRPr="003E7603">
        <w:rPr>
          <w:lang w:val="en-GB"/>
        </w:rPr>
        <w:t xml:space="preserve">ndependent </w:t>
      </w:r>
      <w:r w:rsidR="00A37872">
        <w:rPr>
          <w:lang w:val="en-GB"/>
        </w:rPr>
        <w:t>a</w:t>
      </w:r>
      <w:r w:rsidRPr="003E7603">
        <w:rPr>
          <w:lang w:val="en-GB"/>
        </w:rPr>
        <w:t xml:space="preserve">uthority seems to have a certain prestige also outside UEMOA, namely in other French speaking African countries because it is in fact adopted also by Madagascar and Congo </w:t>
      </w:r>
      <w:proofErr w:type="spellStart"/>
      <w:r w:rsidRPr="003E7603">
        <w:rPr>
          <w:lang w:val="en-GB"/>
        </w:rPr>
        <w:t>Brazaville</w:t>
      </w:r>
      <w:proofErr w:type="spellEnd"/>
      <w:r w:rsidRPr="003E7603">
        <w:rPr>
          <w:lang w:val="en-GB"/>
        </w:rPr>
        <w:t xml:space="preserve">, which are not member of UEMOA. In Congo </w:t>
      </w:r>
      <w:proofErr w:type="spellStart"/>
      <w:r w:rsidRPr="003E7603">
        <w:rPr>
          <w:lang w:val="en-GB"/>
        </w:rPr>
        <w:t>Brazaville</w:t>
      </w:r>
      <w:proofErr w:type="spellEnd"/>
      <w:r w:rsidRPr="003E7603">
        <w:rPr>
          <w:lang w:val="en-GB"/>
        </w:rPr>
        <w:t xml:space="preserve">, le </w:t>
      </w:r>
      <w:proofErr w:type="spellStart"/>
      <w:r w:rsidRPr="003E7603">
        <w:rPr>
          <w:i/>
          <w:lang w:val="en-GB"/>
        </w:rPr>
        <w:t>Comité</w:t>
      </w:r>
      <w:proofErr w:type="spellEnd"/>
      <w:r w:rsidRPr="003E7603">
        <w:rPr>
          <w:i/>
          <w:lang w:val="en-GB"/>
        </w:rPr>
        <w:t xml:space="preserve"> de </w:t>
      </w:r>
      <w:proofErr w:type="spellStart"/>
      <w:r w:rsidRPr="003E7603">
        <w:rPr>
          <w:i/>
          <w:lang w:val="en-GB"/>
        </w:rPr>
        <w:t>règlement</w:t>
      </w:r>
      <w:proofErr w:type="spellEnd"/>
      <w:r w:rsidRPr="003E7603">
        <w:rPr>
          <w:i/>
          <w:lang w:val="en-GB"/>
        </w:rPr>
        <w:t xml:space="preserve"> des </w:t>
      </w:r>
      <w:proofErr w:type="spellStart"/>
      <w:r w:rsidRPr="003E7603">
        <w:rPr>
          <w:i/>
          <w:lang w:val="en-GB"/>
        </w:rPr>
        <w:t>différends</w:t>
      </w:r>
      <w:proofErr w:type="spellEnd"/>
      <w:r w:rsidRPr="003E7603">
        <w:rPr>
          <w:lang w:val="en-GB"/>
        </w:rPr>
        <w:t xml:space="preserve"> is composed of six members taking part of </w:t>
      </w:r>
      <w:r w:rsidRPr="003E7603">
        <w:rPr>
          <w:lang w:val="en-GB"/>
        </w:rPr>
        <w:lastRenderedPageBreak/>
        <w:t xml:space="preserve">the </w:t>
      </w:r>
      <w:r w:rsidRPr="003E7603">
        <w:rPr>
          <w:i/>
          <w:lang w:val="en-GB"/>
        </w:rPr>
        <w:t xml:space="preserve">Conseil de </w:t>
      </w:r>
      <w:proofErr w:type="spellStart"/>
      <w:r w:rsidRPr="003E7603">
        <w:rPr>
          <w:i/>
          <w:lang w:val="en-GB"/>
        </w:rPr>
        <w:t>Régulation</w:t>
      </w:r>
      <w:proofErr w:type="spellEnd"/>
      <w:r w:rsidRPr="003E7603">
        <w:rPr>
          <w:lang w:val="en-GB"/>
        </w:rPr>
        <w:t xml:space="preserve"> which on his turn is composed of nine members, drawn from the administration, the private sector and the civil society; in Madagascar as well, the </w:t>
      </w:r>
      <w:r w:rsidRPr="003E7603">
        <w:rPr>
          <w:i/>
          <w:lang w:val="en-GB"/>
        </w:rPr>
        <w:t>ARMP</w:t>
      </w:r>
      <w:r w:rsidRPr="003E7603">
        <w:rPr>
          <w:lang w:val="en-GB"/>
        </w:rPr>
        <w:t xml:space="preserve"> is composed of four members, one of which come from the civil society and one from the private sector. It would be very interesting to know if the circulation of the UEMOA model was due to prestige reasons, or other reasons, but it is however interesting to notice it. </w:t>
      </w:r>
    </w:p>
    <w:p w14:paraId="42EF80F4" w14:textId="77777777" w:rsidR="003E7603" w:rsidRDefault="003E7603" w:rsidP="003E7603">
      <w:pPr>
        <w:spacing w:line="276" w:lineRule="auto"/>
        <w:ind w:firstLine="284"/>
        <w:contextualSpacing/>
        <w:jc w:val="both"/>
        <w:rPr>
          <w:lang w:val="en-GB"/>
        </w:rPr>
      </w:pPr>
    </w:p>
    <w:p w14:paraId="7932E54E" w14:textId="77777777" w:rsidR="000064A6" w:rsidRPr="003E7603" w:rsidRDefault="000064A6" w:rsidP="003E7603">
      <w:pPr>
        <w:spacing w:line="276" w:lineRule="auto"/>
        <w:ind w:firstLine="284"/>
        <w:contextualSpacing/>
        <w:jc w:val="both"/>
        <w:rPr>
          <w:lang w:val="en-GB"/>
        </w:rPr>
      </w:pPr>
      <w:r w:rsidRPr="003E7603">
        <w:rPr>
          <w:lang w:val="en-GB"/>
        </w:rPr>
        <w:t>The second consideration is the presence of the “</w:t>
      </w:r>
      <w:r w:rsidRPr="003E7603">
        <w:rPr>
          <w:i/>
          <w:lang w:val="en-GB"/>
        </w:rPr>
        <w:t>representativeness</w:t>
      </w:r>
      <w:r w:rsidRPr="003E7603">
        <w:rPr>
          <w:lang w:val="en-GB"/>
        </w:rPr>
        <w:t xml:space="preserve">” among the elements to be looked after in the selection of the components of the </w:t>
      </w:r>
      <w:r w:rsidR="00441C62">
        <w:rPr>
          <w:lang w:val="en-GB"/>
        </w:rPr>
        <w:t>n</w:t>
      </w:r>
      <w:r w:rsidRPr="003E7603">
        <w:rPr>
          <w:lang w:val="en-GB"/>
        </w:rPr>
        <w:t>on</w:t>
      </w:r>
      <w:r w:rsidR="00441C62">
        <w:rPr>
          <w:lang w:val="en-GB"/>
        </w:rPr>
        <w:t>-jurisdictional a</w:t>
      </w:r>
      <w:r w:rsidR="00D9209E">
        <w:rPr>
          <w:lang w:val="en-GB"/>
        </w:rPr>
        <w:t>uthority. Usually, i</w:t>
      </w:r>
      <w:r w:rsidRPr="003E7603">
        <w:rPr>
          <w:lang w:val="en-GB"/>
        </w:rPr>
        <w:t xml:space="preserve">ndependent </w:t>
      </w:r>
      <w:r w:rsidR="00D9209E">
        <w:rPr>
          <w:lang w:val="en-GB"/>
        </w:rPr>
        <w:t>a</w:t>
      </w:r>
      <w:r w:rsidRPr="003E7603">
        <w:rPr>
          <w:lang w:val="en-GB"/>
        </w:rPr>
        <w:t>uthorities are characterized by their independence and technical competence</w:t>
      </w:r>
      <w:r w:rsidRPr="003E7603">
        <w:rPr>
          <w:rStyle w:val="FootnoteReference"/>
          <w:lang w:val="en-GB"/>
        </w:rPr>
        <w:footnoteReference w:id="26"/>
      </w:r>
      <w:r w:rsidRPr="003E7603">
        <w:rPr>
          <w:lang w:val="en-GB"/>
        </w:rPr>
        <w:t xml:space="preserve">, and not for their representativeness, which is a feature typical of political bodies, very </w:t>
      </w:r>
      <w:r w:rsidR="00D9209E">
        <w:rPr>
          <w:lang w:val="en-GB"/>
        </w:rPr>
        <w:t>far from the standard image of independent administrative b</w:t>
      </w:r>
      <w:r w:rsidRPr="003E7603">
        <w:rPr>
          <w:lang w:val="en-GB"/>
        </w:rPr>
        <w:t>odies</w:t>
      </w:r>
      <w:r w:rsidRPr="003E7603">
        <w:rPr>
          <w:rStyle w:val="FootnoteReference"/>
          <w:lang w:val="en-GB"/>
        </w:rPr>
        <w:footnoteReference w:id="27"/>
      </w:r>
      <w:r w:rsidRPr="003E7603">
        <w:rPr>
          <w:lang w:val="en-GB"/>
        </w:rPr>
        <w:t>. However</w:t>
      </w:r>
      <w:r w:rsidR="005E52D4">
        <w:rPr>
          <w:lang w:val="en-GB"/>
        </w:rPr>
        <w:t>,</w:t>
      </w:r>
      <w:r w:rsidRPr="003E7603">
        <w:rPr>
          <w:lang w:val="en-GB"/>
        </w:rPr>
        <w:t xml:space="preserve"> directive 5/2005 UEMOA introduces this element, which can perhaps be perce</w:t>
      </w:r>
      <w:r w:rsidR="00A37872">
        <w:rPr>
          <w:lang w:val="en-GB"/>
        </w:rPr>
        <w:t>ived as an attempt to move the i</w:t>
      </w:r>
      <w:r w:rsidRPr="003E7603">
        <w:rPr>
          <w:lang w:val="en-GB"/>
        </w:rPr>
        <w:t xml:space="preserve">ndependent </w:t>
      </w:r>
      <w:r w:rsidR="00A37872">
        <w:rPr>
          <w:lang w:val="en-GB"/>
        </w:rPr>
        <w:t>a</w:t>
      </w:r>
      <w:r w:rsidRPr="003E7603">
        <w:rPr>
          <w:lang w:val="en-GB"/>
        </w:rPr>
        <w:t xml:space="preserve">uthority closer to the needs of the economic operators working in the field of public procurements. At a more general level, such a model can perhaps be traced down to a Corporatism model of economic system, where the economic groups of interest are represented in the administrative and political bodies in order to protect their interests, in a revival of the </w:t>
      </w:r>
      <w:proofErr w:type="spellStart"/>
      <w:r w:rsidR="00D9209E" w:rsidRPr="00D9209E">
        <w:rPr>
          <w:i/>
          <w:lang w:val="en-GB"/>
        </w:rPr>
        <w:t>a</w:t>
      </w:r>
      <w:r w:rsidRPr="00D9209E">
        <w:rPr>
          <w:i/>
          <w:lang w:val="en-GB"/>
        </w:rPr>
        <w:t>ncien</w:t>
      </w:r>
      <w:proofErr w:type="spellEnd"/>
      <w:r w:rsidRPr="00D9209E">
        <w:rPr>
          <w:i/>
          <w:lang w:val="en-GB"/>
        </w:rPr>
        <w:t xml:space="preserve"> </w:t>
      </w:r>
      <w:proofErr w:type="spellStart"/>
      <w:r w:rsidR="00D9209E" w:rsidRPr="00D9209E">
        <w:rPr>
          <w:i/>
          <w:lang w:val="en-GB"/>
        </w:rPr>
        <w:t>r</w:t>
      </w:r>
      <w:r w:rsidRPr="003E7603">
        <w:rPr>
          <w:i/>
          <w:lang w:val="en-GB"/>
        </w:rPr>
        <w:t>égime</w:t>
      </w:r>
      <w:proofErr w:type="spellEnd"/>
      <w:r w:rsidRPr="003E7603">
        <w:rPr>
          <w:lang w:val="en-GB"/>
        </w:rPr>
        <w:t xml:space="preserve"> idea of political representation (through intermediate organizations). </w:t>
      </w:r>
    </w:p>
    <w:p w14:paraId="3093EB48" w14:textId="77777777" w:rsidR="003E7603" w:rsidRDefault="003E7603" w:rsidP="003E7603">
      <w:pPr>
        <w:spacing w:line="276" w:lineRule="auto"/>
        <w:ind w:firstLine="284"/>
        <w:contextualSpacing/>
        <w:jc w:val="both"/>
        <w:rPr>
          <w:lang w:val="en-GB"/>
        </w:rPr>
      </w:pPr>
    </w:p>
    <w:p w14:paraId="35B5EC11" w14:textId="77777777" w:rsidR="000064A6" w:rsidRPr="003E7603" w:rsidRDefault="00441C62" w:rsidP="003E7603">
      <w:pPr>
        <w:spacing w:line="276" w:lineRule="auto"/>
        <w:ind w:firstLine="284"/>
        <w:contextualSpacing/>
        <w:jc w:val="both"/>
        <w:rPr>
          <w:lang w:val="en-GB"/>
        </w:rPr>
      </w:pPr>
      <w:r>
        <w:rPr>
          <w:lang w:val="en-GB"/>
        </w:rPr>
        <w:t>Moving to the powers of the i</w:t>
      </w:r>
      <w:r w:rsidR="000064A6" w:rsidRPr="003E7603">
        <w:rPr>
          <w:lang w:val="en-GB"/>
        </w:rPr>
        <w:t xml:space="preserve">ndependent </w:t>
      </w:r>
      <w:r>
        <w:rPr>
          <w:lang w:val="en-GB"/>
        </w:rPr>
        <w:t>a</w:t>
      </w:r>
      <w:r w:rsidR="000064A6" w:rsidRPr="003E7603">
        <w:rPr>
          <w:lang w:val="en-GB"/>
        </w:rPr>
        <w:t>uthority, they include the suspension (when it is not automatic) and the annulment of</w:t>
      </w:r>
      <w:r w:rsidR="00A37872">
        <w:rPr>
          <w:lang w:val="en-GB"/>
        </w:rPr>
        <w:t xml:space="preserve"> the contested decision if the a</w:t>
      </w:r>
      <w:r w:rsidR="000064A6" w:rsidRPr="003E7603">
        <w:rPr>
          <w:lang w:val="en-GB"/>
        </w:rPr>
        <w:t>uthority finds it is contrary to law or regulation, which is coherent both with the UEMOA and with the UNCITRAL models. Also the possibility to overturn concluded contracts is pretty widespread</w:t>
      </w:r>
      <w:r w:rsidR="00D140F9">
        <w:rPr>
          <w:lang w:val="en-GB"/>
        </w:rPr>
        <w:t xml:space="preserve"> in the c</w:t>
      </w:r>
      <w:r w:rsidR="000064A6" w:rsidRPr="003E7603">
        <w:rPr>
          <w:lang w:val="en-GB"/>
        </w:rPr>
        <w:t>ountries covered by this paper, following the new UNCITRAL model law 2011 which goes in this direction, moving from the 1994 model law which on the contrary did not allowed setting aside concluded contracts</w:t>
      </w:r>
      <w:r w:rsidR="000064A6" w:rsidRPr="003E7603">
        <w:rPr>
          <w:rStyle w:val="FootnoteReference"/>
          <w:lang w:val="en-GB"/>
        </w:rPr>
        <w:footnoteReference w:id="28"/>
      </w:r>
      <w:r w:rsidR="000064A6" w:rsidRPr="003E7603">
        <w:rPr>
          <w:lang w:val="en-GB"/>
        </w:rPr>
        <w:t>. In most countries</w:t>
      </w:r>
      <w:r w:rsidR="00A37872">
        <w:rPr>
          <w:lang w:val="en-GB"/>
        </w:rPr>
        <w:t xml:space="preserve"> examined, the recourse to the independent a</w:t>
      </w:r>
      <w:r w:rsidR="000064A6" w:rsidRPr="003E7603">
        <w:rPr>
          <w:lang w:val="en-GB"/>
        </w:rPr>
        <w:t>uthority suspends the challenged admin</w:t>
      </w:r>
      <w:r w:rsidR="00A37872">
        <w:rPr>
          <w:lang w:val="en-GB"/>
        </w:rPr>
        <w:t>istrative act, at least if the a</w:t>
      </w:r>
      <w:r w:rsidR="000064A6" w:rsidRPr="003E7603">
        <w:rPr>
          <w:lang w:val="en-GB"/>
        </w:rPr>
        <w:t>uthority decides in a certain time span, after which the suspension is terminated, and time limits are very tight (usually from 7 to 15 days).</w:t>
      </w:r>
    </w:p>
    <w:p w14:paraId="1F2E29E2" w14:textId="77777777" w:rsidR="006A33BA" w:rsidRDefault="006A33BA" w:rsidP="003E7603">
      <w:pPr>
        <w:pStyle w:val="FootnoteText"/>
        <w:spacing w:line="276" w:lineRule="auto"/>
        <w:jc w:val="both"/>
        <w:rPr>
          <w:rFonts w:eastAsia="Calibri"/>
          <w:smallCaps/>
          <w:color w:val="000000"/>
          <w:lang w:val="en-GB" w:eastAsia="en-US"/>
        </w:rPr>
      </w:pPr>
    </w:p>
    <w:p w14:paraId="4909978C" w14:textId="77777777" w:rsidR="00D0580A" w:rsidRDefault="00F31E2C" w:rsidP="00F31E2C">
      <w:pPr>
        <w:pStyle w:val="FootnoteText"/>
        <w:spacing w:line="276" w:lineRule="auto"/>
        <w:jc w:val="center"/>
      </w:pPr>
      <w:r>
        <w:rPr>
          <w:rFonts w:eastAsia="Calibri"/>
          <w:smallCaps/>
          <w:color w:val="000000"/>
          <w:lang w:val="en-GB" w:eastAsia="en-US"/>
        </w:rPr>
        <w:t>Annexe</w:t>
      </w:r>
      <w:r w:rsidR="00D0580A">
        <w:rPr>
          <w:rFonts w:eastAsia="Calibri"/>
          <w:smallCaps/>
          <w:color w:val="000000"/>
          <w:lang w:val="en-GB" w:eastAsia="en-US"/>
        </w:rPr>
        <w:t>.</w:t>
      </w:r>
      <w:r w:rsidR="00D0580A" w:rsidRPr="00D0580A">
        <w:t xml:space="preserve"> </w:t>
      </w:r>
    </w:p>
    <w:p w14:paraId="1007A48A" w14:textId="77777777" w:rsidR="00F31E2C" w:rsidRDefault="00D0580A" w:rsidP="00F31E2C">
      <w:pPr>
        <w:pStyle w:val="FootnoteText"/>
        <w:spacing w:line="276" w:lineRule="auto"/>
        <w:jc w:val="center"/>
        <w:rPr>
          <w:rFonts w:eastAsia="Calibri"/>
          <w:smallCaps/>
          <w:color w:val="000000"/>
          <w:lang w:val="en-GB" w:eastAsia="en-US"/>
        </w:rPr>
      </w:pPr>
      <w:r w:rsidRPr="00D0580A">
        <w:rPr>
          <w:rFonts w:eastAsia="Calibri"/>
          <w:smallCaps/>
          <w:color w:val="000000"/>
          <w:lang w:val="en-GB" w:eastAsia="en-US"/>
        </w:rPr>
        <w:t>Questionnaire</w:t>
      </w:r>
      <w:r>
        <w:rPr>
          <w:rFonts w:eastAsia="Calibri"/>
          <w:smallCaps/>
          <w:color w:val="000000"/>
          <w:lang w:val="en-GB" w:eastAsia="en-US"/>
        </w:rPr>
        <w:t xml:space="preserve">: </w:t>
      </w:r>
      <w:r w:rsidRPr="00D0580A">
        <w:rPr>
          <w:rFonts w:eastAsia="Calibri"/>
          <w:smallCaps/>
          <w:color w:val="000000"/>
          <w:lang w:val="en-GB" w:eastAsia="en-US"/>
        </w:rPr>
        <w:t>Supplier Remedies And Administrative Review In Public Procurement</w:t>
      </w:r>
      <w:r>
        <w:rPr>
          <w:rFonts w:eastAsia="Calibri"/>
          <w:smallCaps/>
          <w:color w:val="000000"/>
          <w:lang w:val="en-GB" w:eastAsia="en-US"/>
        </w:rPr>
        <w:t xml:space="preserve"> </w:t>
      </w:r>
    </w:p>
    <w:p w14:paraId="103FEAF9" w14:textId="77777777" w:rsidR="00D0580A" w:rsidRDefault="00D0580A" w:rsidP="00D0580A">
      <w:pPr>
        <w:pStyle w:val="FootnoteText"/>
        <w:spacing w:line="276" w:lineRule="auto"/>
        <w:jc w:val="center"/>
        <w:rPr>
          <w:rFonts w:eastAsia="Calibri"/>
          <w:smallCaps/>
          <w:color w:val="000000"/>
          <w:lang w:val="en-GB" w:eastAsia="en-US"/>
        </w:rPr>
      </w:pPr>
    </w:p>
    <w:p w14:paraId="7F2605B4" w14:textId="77777777" w:rsidR="00D0580A" w:rsidRPr="00D0580A" w:rsidRDefault="00D0580A" w:rsidP="00D0580A">
      <w:pPr>
        <w:numPr>
          <w:ilvl w:val="0"/>
          <w:numId w:val="8"/>
        </w:numPr>
        <w:tabs>
          <w:tab w:val="clear" w:pos="720"/>
          <w:tab w:val="num" w:pos="360"/>
        </w:tabs>
        <w:spacing w:line="276" w:lineRule="auto"/>
        <w:ind w:left="360"/>
        <w:jc w:val="both"/>
        <w:rPr>
          <w:lang w:val="en-GB" w:eastAsia="ja-JP"/>
        </w:rPr>
      </w:pPr>
      <w:r w:rsidRPr="00D0580A">
        <w:rPr>
          <w:lang w:val="en-GB" w:eastAsia="ja-JP"/>
        </w:rPr>
        <w:t xml:space="preserve">Please outline the main </w:t>
      </w:r>
      <w:r w:rsidRPr="00D0580A">
        <w:rPr>
          <w:i/>
          <w:lang w:val="en-GB" w:eastAsia="ja-JP"/>
        </w:rPr>
        <w:t>characters</w:t>
      </w:r>
      <w:r w:rsidRPr="00D0580A">
        <w:rPr>
          <w:lang w:val="en-GB" w:eastAsia="ja-JP"/>
        </w:rPr>
        <w:t xml:space="preserve"> of remedies in your country (e.g. common law or civil law approach or mix, including specific local elements if any) and this both generally and with specific reference to remedies against public authorities and entities</w:t>
      </w:r>
    </w:p>
    <w:p w14:paraId="70B5D3E2" w14:textId="77777777" w:rsidR="00D0580A" w:rsidRPr="00D0580A" w:rsidRDefault="00D0580A" w:rsidP="00D0580A">
      <w:pPr>
        <w:numPr>
          <w:ilvl w:val="0"/>
          <w:numId w:val="8"/>
        </w:numPr>
        <w:tabs>
          <w:tab w:val="clear" w:pos="720"/>
          <w:tab w:val="num" w:pos="360"/>
        </w:tabs>
        <w:spacing w:line="276" w:lineRule="auto"/>
        <w:ind w:left="360"/>
        <w:jc w:val="both"/>
        <w:rPr>
          <w:lang w:val="en-GB" w:eastAsia="ja-JP"/>
        </w:rPr>
      </w:pPr>
      <w:r w:rsidRPr="00D0580A">
        <w:rPr>
          <w:lang w:val="en-GB" w:eastAsia="ja-JP"/>
        </w:rPr>
        <w:t xml:space="preserve">Please indicate the legal </w:t>
      </w:r>
      <w:r w:rsidRPr="00D0580A">
        <w:rPr>
          <w:i/>
          <w:lang w:val="en-GB" w:eastAsia="ja-JP"/>
        </w:rPr>
        <w:t>sources</w:t>
      </w:r>
      <w:r w:rsidRPr="00D0580A">
        <w:rPr>
          <w:lang w:val="en-GB" w:eastAsia="ja-JP"/>
        </w:rPr>
        <w:t xml:space="preserve"> of remedies to the disaffected bidder or (potential) participant in public procurement cases (e.g. Constitution, general rules for remedies, general rules for remedies against public authorities and entities, specific rules concerning public procurement cases etc.); please, if the rules have been changed in the past decade also indicate whether this was due to </w:t>
      </w:r>
      <w:r w:rsidRPr="00D0580A">
        <w:rPr>
          <w:lang w:val="en-GB" w:eastAsia="ja-JP"/>
        </w:rPr>
        <w:lastRenderedPageBreak/>
        <w:t>some international pressure (including donors) and/or adopting foreign models (incl. from neighbouring countries or from UNCITRAL or similar institutions) perceived as corresponding to best practices;</w:t>
      </w:r>
    </w:p>
    <w:p w14:paraId="0A8E6AEF" w14:textId="77777777" w:rsidR="00D0580A" w:rsidRPr="00D0580A" w:rsidRDefault="00D0580A" w:rsidP="00D0580A">
      <w:pPr>
        <w:numPr>
          <w:ilvl w:val="0"/>
          <w:numId w:val="8"/>
        </w:numPr>
        <w:tabs>
          <w:tab w:val="clear" w:pos="720"/>
          <w:tab w:val="num" w:pos="360"/>
        </w:tabs>
        <w:spacing w:line="276" w:lineRule="auto"/>
        <w:ind w:left="360"/>
        <w:jc w:val="both"/>
        <w:rPr>
          <w:lang w:val="en-GB" w:eastAsia="ja-JP"/>
        </w:rPr>
      </w:pPr>
      <w:r w:rsidRPr="00D0580A">
        <w:rPr>
          <w:lang w:val="en-GB" w:eastAsia="ja-JP"/>
        </w:rPr>
        <w:t xml:space="preserve">Please outline the </w:t>
      </w:r>
      <w:r w:rsidRPr="00D0580A">
        <w:rPr>
          <w:i/>
          <w:lang w:val="en-GB" w:eastAsia="ja-JP"/>
        </w:rPr>
        <w:t>types</w:t>
      </w:r>
      <w:r w:rsidRPr="00D0580A">
        <w:rPr>
          <w:lang w:val="en-GB" w:eastAsia="ja-JP"/>
        </w:rPr>
        <w:t xml:space="preserve"> of remedies avenues open to the disaffected bidder or (potential) participant in public procurement cases (judicial remedies, appeal to an independent authority, appeal to someone or board in higher position in the procuring entity, appeal for reconsideration to the decision maker) and the connection(s) between different avenues if more than one is foreseen</w:t>
      </w:r>
    </w:p>
    <w:p w14:paraId="14A9009C" w14:textId="77777777" w:rsidR="00D0580A" w:rsidRPr="00D0580A" w:rsidRDefault="00D0580A" w:rsidP="00D0580A">
      <w:pPr>
        <w:numPr>
          <w:ilvl w:val="0"/>
          <w:numId w:val="8"/>
        </w:numPr>
        <w:tabs>
          <w:tab w:val="clear" w:pos="720"/>
          <w:tab w:val="num" w:pos="360"/>
        </w:tabs>
        <w:spacing w:line="276" w:lineRule="auto"/>
        <w:ind w:left="360"/>
        <w:jc w:val="both"/>
        <w:rPr>
          <w:lang w:val="en-GB" w:eastAsia="ja-JP"/>
        </w:rPr>
      </w:pPr>
      <w:r w:rsidRPr="00D0580A">
        <w:rPr>
          <w:lang w:val="en-GB" w:eastAsia="ja-JP"/>
        </w:rPr>
        <w:t xml:space="preserve">Please for all relevant types give info as to the </w:t>
      </w:r>
      <w:r w:rsidRPr="00D0580A">
        <w:rPr>
          <w:i/>
          <w:lang w:val="en-GB" w:eastAsia="ja-JP"/>
        </w:rPr>
        <w:t>rules</w:t>
      </w:r>
      <w:r w:rsidRPr="00D0580A">
        <w:rPr>
          <w:lang w:val="en-GB" w:eastAsia="ja-JP"/>
        </w:rPr>
        <w:t xml:space="preserve"> buttressing the independence/impartiality of the institution competent to grant the remedy (e.g. personal qualifications of the members/components, tenure security, pay etc</w:t>
      </w:r>
      <w:r>
        <w:rPr>
          <w:lang w:val="en-GB" w:eastAsia="ja-JP"/>
        </w:rPr>
        <w:t>.</w:t>
      </w:r>
      <w:r w:rsidRPr="00D0580A">
        <w:rPr>
          <w:lang w:val="en-GB" w:eastAsia="ja-JP"/>
        </w:rPr>
        <w:t>), setting its powers (e.g. annulment of the award decision/contract, stay of the procedure, damages, etc</w:t>
      </w:r>
      <w:r>
        <w:rPr>
          <w:lang w:val="en-GB" w:eastAsia="ja-JP"/>
        </w:rPr>
        <w:t>.</w:t>
      </w:r>
      <w:r w:rsidRPr="00D0580A">
        <w:rPr>
          <w:lang w:val="en-GB" w:eastAsia="ja-JP"/>
        </w:rPr>
        <w:t>), and their limits (e.g. whether the competent institution checks formal irregularities only; whether it can assess the merits of the different tenders/bids), duration and costs of the procedure</w:t>
      </w:r>
    </w:p>
    <w:p w14:paraId="32891379" w14:textId="77777777" w:rsidR="00D0580A" w:rsidRPr="00D0580A" w:rsidRDefault="00D0580A" w:rsidP="00D0580A">
      <w:pPr>
        <w:numPr>
          <w:ilvl w:val="0"/>
          <w:numId w:val="8"/>
        </w:numPr>
        <w:tabs>
          <w:tab w:val="clear" w:pos="720"/>
          <w:tab w:val="num" w:pos="360"/>
        </w:tabs>
        <w:spacing w:line="276" w:lineRule="auto"/>
        <w:ind w:left="360"/>
        <w:jc w:val="both"/>
        <w:rPr>
          <w:lang w:val="en-GB" w:eastAsia="ja-JP"/>
        </w:rPr>
      </w:pPr>
      <w:r w:rsidRPr="00D0580A">
        <w:rPr>
          <w:lang w:val="en-GB" w:eastAsia="ja-JP"/>
        </w:rPr>
        <w:t xml:space="preserve">Please outline the </w:t>
      </w:r>
      <w:r w:rsidRPr="00D0580A">
        <w:rPr>
          <w:i/>
          <w:lang w:val="en-GB" w:eastAsia="ja-JP"/>
        </w:rPr>
        <w:t>defence rights</w:t>
      </w:r>
      <w:r w:rsidRPr="00D0580A">
        <w:rPr>
          <w:lang w:val="en-GB" w:eastAsia="ja-JP"/>
        </w:rPr>
        <w:t xml:space="preserve"> which are granted to applicant (e.g. right to access to the file of the award procedure, right to legal representation; right to fair hearing, right to lodge written pleading, right to a reasoned decision); are similar rights granted to the opponent (the bidder having being awarded the contract or the preferred bidder)?</w:t>
      </w:r>
    </w:p>
    <w:p w14:paraId="4FBCE8A4" w14:textId="77777777" w:rsidR="00D0580A" w:rsidRPr="00D0580A" w:rsidRDefault="00D0580A" w:rsidP="00D0580A">
      <w:pPr>
        <w:numPr>
          <w:ilvl w:val="0"/>
          <w:numId w:val="8"/>
        </w:numPr>
        <w:tabs>
          <w:tab w:val="clear" w:pos="720"/>
          <w:tab w:val="num" w:pos="360"/>
        </w:tabs>
        <w:spacing w:line="276" w:lineRule="auto"/>
        <w:ind w:left="360"/>
        <w:jc w:val="both"/>
        <w:rPr>
          <w:lang w:val="en-GB" w:eastAsia="ja-JP"/>
        </w:rPr>
      </w:pPr>
      <w:r w:rsidRPr="00D0580A">
        <w:rPr>
          <w:lang w:val="en-GB" w:eastAsia="ja-JP"/>
        </w:rPr>
        <w:t xml:space="preserve">Please assess the overall </w:t>
      </w:r>
      <w:r w:rsidRPr="00D0580A">
        <w:rPr>
          <w:i/>
          <w:lang w:val="en-GB" w:eastAsia="ja-JP"/>
        </w:rPr>
        <w:t>effectiveness</w:t>
      </w:r>
      <w:r w:rsidRPr="00D0580A">
        <w:rPr>
          <w:lang w:val="en-GB" w:eastAsia="ja-JP"/>
        </w:rPr>
        <w:t xml:space="preserve"> of the remedies mechanism(s) and in case reform proposals to change the present arrangements and its reasons (incl. international pressure and/or desire to adopt foreign models)</w:t>
      </w:r>
    </w:p>
    <w:p w14:paraId="1D35B3B2" w14:textId="77777777" w:rsidR="00D0580A" w:rsidRPr="00D0580A" w:rsidRDefault="00D0580A" w:rsidP="00D0580A">
      <w:pPr>
        <w:spacing w:line="276" w:lineRule="auto"/>
        <w:jc w:val="both"/>
        <w:rPr>
          <w:lang w:val="en-GB" w:eastAsia="ja-JP"/>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214"/>
      </w:tblGrid>
      <w:tr w:rsidR="00D0580A" w:rsidRPr="00D0580A" w14:paraId="75717966" w14:textId="77777777" w:rsidTr="00D0580A">
        <w:tc>
          <w:tcPr>
            <w:tcW w:w="9214" w:type="dxa"/>
            <w:shd w:val="clear" w:color="auto" w:fill="F2F2F2"/>
          </w:tcPr>
          <w:p w14:paraId="303B7E85" w14:textId="77777777" w:rsidR="00D0580A" w:rsidRPr="00D0580A" w:rsidRDefault="00D0580A" w:rsidP="00D0580A">
            <w:pPr>
              <w:spacing w:line="276" w:lineRule="auto"/>
              <w:jc w:val="both"/>
              <w:rPr>
                <w:lang w:val="en-GB" w:eastAsia="ja-JP"/>
              </w:rPr>
            </w:pPr>
            <w:r w:rsidRPr="00D0580A">
              <w:rPr>
                <w:lang w:val="en-GB" w:eastAsia="ja-JP"/>
              </w:rPr>
              <w:t xml:space="preserve">Please answer the following questions concerning two different cases. For every answer please provide the necessary references, incl. legislation, cases, literature </w:t>
            </w:r>
            <w:r w:rsidRPr="00D0580A">
              <w:rPr>
                <w:i/>
                <w:lang w:val="en-GB" w:eastAsia="ja-JP"/>
              </w:rPr>
              <w:t>etc.</w:t>
            </w:r>
          </w:p>
        </w:tc>
      </w:tr>
    </w:tbl>
    <w:p w14:paraId="1D4B2A07" w14:textId="77777777" w:rsidR="00D0580A" w:rsidRPr="00D0580A" w:rsidRDefault="00D0580A" w:rsidP="00D0580A">
      <w:pPr>
        <w:spacing w:line="276" w:lineRule="auto"/>
        <w:jc w:val="both"/>
        <w:rPr>
          <w:lang w:val="en-GB" w:eastAsia="ja-JP"/>
        </w:rPr>
      </w:pPr>
    </w:p>
    <w:p w14:paraId="67981EA4" w14:textId="77777777" w:rsidR="00D0580A" w:rsidRPr="00D0580A" w:rsidRDefault="00D0580A" w:rsidP="00D0580A">
      <w:pPr>
        <w:numPr>
          <w:ilvl w:val="0"/>
          <w:numId w:val="6"/>
        </w:numPr>
        <w:spacing w:line="276" w:lineRule="auto"/>
        <w:ind w:left="360"/>
        <w:jc w:val="both"/>
        <w:rPr>
          <w:lang w:val="en-GB" w:eastAsia="ja-JP"/>
        </w:rPr>
      </w:pPr>
      <w:r w:rsidRPr="00D0580A">
        <w:rPr>
          <w:lang w:val="en-GB" w:eastAsia="ja-JP"/>
        </w:rPr>
        <w:t>CASE 1. A contract for a standard built school was directly awarded to company A without the contract being advertised and without any urgency or other justification for direct award. Company B would have been ready to take part in a competitive procedure. What are the remedies available to company B? More specifically, to which avenue it may have recourse. What would be the types of remedies? Would this include interim relief, such as staying the contract implementation? If yes under which condition? Would the remedies change if the contract was already executed before the final decision is taken by competent institution? What would be the average times and cost to get to the decision? Would anything of the above change is company B is from outside the country?</w:t>
      </w:r>
    </w:p>
    <w:p w14:paraId="51DC5A16" w14:textId="77777777" w:rsidR="00D0580A" w:rsidRPr="00D0580A" w:rsidRDefault="00D0580A" w:rsidP="00D0580A">
      <w:pPr>
        <w:numPr>
          <w:ilvl w:val="0"/>
          <w:numId w:val="6"/>
        </w:numPr>
        <w:spacing w:line="276" w:lineRule="auto"/>
        <w:ind w:left="360"/>
        <w:jc w:val="both"/>
        <w:rPr>
          <w:lang w:val="en-GB" w:eastAsia="ja-JP"/>
        </w:rPr>
      </w:pPr>
      <w:r w:rsidRPr="00D0580A">
        <w:rPr>
          <w:lang w:val="en-GB" w:eastAsia="ja-JP"/>
        </w:rPr>
        <w:t xml:space="preserve">CASE 2. A contract for chauffeur-driven car and minibus service for members of the Parliament. Under invitation to tender, the contract was to be awarded to the tender offering best value for money assessed on the weighted criteria concerning not only the price, but also vehicle fleet provided (quantity and quality), measures taken or specific to the vehicles to meet environmental requirements, staff social policy. Company B, that was placed second, claim that the first placed tender has an inferior quality. How have bids been evaluated? What is the authority/institution which can be entered by company B? (e.g. court, independent authority, someone or board in higher position in the procuring entity, etc.). What are its powers? More specifically, is the authority/institution competent to review the application of the qualitative and functional award criteria? What type of control/check can it do? (e.g. judicial review may be limited to checking </w:t>
      </w:r>
      <w:r w:rsidRPr="00D0580A">
        <w:rPr>
          <w:lang w:val="en-GB" w:eastAsia="ja-JP"/>
        </w:rPr>
        <w:lastRenderedPageBreak/>
        <w:t>that the rules governing the procedure and statement of reasons are complied with, the facts are correct and there is no manifest error of assessment or misuse of powers, or it can substitute its appreciation to the one of the decision maker – substitutive control). What is the expertise of this institution? Is it specialised in public procurement? (e.g. administrative judge could not be specialized in procurement). Can it avail itself of expert witnesses?</w:t>
      </w:r>
    </w:p>
    <w:p w14:paraId="0D78D609" w14:textId="77777777" w:rsidR="00D0580A" w:rsidRDefault="00D0580A" w:rsidP="00D0580A">
      <w:pPr>
        <w:pStyle w:val="FootnoteText"/>
        <w:spacing w:line="276" w:lineRule="auto"/>
        <w:jc w:val="center"/>
        <w:rPr>
          <w:rFonts w:eastAsia="Calibri"/>
          <w:smallCaps/>
          <w:color w:val="000000"/>
          <w:lang w:val="en-GB" w:eastAsia="en-US"/>
        </w:rPr>
      </w:pPr>
    </w:p>
    <w:p w14:paraId="6FB7DB27" w14:textId="77777777" w:rsidR="003E3D23" w:rsidRDefault="003E3D23" w:rsidP="006A33BA">
      <w:pPr>
        <w:pStyle w:val="FootnoteText"/>
        <w:spacing w:line="276" w:lineRule="auto"/>
        <w:jc w:val="center"/>
        <w:rPr>
          <w:rFonts w:eastAsia="Calibri"/>
          <w:smallCaps/>
          <w:color w:val="000000"/>
          <w:lang w:val="en-GB" w:eastAsia="en-US"/>
        </w:rPr>
      </w:pPr>
    </w:p>
    <w:p w14:paraId="7B5F56BC" w14:textId="77777777" w:rsidR="006A33BA" w:rsidRDefault="006A33BA" w:rsidP="006A33BA">
      <w:pPr>
        <w:pStyle w:val="FootnoteText"/>
        <w:spacing w:line="276" w:lineRule="auto"/>
        <w:jc w:val="center"/>
        <w:rPr>
          <w:rFonts w:eastAsia="Calibri"/>
          <w:smallCaps/>
          <w:color w:val="000000"/>
          <w:lang w:val="en-GB" w:eastAsia="en-US"/>
        </w:rPr>
      </w:pPr>
      <w:r w:rsidRPr="006A33BA">
        <w:rPr>
          <w:rFonts w:eastAsia="Calibri"/>
          <w:smallCaps/>
          <w:color w:val="000000"/>
          <w:lang w:val="en-GB" w:eastAsia="en-US"/>
        </w:rPr>
        <w:t>References</w:t>
      </w:r>
    </w:p>
    <w:p w14:paraId="138F55F9" w14:textId="77777777" w:rsidR="006A33BA" w:rsidRDefault="006A33BA" w:rsidP="006A33BA">
      <w:pPr>
        <w:pStyle w:val="FootnoteText"/>
        <w:spacing w:line="276" w:lineRule="auto"/>
        <w:jc w:val="center"/>
        <w:rPr>
          <w:rFonts w:eastAsia="Calibri"/>
          <w:smallCaps/>
          <w:color w:val="000000"/>
          <w:lang w:val="en-GB" w:eastAsia="en-US"/>
        </w:rPr>
      </w:pPr>
    </w:p>
    <w:p w14:paraId="7CE1E5AE" w14:textId="77777777" w:rsidR="000064A6" w:rsidRPr="003E7603" w:rsidRDefault="000064A6" w:rsidP="003E7603">
      <w:pPr>
        <w:pStyle w:val="FootnoteText"/>
        <w:spacing w:line="276" w:lineRule="auto"/>
        <w:jc w:val="both"/>
        <w:rPr>
          <w:lang w:val="en-GB"/>
        </w:rPr>
      </w:pPr>
      <w:r w:rsidRPr="003E7603">
        <w:rPr>
          <w:lang w:val="en-GB"/>
        </w:rPr>
        <w:t>Annexe III of World Bank Procurement Regulation</w:t>
      </w:r>
      <w:r w:rsidR="00D1318C">
        <w:rPr>
          <w:lang w:val="en-GB"/>
        </w:rPr>
        <w:t>s for IPF borrowers (July 2016)</w:t>
      </w:r>
    </w:p>
    <w:p w14:paraId="01353535" w14:textId="77777777" w:rsidR="000064A6" w:rsidRPr="003E7603" w:rsidRDefault="000064A6" w:rsidP="003E7603">
      <w:pPr>
        <w:pStyle w:val="FootnoteText"/>
        <w:spacing w:line="276" w:lineRule="auto"/>
        <w:jc w:val="both"/>
        <w:rPr>
          <w:lang w:val="en-GB"/>
        </w:rPr>
      </w:pPr>
    </w:p>
    <w:p w14:paraId="7146E26E" w14:textId="77777777" w:rsidR="000064A6" w:rsidRPr="003E7603" w:rsidRDefault="000064A6" w:rsidP="003E7603">
      <w:pPr>
        <w:pStyle w:val="FootnoteText"/>
        <w:spacing w:line="276" w:lineRule="auto"/>
        <w:jc w:val="both"/>
        <w:rPr>
          <w:lang w:val="fr-FR"/>
        </w:rPr>
      </w:pPr>
      <w:r w:rsidRPr="003E7603">
        <w:rPr>
          <w:noProof/>
          <w:lang w:val="fr-FR"/>
        </w:rPr>
        <w:t xml:space="preserve">BAD, </w:t>
      </w:r>
      <w:r w:rsidRPr="003E7603">
        <w:rPr>
          <w:i/>
          <w:iCs/>
          <w:noProof/>
          <w:lang w:val="fr-FR"/>
        </w:rPr>
        <w:t>Rapport principal d’Evaluation des procédures nationales de passation des marchés pour les appels d’offres nationaux dans le cadre des projets financés par la Banque.</w:t>
      </w:r>
      <w:r w:rsidRPr="003E7603">
        <w:rPr>
          <w:noProof/>
          <w:lang w:val="fr-FR"/>
        </w:rPr>
        <w:t xml:space="preserve"> Brazzaville: Département des Acquisitions &amp; Services Fiduciaires -</w:t>
      </w:r>
      <w:r w:rsidR="00D1318C">
        <w:rPr>
          <w:noProof/>
          <w:lang w:val="fr-FR"/>
        </w:rPr>
        <w:t>Division des Acquisitions, 2012</w:t>
      </w:r>
    </w:p>
    <w:p w14:paraId="47698E4C" w14:textId="77777777" w:rsidR="000064A6" w:rsidRPr="003E7603" w:rsidRDefault="000064A6" w:rsidP="003E7603">
      <w:pPr>
        <w:pStyle w:val="FootnoteText"/>
        <w:spacing w:line="276" w:lineRule="auto"/>
        <w:jc w:val="both"/>
        <w:rPr>
          <w:i/>
          <w:lang w:val="fr-FR"/>
        </w:rPr>
      </w:pPr>
    </w:p>
    <w:p w14:paraId="3784D40C" w14:textId="77777777" w:rsidR="000064A6" w:rsidRPr="00D1318C" w:rsidRDefault="000064A6" w:rsidP="003E7603">
      <w:pPr>
        <w:pStyle w:val="FootnoteText"/>
        <w:spacing w:line="276" w:lineRule="auto"/>
        <w:jc w:val="both"/>
        <w:rPr>
          <w:lang w:val="fr-FR"/>
        </w:rPr>
      </w:pPr>
      <w:r w:rsidRPr="003E7603">
        <w:rPr>
          <w:i/>
          <w:lang w:val="fr-FR"/>
        </w:rPr>
        <w:t xml:space="preserve">Baromètre de la réglementation de la commande publique en Afrique. </w:t>
      </w:r>
      <w:r w:rsidRPr="00D1318C">
        <w:rPr>
          <w:i/>
          <w:lang w:val="fr-FR"/>
        </w:rPr>
        <w:t>Zone UEMOA</w:t>
      </w:r>
      <w:r w:rsidRPr="00D1318C">
        <w:rPr>
          <w:lang w:val="fr-FR"/>
        </w:rPr>
        <w:t xml:space="preserve">, 2017, </w:t>
      </w:r>
      <w:proofErr w:type="spellStart"/>
      <w:r w:rsidR="00D1318C" w:rsidRPr="00D1318C">
        <w:rPr>
          <w:lang w:val="fr-FR"/>
        </w:rPr>
        <w:t>available</w:t>
      </w:r>
      <w:proofErr w:type="spellEnd"/>
      <w:r w:rsidR="00D1318C" w:rsidRPr="00D1318C">
        <w:rPr>
          <w:lang w:val="fr-FR"/>
        </w:rPr>
        <w:t xml:space="preserve"> </w:t>
      </w:r>
      <w:r w:rsidR="00D1318C">
        <w:rPr>
          <w:lang w:val="fr-FR"/>
        </w:rPr>
        <w:t xml:space="preserve">at : </w:t>
      </w:r>
      <w:r w:rsidRPr="00D1318C">
        <w:rPr>
          <w:lang w:val="fr-FR"/>
        </w:rPr>
        <w:t>http://www.marches-publics-afrique.com/home/les-editos-de-marches-publics-afrique/lebarometre2017delareglementationdelazoneuemoaestpublie</w:t>
      </w:r>
    </w:p>
    <w:p w14:paraId="7DC7B369" w14:textId="77777777" w:rsidR="000064A6" w:rsidRPr="00D1318C" w:rsidRDefault="000064A6" w:rsidP="003E7603">
      <w:pPr>
        <w:pStyle w:val="FootnoteText"/>
        <w:spacing w:line="276" w:lineRule="auto"/>
        <w:jc w:val="both"/>
        <w:rPr>
          <w:lang w:val="fr-FR"/>
        </w:rPr>
      </w:pPr>
    </w:p>
    <w:p w14:paraId="713AC84A" w14:textId="77777777" w:rsidR="000064A6" w:rsidRPr="003E7603" w:rsidRDefault="000064A6" w:rsidP="003E7603">
      <w:pPr>
        <w:widowControl w:val="0"/>
        <w:autoSpaceDE w:val="0"/>
        <w:autoSpaceDN w:val="0"/>
        <w:adjustRightInd w:val="0"/>
        <w:spacing w:line="276" w:lineRule="auto"/>
        <w:jc w:val="both"/>
        <w:rPr>
          <w:lang w:val="en-GB" w:eastAsia="ja-JP"/>
        </w:rPr>
      </w:pPr>
      <w:proofErr w:type="spellStart"/>
      <w:r w:rsidRPr="00D1318C">
        <w:rPr>
          <w:smallCaps/>
          <w:lang w:val="en-GB" w:eastAsia="ja-JP"/>
        </w:rPr>
        <w:t>Boekema</w:t>
      </w:r>
      <w:proofErr w:type="spellEnd"/>
      <w:r w:rsidR="00D1318C">
        <w:rPr>
          <w:smallCaps/>
          <w:lang w:val="en-GB" w:eastAsia="ja-JP"/>
        </w:rPr>
        <w:t xml:space="preserve"> </w:t>
      </w:r>
      <w:r w:rsidR="00D1318C" w:rsidRPr="00D1318C">
        <w:rPr>
          <w:smallCaps/>
          <w:lang w:val="en-GB" w:eastAsia="ja-JP"/>
        </w:rPr>
        <w:t>&amp;</w:t>
      </w:r>
      <w:r w:rsidR="00D1318C">
        <w:rPr>
          <w:smallCaps/>
          <w:lang w:val="en-GB" w:eastAsia="ja-JP"/>
        </w:rPr>
        <w:t xml:space="preserve"> </w:t>
      </w:r>
      <w:r w:rsidR="00D1318C" w:rsidRPr="00D1318C">
        <w:rPr>
          <w:smallCaps/>
          <w:lang w:val="en-GB" w:eastAsia="ja-JP"/>
        </w:rPr>
        <w:t>A.T.</w:t>
      </w:r>
      <w:r w:rsidRPr="003E7603">
        <w:rPr>
          <w:lang w:val="en-GB" w:eastAsia="ja-JP"/>
        </w:rPr>
        <w:t>, I.</w:t>
      </w:r>
      <w:r w:rsidR="00D1318C">
        <w:rPr>
          <w:lang w:val="en-GB" w:eastAsia="ja-JP"/>
        </w:rPr>
        <w:t xml:space="preserve"> </w:t>
      </w:r>
      <w:r w:rsidRPr="003E7603">
        <w:rPr>
          <w:lang w:val="en-GB" w:eastAsia="ja-JP"/>
        </w:rPr>
        <w:t>M., “</w:t>
      </w:r>
      <w:r w:rsidR="005D2032">
        <w:rPr>
          <w:lang w:val="en-GB" w:eastAsia="ja-JP"/>
        </w:rPr>
        <w:t>A</w:t>
      </w:r>
      <w:r w:rsidR="005D2032" w:rsidRPr="003E7603">
        <w:rPr>
          <w:lang w:val="en-GB" w:eastAsia="ja-JP"/>
        </w:rPr>
        <w:t>dministrative de</w:t>
      </w:r>
      <w:r w:rsidR="005D2032">
        <w:rPr>
          <w:lang w:val="en-GB" w:eastAsia="ja-JP"/>
        </w:rPr>
        <w:t>cision-making in reaction to a C</w:t>
      </w:r>
      <w:r w:rsidR="005D2032" w:rsidRPr="003E7603">
        <w:rPr>
          <w:lang w:val="en-GB" w:eastAsia="ja-JP"/>
        </w:rPr>
        <w:t xml:space="preserve">ourt judgment. </w:t>
      </w:r>
      <w:r w:rsidR="005D2032">
        <w:rPr>
          <w:lang w:val="en-GB" w:eastAsia="ja-JP"/>
        </w:rPr>
        <w:t>C</w:t>
      </w:r>
      <w:r w:rsidR="005D2032" w:rsidRPr="003E7603">
        <w:rPr>
          <w:lang w:val="en-GB" w:eastAsia="ja-JP"/>
        </w:rPr>
        <w:t>an the administrative judge guide the decision-making process</w:t>
      </w:r>
      <w:r w:rsidR="00D1318C">
        <w:rPr>
          <w:i/>
          <w:lang w:val="en-GB" w:eastAsia="ja-JP"/>
        </w:rPr>
        <w:t xml:space="preserve">?”, </w:t>
      </w:r>
      <w:r w:rsidR="00D1318C" w:rsidRPr="00D1318C">
        <w:rPr>
          <w:i/>
          <w:lang w:val="en-GB" w:eastAsia="ja-JP"/>
        </w:rPr>
        <w:t>i</w:t>
      </w:r>
      <w:r w:rsidRPr="00D1318C">
        <w:rPr>
          <w:i/>
          <w:lang w:val="en-GB" w:eastAsia="ja-JP"/>
        </w:rPr>
        <w:t>n</w:t>
      </w:r>
      <w:r w:rsidRPr="003E7603">
        <w:rPr>
          <w:lang w:val="en-GB" w:eastAsia="ja-JP"/>
        </w:rPr>
        <w:t xml:space="preserve"> </w:t>
      </w:r>
      <w:r w:rsidRPr="003E7603">
        <w:rPr>
          <w:i/>
          <w:lang w:val="en-GB" w:eastAsia="ja-JP"/>
        </w:rPr>
        <w:t>Utrecht Law Review</w:t>
      </w:r>
      <w:r w:rsidRPr="003E7603">
        <w:rPr>
          <w:lang w:val="en-GB" w:eastAsia="ja-JP"/>
        </w:rPr>
        <w:t>, 2013, pp. 51-61.</w:t>
      </w:r>
    </w:p>
    <w:p w14:paraId="7722B68A" w14:textId="77777777" w:rsidR="000064A6" w:rsidRPr="003E7603" w:rsidRDefault="000064A6" w:rsidP="003E7603">
      <w:pPr>
        <w:pStyle w:val="FootnoteText"/>
        <w:spacing w:line="276" w:lineRule="auto"/>
        <w:jc w:val="both"/>
        <w:rPr>
          <w:lang w:val="en-GB"/>
        </w:rPr>
      </w:pPr>
    </w:p>
    <w:p w14:paraId="09C1CF7C" w14:textId="77777777" w:rsidR="000064A6" w:rsidRPr="003E7603" w:rsidRDefault="00D1318C" w:rsidP="003E7603">
      <w:pPr>
        <w:pStyle w:val="FootnoteText"/>
        <w:spacing w:line="276" w:lineRule="auto"/>
        <w:jc w:val="both"/>
        <w:rPr>
          <w:lang w:val="en-GB"/>
        </w:rPr>
      </w:pPr>
      <w:proofErr w:type="spellStart"/>
      <w:r w:rsidRPr="00D1318C">
        <w:rPr>
          <w:smallCaps/>
          <w:lang w:val="en-GB"/>
        </w:rPr>
        <w:t>Caielli</w:t>
      </w:r>
      <w:proofErr w:type="spellEnd"/>
      <w:r w:rsidRPr="00D1318C">
        <w:rPr>
          <w:smallCaps/>
          <w:lang w:val="en-GB"/>
        </w:rPr>
        <w:t>,</w:t>
      </w:r>
      <w:r>
        <w:rPr>
          <w:smallCaps/>
          <w:lang w:val="en-GB"/>
        </w:rPr>
        <w:t xml:space="preserve"> </w:t>
      </w:r>
      <w:r w:rsidRPr="00D1318C">
        <w:rPr>
          <w:smallCaps/>
          <w:lang w:val="en-GB"/>
        </w:rPr>
        <w:t>M.</w:t>
      </w:r>
      <w:r>
        <w:rPr>
          <w:smallCaps/>
          <w:lang w:val="en-GB"/>
        </w:rPr>
        <w:t>,</w:t>
      </w:r>
      <w:r w:rsidRPr="00D1318C">
        <w:rPr>
          <w:smallCaps/>
          <w:lang w:val="en-GB"/>
        </w:rPr>
        <w:t xml:space="preserve"> </w:t>
      </w:r>
      <w:proofErr w:type="spellStart"/>
      <w:r w:rsidRPr="00D1318C">
        <w:rPr>
          <w:smallCaps/>
          <w:lang w:val="en-GB"/>
        </w:rPr>
        <w:t>Comba</w:t>
      </w:r>
      <w:proofErr w:type="spellEnd"/>
      <w:r w:rsidRPr="00D1318C">
        <w:rPr>
          <w:smallCaps/>
          <w:lang w:val="en-GB"/>
        </w:rPr>
        <w:t>,</w:t>
      </w:r>
      <w:r w:rsidR="000064A6" w:rsidRPr="00D1318C">
        <w:rPr>
          <w:smallCaps/>
          <w:lang w:val="en-GB"/>
        </w:rPr>
        <w:t xml:space="preserve"> </w:t>
      </w:r>
      <w:r w:rsidRPr="00D1318C">
        <w:rPr>
          <w:smallCaps/>
          <w:lang w:val="en-GB"/>
        </w:rPr>
        <w:t>M.</w:t>
      </w:r>
      <w:r>
        <w:rPr>
          <w:smallCaps/>
          <w:lang w:val="en-GB"/>
        </w:rPr>
        <w:t xml:space="preserve"> </w:t>
      </w:r>
      <w:r w:rsidRPr="00D1318C">
        <w:rPr>
          <w:smallCaps/>
          <w:lang w:val="en-GB"/>
        </w:rPr>
        <w:t>E.</w:t>
      </w:r>
      <w:r>
        <w:rPr>
          <w:smallCaps/>
          <w:lang w:val="en-GB"/>
        </w:rPr>
        <w:t>,</w:t>
      </w:r>
      <w:r w:rsidRPr="00D1318C">
        <w:rPr>
          <w:smallCaps/>
          <w:lang w:val="en-GB"/>
        </w:rPr>
        <w:t xml:space="preserve"> </w:t>
      </w:r>
      <w:r w:rsidR="000064A6" w:rsidRPr="00D1318C">
        <w:rPr>
          <w:smallCaps/>
          <w:lang w:val="en-GB"/>
        </w:rPr>
        <w:t>Francavilla</w:t>
      </w:r>
      <w:r>
        <w:rPr>
          <w:smallCaps/>
          <w:lang w:val="en-GB"/>
        </w:rPr>
        <w:t xml:space="preserve">, </w:t>
      </w:r>
      <w:r w:rsidRPr="00D1318C">
        <w:rPr>
          <w:smallCaps/>
          <w:lang w:val="en-GB"/>
        </w:rPr>
        <w:t>D.</w:t>
      </w:r>
      <w:r w:rsidR="000064A6" w:rsidRPr="003E7603">
        <w:rPr>
          <w:lang w:val="en-GB"/>
        </w:rPr>
        <w:t xml:space="preserve"> </w:t>
      </w:r>
      <w:r>
        <w:rPr>
          <w:lang w:val="en-GB"/>
        </w:rPr>
        <w:t>and</w:t>
      </w:r>
      <w:r w:rsidR="000064A6" w:rsidRPr="003E7603">
        <w:rPr>
          <w:lang w:val="en-GB"/>
        </w:rPr>
        <w:t xml:space="preserve"> </w:t>
      </w:r>
      <w:proofErr w:type="spellStart"/>
      <w:r w:rsidR="000064A6" w:rsidRPr="00D1318C">
        <w:rPr>
          <w:smallCaps/>
          <w:lang w:val="en-GB"/>
        </w:rPr>
        <w:t>Mastromarino</w:t>
      </w:r>
      <w:proofErr w:type="spellEnd"/>
      <w:r>
        <w:rPr>
          <w:smallCaps/>
          <w:lang w:val="en-GB"/>
        </w:rPr>
        <w:t>, A</w:t>
      </w:r>
      <w:r w:rsidR="000064A6" w:rsidRPr="003E7603">
        <w:rPr>
          <w:lang w:val="en-GB"/>
        </w:rPr>
        <w:t xml:space="preserve">, </w:t>
      </w:r>
      <w:r w:rsidR="000064A6" w:rsidRPr="003E7603">
        <w:rPr>
          <w:i/>
          <w:lang w:val="en-GB"/>
        </w:rPr>
        <w:t xml:space="preserve">Jurisdiction and </w:t>
      </w:r>
      <w:r w:rsidR="005D2032" w:rsidRPr="003E7603">
        <w:rPr>
          <w:i/>
          <w:lang w:val="en-GB"/>
        </w:rPr>
        <w:t>pluralism: the temptations of a reflective judiciary</w:t>
      </w:r>
      <w:r w:rsidR="000064A6" w:rsidRPr="003E7603">
        <w:rPr>
          <w:lang w:val="en-GB"/>
        </w:rPr>
        <w:t xml:space="preserve">, in preparation. </w:t>
      </w:r>
    </w:p>
    <w:p w14:paraId="6B418B8E" w14:textId="77777777" w:rsidR="000064A6" w:rsidRPr="003E7603" w:rsidRDefault="000064A6" w:rsidP="003E7603">
      <w:pPr>
        <w:pStyle w:val="FootnoteText"/>
        <w:spacing w:line="276" w:lineRule="auto"/>
        <w:jc w:val="both"/>
        <w:rPr>
          <w:lang w:val="en-GB"/>
        </w:rPr>
      </w:pPr>
    </w:p>
    <w:p w14:paraId="4C93B9AD" w14:textId="77777777" w:rsidR="000064A6" w:rsidRPr="003E7603" w:rsidRDefault="00D1318C" w:rsidP="003E7603">
      <w:pPr>
        <w:pStyle w:val="FootnoteText"/>
        <w:spacing w:line="276" w:lineRule="auto"/>
        <w:jc w:val="both"/>
        <w:rPr>
          <w:lang w:val="en-GB"/>
        </w:rPr>
      </w:pPr>
      <w:proofErr w:type="spellStart"/>
      <w:r w:rsidRPr="00D1318C">
        <w:rPr>
          <w:smallCaps/>
          <w:lang w:val="en-GB"/>
        </w:rPr>
        <w:t>Caranta</w:t>
      </w:r>
      <w:proofErr w:type="spellEnd"/>
      <w:r w:rsidRPr="00D1318C">
        <w:rPr>
          <w:smallCaps/>
          <w:lang w:val="en-GB"/>
        </w:rPr>
        <w:t xml:space="preserve">, </w:t>
      </w:r>
      <w:r>
        <w:rPr>
          <w:smallCaps/>
          <w:lang w:val="en-GB"/>
        </w:rPr>
        <w:t>R.,</w:t>
      </w:r>
      <w:r w:rsidRPr="00D1318C">
        <w:rPr>
          <w:smallCaps/>
          <w:lang w:val="en-GB"/>
        </w:rPr>
        <w:t xml:space="preserve"> </w:t>
      </w:r>
      <w:proofErr w:type="spellStart"/>
      <w:r w:rsidR="000064A6" w:rsidRPr="00D1318C">
        <w:rPr>
          <w:smallCaps/>
          <w:lang w:val="en-GB"/>
        </w:rPr>
        <w:t>Andenas</w:t>
      </w:r>
      <w:proofErr w:type="spellEnd"/>
      <w:r>
        <w:rPr>
          <w:smallCaps/>
          <w:lang w:val="en-GB"/>
        </w:rPr>
        <w:t xml:space="preserve">, </w:t>
      </w:r>
      <w:r w:rsidRPr="00D1318C">
        <w:rPr>
          <w:smallCaps/>
          <w:lang w:val="en-GB"/>
        </w:rPr>
        <w:t>M.</w:t>
      </w:r>
      <w:r w:rsidR="000064A6" w:rsidRPr="003E7603">
        <w:rPr>
          <w:lang w:val="en-GB"/>
        </w:rPr>
        <w:t xml:space="preserve"> </w:t>
      </w:r>
      <w:r>
        <w:rPr>
          <w:lang w:val="en-GB"/>
        </w:rPr>
        <w:t>and</w:t>
      </w:r>
      <w:r w:rsidR="000064A6" w:rsidRPr="003E7603">
        <w:rPr>
          <w:lang w:val="en-GB"/>
        </w:rPr>
        <w:t xml:space="preserve"> </w:t>
      </w:r>
      <w:proofErr w:type="spellStart"/>
      <w:r w:rsidR="000064A6" w:rsidRPr="00D1318C">
        <w:rPr>
          <w:smallCaps/>
          <w:lang w:val="en-GB"/>
        </w:rPr>
        <w:t>Fairgrieve</w:t>
      </w:r>
      <w:proofErr w:type="spellEnd"/>
      <w:r>
        <w:rPr>
          <w:smallCaps/>
          <w:lang w:val="en-GB"/>
        </w:rPr>
        <w:t xml:space="preserve">, </w:t>
      </w:r>
      <w:r w:rsidRPr="00D1318C">
        <w:rPr>
          <w:smallCaps/>
          <w:lang w:val="en-GB"/>
        </w:rPr>
        <w:t>D.</w:t>
      </w:r>
      <w:r w:rsidR="000064A6" w:rsidRPr="003E7603">
        <w:rPr>
          <w:lang w:val="en-GB"/>
        </w:rPr>
        <w:t xml:space="preserve"> (eds.), </w:t>
      </w:r>
      <w:r w:rsidR="00D9209E">
        <w:rPr>
          <w:i/>
          <w:lang w:val="en-GB"/>
        </w:rPr>
        <w:t>Independent administrative a</w:t>
      </w:r>
      <w:r w:rsidR="000064A6" w:rsidRPr="003E7603">
        <w:rPr>
          <w:i/>
          <w:lang w:val="en-GB"/>
        </w:rPr>
        <w:t>uthorities</w:t>
      </w:r>
      <w:r w:rsidR="000064A6" w:rsidRPr="003E7603">
        <w:rPr>
          <w:lang w:val="en-GB"/>
        </w:rPr>
        <w:t xml:space="preserve">, London, BIICL, 2004. </w:t>
      </w:r>
    </w:p>
    <w:p w14:paraId="5A46FBAF" w14:textId="77777777" w:rsidR="000064A6" w:rsidRPr="003E7603" w:rsidRDefault="000064A6" w:rsidP="003E7603">
      <w:pPr>
        <w:pStyle w:val="FootnoteText"/>
        <w:spacing w:line="276" w:lineRule="auto"/>
        <w:jc w:val="both"/>
        <w:rPr>
          <w:lang w:val="en-GB"/>
        </w:rPr>
      </w:pPr>
    </w:p>
    <w:p w14:paraId="7032609B" w14:textId="77777777" w:rsidR="000064A6" w:rsidRPr="003E7603" w:rsidRDefault="000064A6" w:rsidP="003E7603">
      <w:pPr>
        <w:pStyle w:val="FootnoteText"/>
        <w:spacing w:line="276" w:lineRule="auto"/>
        <w:jc w:val="both"/>
        <w:rPr>
          <w:lang w:val="en-GB"/>
        </w:rPr>
      </w:pPr>
      <w:r w:rsidRPr="00D1318C">
        <w:rPr>
          <w:smallCaps/>
          <w:lang w:val="en-GB"/>
        </w:rPr>
        <w:t xml:space="preserve">La </w:t>
      </w:r>
      <w:proofErr w:type="spellStart"/>
      <w:r w:rsidRPr="00D1318C">
        <w:rPr>
          <w:smallCaps/>
          <w:lang w:val="en-GB"/>
        </w:rPr>
        <w:t>Chimia</w:t>
      </w:r>
      <w:proofErr w:type="spellEnd"/>
      <w:r w:rsidRPr="003E7603">
        <w:rPr>
          <w:lang w:val="en-GB"/>
        </w:rPr>
        <w:t>,</w:t>
      </w:r>
      <w:r w:rsidR="00D1318C">
        <w:rPr>
          <w:lang w:val="en-GB"/>
        </w:rPr>
        <w:t xml:space="preserve"> </w:t>
      </w:r>
      <w:r w:rsidR="00D1318C">
        <w:rPr>
          <w:smallCaps/>
          <w:lang w:val="en-GB"/>
        </w:rPr>
        <w:t>A.,</w:t>
      </w:r>
      <w:r w:rsidRPr="003E7603">
        <w:rPr>
          <w:lang w:val="en-GB"/>
        </w:rPr>
        <w:t xml:space="preserve"> </w:t>
      </w:r>
      <w:r w:rsidR="00D1318C" w:rsidRPr="00D1318C">
        <w:rPr>
          <w:lang w:val="en-GB"/>
        </w:rPr>
        <w:t>« </w:t>
      </w:r>
      <w:r w:rsidRPr="00D1318C">
        <w:rPr>
          <w:lang w:val="en-GB"/>
        </w:rPr>
        <w:t>Donors’ influence on developing countries’ procurement systems, rules and markets: a critical analysis</w:t>
      </w:r>
      <w:r w:rsidR="00D1318C">
        <w:rPr>
          <w:lang w:val="en-GB"/>
        </w:rPr>
        <w:t xml:space="preserve"> </w:t>
      </w:r>
      <w:r w:rsidR="00D1318C" w:rsidRPr="00D1318C">
        <w:rPr>
          <w:lang w:val="en-GB"/>
        </w:rPr>
        <w:t>»</w:t>
      </w:r>
      <w:r w:rsidRPr="003E7603">
        <w:rPr>
          <w:lang w:val="en-GB"/>
        </w:rPr>
        <w:t xml:space="preserve">, </w:t>
      </w:r>
      <w:r w:rsidRPr="00D1318C">
        <w:rPr>
          <w:i/>
          <w:lang w:val="en-GB"/>
        </w:rPr>
        <w:t>in</w:t>
      </w:r>
      <w:r w:rsidRPr="003E7603">
        <w:rPr>
          <w:lang w:val="en-GB"/>
        </w:rPr>
        <w:t xml:space="preserve"> </w:t>
      </w:r>
      <w:proofErr w:type="spellStart"/>
      <w:r w:rsidRPr="003E7603">
        <w:rPr>
          <w:lang w:val="en-GB"/>
        </w:rPr>
        <w:t>Quinot</w:t>
      </w:r>
      <w:proofErr w:type="spellEnd"/>
      <w:r w:rsidRPr="003E7603">
        <w:rPr>
          <w:lang w:val="en-GB"/>
        </w:rPr>
        <w:t xml:space="preserve">-Arrowsmith, </w:t>
      </w:r>
      <w:r w:rsidRPr="003E7603">
        <w:rPr>
          <w:i/>
          <w:lang w:val="en-GB"/>
        </w:rPr>
        <w:t>Public procurement Regulation in Africa</w:t>
      </w:r>
      <w:r w:rsidRPr="003E7603">
        <w:rPr>
          <w:lang w:val="en-GB"/>
        </w:rPr>
        <w:t>, Cambridge, Cambridge University Press, 2013.</w:t>
      </w:r>
    </w:p>
    <w:p w14:paraId="57B11A0F" w14:textId="77777777" w:rsidR="000064A6" w:rsidRPr="003E7603" w:rsidRDefault="000064A6" w:rsidP="003E7603">
      <w:pPr>
        <w:pStyle w:val="FootnoteText"/>
        <w:spacing w:line="276" w:lineRule="auto"/>
        <w:jc w:val="both"/>
        <w:rPr>
          <w:lang w:val="en-GB"/>
        </w:rPr>
      </w:pPr>
    </w:p>
    <w:p w14:paraId="4041A61D" w14:textId="77777777" w:rsidR="000064A6" w:rsidRPr="003E7603" w:rsidRDefault="000064A6" w:rsidP="003E7603">
      <w:pPr>
        <w:pStyle w:val="FootnoteText"/>
        <w:spacing w:line="276" w:lineRule="auto"/>
        <w:jc w:val="both"/>
        <w:rPr>
          <w:lang w:val="fr-FR"/>
        </w:rPr>
      </w:pPr>
      <w:r w:rsidRPr="003E7603">
        <w:rPr>
          <w:lang w:val="fr-FR"/>
        </w:rPr>
        <w:t>Directive 5/2005/UEMOA, « portant contrôle et régulation des marchés publics et des délégations du service</w:t>
      </w:r>
      <w:r w:rsidR="00D1318C">
        <w:rPr>
          <w:lang w:val="fr-FR"/>
        </w:rPr>
        <w:t xml:space="preserve"> </w:t>
      </w:r>
      <w:r w:rsidRPr="003E7603">
        <w:rPr>
          <w:lang w:val="fr-FR"/>
        </w:rPr>
        <w:t xml:space="preserve">» </w:t>
      </w:r>
    </w:p>
    <w:p w14:paraId="318E7942" w14:textId="77777777" w:rsidR="000064A6" w:rsidRPr="00D1318C" w:rsidRDefault="000064A6" w:rsidP="003E7603">
      <w:pPr>
        <w:pStyle w:val="FootnoteText"/>
        <w:spacing w:line="276" w:lineRule="auto"/>
        <w:jc w:val="both"/>
        <w:rPr>
          <w:rStyle w:val="FootnoteReference"/>
          <w:smallCaps/>
          <w:lang w:val="fr-FR"/>
        </w:rPr>
      </w:pPr>
    </w:p>
    <w:p w14:paraId="41CEA0D5" w14:textId="77777777" w:rsidR="000064A6" w:rsidRPr="003E7603" w:rsidRDefault="000064A6" w:rsidP="003E7603">
      <w:pPr>
        <w:pStyle w:val="FootnoteText"/>
        <w:spacing w:line="276" w:lineRule="auto"/>
        <w:jc w:val="both"/>
        <w:rPr>
          <w:lang w:val="en-GB"/>
        </w:rPr>
      </w:pPr>
      <w:proofErr w:type="spellStart"/>
      <w:r w:rsidRPr="00D1318C">
        <w:rPr>
          <w:smallCaps/>
          <w:lang w:val="en-GB"/>
        </w:rPr>
        <w:t>Mattei</w:t>
      </w:r>
      <w:proofErr w:type="spellEnd"/>
      <w:r w:rsidRPr="003E7603">
        <w:rPr>
          <w:lang w:val="en-GB"/>
        </w:rPr>
        <w:t>,</w:t>
      </w:r>
      <w:r w:rsidR="00D1318C" w:rsidRPr="00D1318C">
        <w:rPr>
          <w:smallCaps/>
          <w:lang w:val="en-GB"/>
        </w:rPr>
        <w:t xml:space="preserve"> </w:t>
      </w:r>
      <w:r w:rsidR="00D1318C">
        <w:rPr>
          <w:smallCaps/>
          <w:lang w:val="en-GB"/>
        </w:rPr>
        <w:t>U.,</w:t>
      </w:r>
      <w:r w:rsidRPr="003E7603">
        <w:rPr>
          <w:lang w:val="en-GB"/>
        </w:rPr>
        <w:t xml:space="preserve"> </w:t>
      </w:r>
      <w:r w:rsidR="00D1318C" w:rsidRPr="00D1318C">
        <w:rPr>
          <w:lang w:val="en-GB"/>
        </w:rPr>
        <w:t>« The Comparative jurisprudence of Schlesinger</w:t>
      </w:r>
      <w:r w:rsidRPr="00D1318C">
        <w:rPr>
          <w:lang w:val="en-GB"/>
        </w:rPr>
        <w:t xml:space="preserve"> and Sacco: </w:t>
      </w:r>
      <w:r w:rsidR="00D1318C" w:rsidRPr="00D1318C">
        <w:rPr>
          <w:lang w:val="en-GB"/>
        </w:rPr>
        <w:t>a</w:t>
      </w:r>
      <w:r w:rsidRPr="00D1318C">
        <w:rPr>
          <w:lang w:val="en-GB"/>
        </w:rPr>
        <w:t xml:space="preserve"> </w:t>
      </w:r>
      <w:r w:rsidR="00D1318C" w:rsidRPr="00D1318C">
        <w:rPr>
          <w:lang w:val="en-GB"/>
        </w:rPr>
        <w:t>study in l</w:t>
      </w:r>
      <w:r w:rsidRPr="00D1318C">
        <w:rPr>
          <w:lang w:val="en-GB"/>
        </w:rPr>
        <w:t xml:space="preserve">egal </w:t>
      </w:r>
      <w:r w:rsidR="00D1318C" w:rsidRPr="00D1318C">
        <w:rPr>
          <w:lang w:val="en-GB"/>
        </w:rPr>
        <w:t>i</w:t>
      </w:r>
      <w:r w:rsidRPr="00D1318C">
        <w:rPr>
          <w:lang w:val="en-GB"/>
        </w:rPr>
        <w:t>nfluence</w:t>
      </w:r>
      <w:r w:rsidR="00D1318C">
        <w:rPr>
          <w:lang w:val="en-GB"/>
        </w:rPr>
        <w:t xml:space="preserve"> </w:t>
      </w:r>
      <w:r w:rsidR="00D1318C" w:rsidRPr="00D1318C">
        <w:rPr>
          <w:lang w:val="en-GB"/>
        </w:rPr>
        <w:t>»</w:t>
      </w:r>
      <w:r w:rsidRPr="003E7603">
        <w:rPr>
          <w:lang w:val="en-GB"/>
        </w:rPr>
        <w:t xml:space="preserve">, </w:t>
      </w:r>
      <w:r w:rsidRPr="00D1318C">
        <w:rPr>
          <w:i/>
          <w:lang w:val="en-GB"/>
        </w:rPr>
        <w:t>in</w:t>
      </w:r>
      <w:r w:rsidRPr="003E7603">
        <w:rPr>
          <w:lang w:val="en-GB"/>
        </w:rPr>
        <w:t xml:space="preserve"> A. Riles (ed.), </w:t>
      </w:r>
      <w:r w:rsidRPr="003E7603">
        <w:rPr>
          <w:i/>
          <w:lang w:val="en-GB"/>
        </w:rPr>
        <w:t>Rethinking the Masters of Comparative Law</w:t>
      </w:r>
      <w:r w:rsidRPr="003E7603">
        <w:rPr>
          <w:lang w:val="en-GB"/>
        </w:rPr>
        <w:t>, Oxford, 2001, 238-56.</w:t>
      </w:r>
    </w:p>
    <w:p w14:paraId="2EFCECA3" w14:textId="77777777" w:rsidR="000064A6" w:rsidRPr="003E7603" w:rsidRDefault="000064A6" w:rsidP="003E7603">
      <w:pPr>
        <w:pStyle w:val="FootnoteText"/>
        <w:spacing w:line="276" w:lineRule="auto"/>
        <w:jc w:val="both"/>
        <w:rPr>
          <w:lang w:val="en-GB"/>
        </w:rPr>
      </w:pPr>
    </w:p>
    <w:p w14:paraId="380EFA37" w14:textId="77777777" w:rsidR="000064A6" w:rsidRPr="003E7603" w:rsidRDefault="000064A6" w:rsidP="003E7603">
      <w:pPr>
        <w:pStyle w:val="FootnoteText"/>
        <w:spacing w:line="276" w:lineRule="auto"/>
        <w:jc w:val="both"/>
        <w:rPr>
          <w:lang w:val="en-GB"/>
        </w:rPr>
      </w:pPr>
      <w:r w:rsidRPr="00D1318C">
        <w:rPr>
          <w:smallCaps/>
          <w:lang w:val="en-GB"/>
        </w:rPr>
        <w:t>Page</w:t>
      </w:r>
      <w:r w:rsidR="00D1318C">
        <w:rPr>
          <w:smallCaps/>
          <w:lang w:val="en-GB"/>
        </w:rPr>
        <w:t>, S.</w:t>
      </w:r>
      <w:r w:rsidRPr="003E7603">
        <w:rPr>
          <w:lang w:val="en-GB"/>
        </w:rPr>
        <w:t xml:space="preserve"> </w:t>
      </w:r>
      <w:r w:rsidR="00D1318C">
        <w:rPr>
          <w:lang w:val="en-GB"/>
        </w:rPr>
        <w:t>and</w:t>
      </w:r>
      <w:r w:rsidRPr="00D1318C">
        <w:rPr>
          <w:smallCaps/>
          <w:lang w:val="en-GB"/>
        </w:rPr>
        <w:t xml:space="preserve"> Bilal</w:t>
      </w:r>
      <w:r w:rsidRPr="003E7603">
        <w:rPr>
          <w:lang w:val="en-GB"/>
        </w:rPr>
        <w:t>,</w:t>
      </w:r>
      <w:r w:rsidR="00D1318C">
        <w:rPr>
          <w:lang w:val="en-GB"/>
        </w:rPr>
        <w:t xml:space="preserve"> </w:t>
      </w:r>
      <w:r w:rsidR="00D1318C">
        <w:rPr>
          <w:smallCaps/>
          <w:lang w:val="en-GB"/>
        </w:rPr>
        <w:t>S.,</w:t>
      </w:r>
      <w:r w:rsidRPr="003E7603">
        <w:rPr>
          <w:lang w:val="en-GB"/>
        </w:rPr>
        <w:t xml:space="preserve"> </w:t>
      </w:r>
      <w:r w:rsidR="00D1318C">
        <w:rPr>
          <w:i/>
          <w:lang w:val="en-GB"/>
        </w:rPr>
        <w:t>Regional i</w:t>
      </w:r>
      <w:r w:rsidRPr="003E7603">
        <w:rPr>
          <w:i/>
          <w:lang w:val="en-GB"/>
        </w:rPr>
        <w:t xml:space="preserve">ntegration in </w:t>
      </w:r>
      <w:r w:rsidR="00D1318C">
        <w:rPr>
          <w:i/>
          <w:lang w:val="en-GB"/>
        </w:rPr>
        <w:t>western Africa. R</w:t>
      </w:r>
      <w:r w:rsidRPr="003E7603">
        <w:rPr>
          <w:i/>
          <w:lang w:val="en-GB"/>
        </w:rPr>
        <w:t>eport prepared for and financed by the Ministry of Foreign Affair. The Netherlands</w:t>
      </w:r>
      <w:r w:rsidRPr="003E7603">
        <w:rPr>
          <w:lang w:val="en-GB"/>
        </w:rPr>
        <w:t xml:space="preserve">, 2001, available at https://www.odi.org/sites/odi.org.uk/files/odi-assets/publications-opinion-files/4628.pdf, 6. </w:t>
      </w:r>
    </w:p>
    <w:p w14:paraId="31A1D105" w14:textId="77777777" w:rsidR="000064A6" w:rsidRPr="003E7603" w:rsidRDefault="000064A6" w:rsidP="003E7603">
      <w:pPr>
        <w:pStyle w:val="FootnoteText"/>
        <w:spacing w:line="276" w:lineRule="auto"/>
        <w:jc w:val="both"/>
        <w:rPr>
          <w:lang w:val="en-GB"/>
        </w:rPr>
      </w:pPr>
    </w:p>
    <w:p w14:paraId="27DC79C5" w14:textId="77777777" w:rsidR="000064A6" w:rsidRPr="003E7603" w:rsidRDefault="000064A6" w:rsidP="003E7603">
      <w:pPr>
        <w:widowControl w:val="0"/>
        <w:autoSpaceDE w:val="0"/>
        <w:autoSpaceDN w:val="0"/>
        <w:adjustRightInd w:val="0"/>
        <w:spacing w:line="276" w:lineRule="auto"/>
        <w:jc w:val="both"/>
        <w:rPr>
          <w:lang w:val="en-GB"/>
        </w:rPr>
      </w:pPr>
      <w:proofErr w:type="spellStart"/>
      <w:r w:rsidRPr="00D1318C">
        <w:rPr>
          <w:smallCaps/>
          <w:lang w:val="en-GB"/>
        </w:rPr>
        <w:t>Poorter</w:t>
      </w:r>
      <w:proofErr w:type="spellEnd"/>
      <w:r w:rsidRPr="00D1318C">
        <w:rPr>
          <w:smallCaps/>
          <w:lang w:val="en-GB"/>
        </w:rPr>
        <w:t>,</w:t>
      </w:r>
      <w:r w:rsidR="00D1318C" w:rsidRPr="00D1318C">
        <w:rPr>
          <w:smallCaps/>
          <w:lang w:val="en-GB"/>
        </w:rPr>
        <w:t xml:space="preserve"> J. C. A.</w:t>
      </w:r>
      <w:r w:rsidR="00D1318C">
        <w:rPr>
          <w:lang w:val="en-GB"/>
        </w:rPr>
        <w:t>,</w:t>
      </w:r>
      <w:r w:rsidRPr="003E7603">
        <w:rPr>
          <w:lang w:val="en-GB"/>
        </w:rPr>
        <w:t xml:space="preserve"> “Increasing the efficiency of the administrative </w:t>
      </w:r>
      <w:r w:rsidR="005D2032">
        <w:rPr>
          <w:lang w:val="en-GB"/>
        </w:rPr>
        <w:t>C</w:t>
      </w:r>
      <w:r w:rsidRPr="003E7603">
        <w:rPr>
          <w:lang w:val="en-GB"/>
        </w:rPr>
        <w:t xml:space="preserve">ourt’s power: a Dutch success story?”, </w:t>
      </w:r>
      <w:r w:rsidRPr="00D1318C">
        <w:rPr>
          <w:i/>
          <w:lang w:val="en-GB"/>
        </w:rPr>
        <w:t>in</w:t>
      </w:r>
      <w:r w:rsidRPr="003E7603">
        <w:rPr>
          <w:lang w:val="en-GB"/>
        </w:rPr>
        <w:t xml:space="preserve"> </w:t>
      </w:r>
      <w:r w:rsidR="00D1318C">
        <w:rPr>
          <w:i/>
          <w:lang w:val="en-GB"/>
        </w:rPr>
        <w:t>Scientific c</w:t>
      </w:r>
      <w:r w:rsidRPr="003E7603">
        <w:rPr>
          <w:i/>
          <w:lang w:val="en-GB"/>
        </w:rPr>
        <w:t xml:space="preserve">ooperation </w:t>
      </w:r>
      <w:r w:rsidR="00D1318C">
        <w:rPr>
          <w:i/>
          <w:lang w:val="en-GB"/>
        </w:rPr>
        <w:t>i</w:t>
      </w:r>
      <w:r w:rsidRPr="003E7603">
        <w:rPr>
          <w:i/>
          <w:lang w:val="en-GB"/>
        </w:rPr>
        <w:t xml:space="preserve">nternational </w:t>
      </w:r>
      <w:r w:rsidR="00D1318C">
        <w:rPr>
          <w:i/>
          <w:lang w:val="en-GB"/>
        </w:rPr>
        <w:t>j</w:t>
      </w:r>
      <w:r w:rsidRPr="003E7603">
        <w:rPr>
          <w:i/>
          <w:lang w:val="en-GB"/>
        </w:rPr>
        <w:t xml:space="preserve">ournal of </w:t>
      </w:r>
      <w:r w:rsidR="00D1318C">
        <w:rPr>
          <w:i/>
          <w:lang w:val="en-GB"/>
        </w:rPr>
        <w:t>l</w:t>
      </w:r>
      <w:r w:rsidRPr="003E7603">
        <w:rPr>
          <w:i/>
          <w:lang w:val="en-GB"/>
        </w:rPr>
        <w:t xml:space="preserve">aw and </w:t>
      </w:r>
      <w:r w:rsidR="00D1318C">
        <w:rPr>
          <w:i/>
          <w:lang w:val="en-GB"/>
        </w:rPr>
        <w:t>p</w:t>
      </w:r>
      <w:r w:rsidRPr="003E7603">
        <w:rPr>
          <w:i/>
          <w:lang w:val="en-GB"/>
        </w:rPr>
        <w:t>olitics</w:t>
      </w:r>
      <w:r w:rsidRPr="003E7603">
        <w:rPr>
          <w:lang w:val="en-GB"/>
        </w:rPr>
        <w:t>, 2015, pp. 96-106.</w:t>
      </w:r>
    </w:p>
    <w:p w14:paraId="503842F2" w14:textId="77777777" w:rsidR="000064A6" w:rsidRPr="003E7603" w:rsidRDefault="000064A6" w:rsidP="003E7603">
      <w:pPr>
        <w:pStyle w:val="FootnoteText"/>
        <w:spacing w:line="276" w:lineRule="auto"/>
        <w:jc w:val="both"/>
        <w:rPr>
          <w:lang w:val="en-GB"/>
        </w:rPr>
      </w:pPr>
    </w:p>
    <w:p w14:paraId="196D2997" w14:textId="77777777" w:rsidR="000064A6" w:rsidRPr="003E7603" w:rsidRDefault="000064A6" w:rsidP="003E7603">
      <w:pPr>
        <w:pStyle w:val="FootnoteText"/>
        <w:spacing w:line="276" w:lineRule="auto"/>
        <w:jc w:val="both"/>
        <w:rPr>
          <w:lang w:val="en-GB"/>
        </w:rPr>
      </w:pPr>
      <w:proofErr w:type="spellStart"/>
      <w:r w:rsidRPr="00D1318C">
        <w:rPr>
          <w:smallCaps/>
          <w:lang w:val="en-GB"/>
        </w:rPr>
        <w:t>Quinot</w:t>
      </w:r>
      <w:proofErr w:type="spellEnd"/>
      <w:r w:rsidR="00D1318C">
        <w:rPr>
          <w:smallCaps/>
          <w:lang w:val="en-GB"/>
        </w:rPr>
        <w:t>, G.</w:t>
      </w:r>
      <w:r w:rsidRPr="003E7603">
        <w:rPr>
          <w:lang w:val="en-GB"/>
        </w:rPr>
        <w:t xml:space="preserve"> </w:t>
      </w:r>
      <w:r w:rsidR="00D1318C">
        <w:rPr>
          <w:lang w:val="en-GB"/>
        </w:rPr>
        <w:t>and</w:t>
      </w:r>
      <w:r w:rsidRPr="003E7603">
        <w:rPr>
          <w:lang w:val="en-GB"/>
        </w:rPr>
        <w:t xml:space="preserve"> </w:t>
      </w:r>
      <w:r w:rsidRPr="00D1318C">
        <w:rPr>
          <w:smallCaps/>
          <w:lang w:val="en-GB"/>
        </w:rPr>
        <w:t>Arrowsmith</w:t>
      </w:r>
      <w:r w:rsidRPr="003E7603">
        <w:rPr>
          <w:lang w:val="en-GB"/>
        </w:rPr>
        <w:t xml:space="preserve">, </w:t>
      </w:r>
      <w:r w:rsidR="00D1318C" w:rsidRPr="00D1318C">
        <w:rPr>
          <w:smallCaps/>
          <w:lang w:val="en-GB"/>
        </w:rPr>
        <w:t>S.</w:t>
      </w:r>
      <w:r w:rsidR="00D1318C">
        <w:rPr>
          <w:smallCaps/>
          <w:lang w:val="en-GB"/>
        </w:rPr>
        <w:t xml:space="preserve">, </w:t>
      </w:r>
      <w:r w:rsidRPr="003E7603">
        <w:rPr>
          <w:i/>
          <w:lang w:val="en-GB"/>
        </w:rPr>
        <w:t xml:space="preserve">Public procurement </w:t>
      </w:r>
      <w:r w:rsidR="00D1318C">
        <w:rPr>
          <w:i/>
          <w:lang w:val="en-GB"/>
        </w:rPr>
        <w:t>r</w:t>
      </w:r>
      <w:r w:rsidRPr="003E7603">
        <w:rPr>
          <w:i/>
          <w:lang w:val="en-GB"/>
        </w:rPr>
        <w:t>egulation in Africa</w:t>
      </w:r>
      <w:r w:rsidRPr="003E7603">
        <w:rPr>
          <w:lang w:val="en-GB"/>
        </w:rPr>
        <w:t>, Cambridge, Cambridge University Press, 2013.</w:t>
      </w:r>
    </w:p>
    <w:p w14:paraId="0BE13A02" w14:textId="77777777" w:rsidR="000064A6" w:rsidRPr="003E7603" w:rsidRDefault="000064A6" w:rsidP="003E7603">
      <w:pPr>
        <w:pStyle w:val="FootnoteText"/>
        <w:spacing w:line="276" w:lineRule="auto"/>
        <w:jc w:val="both"/>
        <w:rPr>
          <w:lang w:val="en-GB"/>
        </w:rPr>
      </w:pPr>
    </w:p>
    <w:p w14:paraId="5A7B2263" w14:textId="77777777" w:rsidR="000064A6" w:rsidRPr="003E7603" w:rsidRDefault="000064A6" w:rsidP="003E7603">
      <w:pPr>
        <w:pStyle w:val="FootnoteText"/>
        <w:spacing w:line="276" w:lineRule="auto"/>
        <w:jc w:val="both"/>
        <w:rPr>
          <w:lang w:val="en-GB"/>
        </w:rPr>
      </w:pPr>
      <w:r w:rsidRPr="00D1318C">
        <w:rPr>
          <w:smallCaps/>
          <w:lang w:val="en-GB"/>
        </w:rPr>
        <w:t xml:space="preserve">Schlesinger, </w:t>
      </w:r>
      <w:r w:rsidR="00D1318C" w:rsidRPr="00D1318C">
        <w:rPr>
          <w:smallCaps/>
          <w:lang w:val="en-GB"/>
        </w:rPr>
        <w:t>R. B.</w:t>
      </w:r>
      <w:r w:rsidR="00D1318C">
        <w:rPr>
          <w:lang w:val="en-GB"/>
        </w:rPr>
        <w:t xml:space="preserve">, </w:t>
      </w:r>
      <w:r w:rsidRPr="003E7603">
        <w:rPr>
          <w:i/>
          <w:lang w:val="en-GB"/>
        </w:rPr>
        <w:t xml:space="preserve">Formation of </w:t>
      </w:r>
      <w:r w:rsidR="00D1318C">
        <w:rPr>
          <w:i/>
          <w:lang w:val="en-GB"/>
        </w:rPr>
        <w:t>c</w:t>
      </w:r>
      <w:r w:rsidRPr="003E7603">
        <w:rPr>
          <w:i/>
          <w:lang w:val="en-GB"/>
        </w:rPr>
        <w:t>ontracts</w:t>
      </w:r>
      <w:r w:rsidR="00D1318C">
        <w:rPr>
          <w:i/>
          <w:lang w:val="en-GB"/>
        </w:rPr>
        <w:t xml:space="preserve"> - A study of the c</w:t>
      </w:r>
      <w:r w:rsidRPr="003E7603">
        <w:rPr>
          <w:i/>
          <w:lang w:val="en-GB"/>
        </w:rPr>
        <w:t xml:space="preserve">ommon </w:t>
      </w:r>
      <w:r w:rsidR="00D1318C">
        <w:rPr>
          <w:i/>
          <w:lang w:val="en-GB"/>
        </w:rPr>
        <w:t>c</w:t>
      </w:r>
      <w:r w:rsidRPr="003E7603">
        <w:rPr>
          <w:i/>
          <w:lang w:val="en-GB"/>
        </w:rPr>
        <w:t xml:space="preserve">ore of </w:t>
      </w:r>
      <w:r w:rsidR="00D1318C">
        <w:rPr>
          <w:i/>
          <w:lang w:val="en-GB"/>
        </w:rPr>
        <w:t>legal s</w:t>
      </w:r>
      <w:r w:rsidRPr="003E7603">
        <w:rPr>
          <w:i/>
          <w:lang w:val="en-GB"/>
        </w:rPr>
        <w:t xml:space="preserve">ystems: </w:t>
      </w:r>
      <w:r w:rsidR="00D1318C">
        <w:rPr>
          <w:i/>
          <w:lang w:val="en-GB"/>
        </w:rPr>
        <w:t>i</w:t>
      </w:r>
      <w:r w:rsidRPr="003E7603">
        <w:rPr>
          <w:i/>
          <w:lang w:val="en-GB"/>
        </w:rPr>
        <w:t>ntroduction</w:t>
      </w:r>
      <w:r w:rsidRPr="003E7603">
        <w:rPr>
          <w:lang w:val="en-GB"/>
        </w:rPr>
        <w:t>, 2 Cornell Int’l L. J. 1, 1969, 49-50</w:t>
      </w:r>
    </w:p>
    <w:p w14:paraId="40E30AA1" w14:textId="77777777" w:rsidR="000064A6" w:rsidRPr="003E7603" w:rsidRDefault="000064A6" w:rsidP="003E7603">
      <w:pPr>
        <w:pStyle w:val="FootnoteText"/>
        <w:spacing w:line="276" w:lineRule="auto"/>
        <w:jc w:val="both"/>
        <w:rPr>
          <w:lang w:val="en-GB"/>
        </w:rPr>
      </w:pPr>
    </w:p>
    <w:p w14:paraId="611B9415" w14:textId="77777777" w:rsidR="000064A6" w:rsidRPr="003E7603" w:rsidRDefault="000064A6" w:rsidP="003E7603">
      <w:pPr>
        <w:pStyle w:val="FootnoteText"/>
        <w:spacing w:line="276" w:lineRule="auto"/>
        <w:rPr>
          <w:lang w:val="en-GB"/>
        </w:rPr>
      </w:pPr>
      <w:r w:rsidRPr="00D1318C">
        <w:rPr>
          <w:smallCaps/>
          <w:lang w:val="en-GB"/>
        </w:rPr>
        <w:t>SIGMA OECD</w:t>
      </w:r>
      <w:r w:rsidRPr="003E7603">
        <w:rPr>
          <w:lang w:val="en-GB"/>
        </w:rPr>
        <w:t xml:space="preserve">, </w:t>
      </w:r>
      <w:r w:rsidRPr="003E7603">
        <w:rPr>
          <w:i/>
          <w:lang w:val="en-GB"/>
        </w:rPr>
        <w:t xml:space="preserve">Public procurement review and remedies systems in the European </w:t>
      </w:r>
      <w:r w:rsidR="00D1318C">
        <w:rPr>
          <w:i/>
          <w:lang w:val="en-GB"/>
        </w:rPr>
        <w:t>U</w:t>
      </w:r>
      <w:r w:rsidRPr="003E7603">
        <w:rPr>
          <w:i/>
          <w:lang w:val="en-GB"/>
        </w:rPr>
        <w:t>nion</w:t>
      </w:r>
      <w:r w:rsidRPr="003E7603">
        <w:rPr>
          <w:lang w:val="en-GB"/>
        </w:rPr>
        <w:t>, Sigma paper n. 41, 2007, page. 17-18.</w:t>
      </w:r>
    </w:p>
    <w:p w14:paraId="7A0CE269" w14:textId="77777777" w:rsidR="000064A6" w:rsidRPr="003E7603" w:rsidRDefault="000064A6" w:rsidP="003E7603">
      <w:pPr>
        <w:pStyle w:val="FootnoteText"/>
        <w:spacing w:line="276" w:lineRule="auto"/>
        <w:jc w:val="both"/>
        <w:rPr>
          <w:lang w:val="en-GB"/>
        </w:rPr>
      </w:pPr>
    </w:p>
    <w:p w14:paraId="5B56CEDA" w14:textId="77777777" w:rsidR="000064A6" w:rsidRPr="003E7603" w:rsidRDefault="000064A6" w:rsidP="003E7603">
      <w:pPr>
        <w:pStyle w:val="FootnoteText"/>
        <w:spacing w:line="276" w:lineRule="auto"/>
        <w:jc w:val="both"/>
        <w:rPr>
          <w:lang w:val="en-GB"/>
        </w:rPr>
      </w:pPr>
      <w:proofErr w:type="spellStart"/>
      <w:r w:rsidRPr="00D1318C">
        <w:rPr>
          <w:smallCaps/>
          <w:lang w:val="en-GB"/>
        </w:rPr>
        <w:t>Treumer</w:t>
      </w:r>
      <w:proofErr w:type="spellEnd"/>
      <w:r w:rsidRPr="003E7603">
        <w:rPr>
          <w:lang w:val="en-GB"/>
        </w:rPr>
        <w:t>,</w:t>
      </w:r>
      <w:r w:rsidR="00D1318C">
        <w:rPr>
          <w:lang w:val="en-GB"/>
        </w:rPr>
        <w:t xml:space="preserve"> </w:t>
      </w:r>
      <w:r w:rsidR="00D1318C">
        <w:rPr>
          <w:smallCaps/>
          <w:lang w:val="en-GB"/>
        </w:rPr>
        <w:t>S.,</w:t>
      </w:r>
      <w:r w:rsidRPr="003E7603">
        <w:rPr>
          <w:lang w:val="en-GB"/>
        </w:rPr>
        <w:t xml:space="preserve"> </w:t>
      </w:r>
      <w:r w:rsidR="005D2032">
        <w:rPr>
          <w:i/>
          <w:lang w:val="en-GB"/>
        </w:rPr>
        <w:t>T</w:t>
      </w:r>
      <w:r w:rsidR="005D2032" w:rsidRPr="003E7603">
        <w:rPr>
          <w:i/>
          <w:lang w:val="en-GB"/>
        </w:rPr>
        <w:t xml:space="preserve">owards an obligation to terminate contracts concluded in breach of the </w:t>
      </w:r>
      <w:r w:rsidR="005D2032">
        <w:rPr>
          <w:i/>
          <w:lang w:val="en-GB"/>
        </w:rPr>
        <w:t>EC</w:t>
      </w:r>
      <w:r w:rsidR="005D2032" w:rsidRPr="003E7603">
        <w:rPr>
          <w:i/>
          <w:lang w:val="en-GB"/>
        </w:rPr>
        <w:t xml:space="preserve"> procurement rules: the end of a status of concluded contracts as sacred cows</w:t>
      </w:r>
      <w:r w:rsidR="00D1318C">
        <w:rPr>
          <w:lang w:val="en-GB"/>
        </w:rPr>
        <w:t>, in public p</w:t>
      </w:r>
      <w:r w:rsidRPr="003E7603">
        <w:rPr>
          <w:lang w:val="en-GB"/>
        </w:rPr>
        <w:t xml:space="preserve">rocurement law Review, 2007, p. 371. </w:t>
      </w:r>
    </w:p>
    <w:p w14:paraId="2C4A7303" w14:textId="77777777" w:rsidR="000064A6" w:rsidRPr="003E7603" w:rsidRDefault="000064A6" w:rsidP="003E7603">
      <w:pPr>
        <w:pStyle w:val="FootnoteText"/>
        <w:spacing w:line="276" w:lineRule="auto"/>
        <w:jc w:val="both"/>
        <w:rPr>
          <w:lang w:val="en-GB"/>
        </w:rPr>
      </w:pPr>
    </w:p>
    <w:p w14:paraId="3F2B108F" w14:textId="77777777" w:rsidR="000064A6" w:rsidRPr="003E7603" w:rsidRDefault="00D1318C" w:rsidP="003E7603">
      <w:pPr>
        <w:pStyle w:val="FootnoteText"/>
        <w:spacing w:line="276" w:lineRule="auto"/>
        <w:jc w:val="both"/>
        <w:rPr>
          <w:lang w:val="en-GB"/>
        </w:rPr>
      </w:pPr>
      <w:r>
        <w:rPr>
          <w:lang w:val="en-GB"/>
        </w:rPr>
        <w:t>UNCITRAL m</w:t>
      </w:r>
      <w:r w:rsidR="000064A6" w:rsidRPr="003E7603">
        <w:rPr>
          <w:lang w:val="en-GB"/>
        </w:rPr>
        <w:t xml:space="preserve">odel </w:t>
      </w:r>
      <w:r>
        <w:rPr>
          <w:lang w:val="en-GB"/>
        </w:rPr>
        <w:t>law on public p</w:t>
      </w:r>
      <w:r w:rsidR="000064A6" w:rsidRPr="003E7603">
        <w:rPr>
          <w:lang w:val="en-GB"/>
        </w:rPr>
        <w:t>rocurement (2011)</w:t>
      </w:r>
    </w:p>
    <w:sectPr w:rsidR="000064A6" w:rsidRPr="003E7603" w:rsidSect="00156B1F">
      <w:footerReference w:type="even" r:id="rId7"/>
      <w:footerReference w:type="default" r:id="rId8"/>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A6D8D" w14:textId="77777777" w:rsidR="00145AEA" w:rsidRDefault="00145AEA" w:rsidP="00101B9D">
      <w:r>
        <w:separator/>
      </w:r>
    </w:p>
  </w:endnote>
  <w:endnote w:type="continuationSeparator" w:id="0">
    <w:p w14:paraId="36DDDC64" w14:textId="77777777" w:rsidR="00145AEA" w:rsidRDefault="00145AEA" w:rsidP="0010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36E7F" w14:textId="77777777" w:rsidR="000C343A" w:rsidRDefault="000C343A" w:rsidP="003240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82BC41" w14:textId="77777777" w:rsidR="000C343A" w:rsidRDefault="000C343A" w:rsidP="00324048">
    <w:pPr>
      <w:pStyle w:val="Footer"/>
      <w:ind w:right="360"/>
    </w:pPr>
  </w:p>
  <w:p w14:paraId="7E7CD357" w14:textId="77777777" w:rsidR="00442260" w:rsidRDefault="0044226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6153509"/>
      <w:docPartObj>
        <w:docPartGallery w:val="Page Numbers (Bottom of Page)"/>
        <w:docPartUnique/>
      </w:docPartObj>
    </w:sdtPr>
    <w:sdtEndPr>
      <w:rPr>
        <w:noProof/>
      </w:rPr>
    </w:sdtEndPr>
    <w:sdtContent>
      <w:p w14:paraId="3438D889" w14:textId="77777777" w:rsidR="00283F0F" w:rsidRDefault="00283F0F">
        <w:pPr>
          <w:pStyle w:val="Footer"/>
          <w:jc w:val="center"/>
        </w:pPr>
        <w:r>
          <w:fldChar w:fldCharType="begin"/>
        </w:r>
        <w:r>
          <w:instrText xml:space="preserve"> PAGE   \* MERGEFORMAT </w:instrText>
        </w:r>
        <w:r>
          <w:fldChar w:fldCharType="separate"/>
        </w:r>
        <w:r w:rsidR="004003C1">
          <w:rPr>
            <w:noProof/>
          </w:rPr>
          <w:t>1</w:t>
        </w:r>
        <w:r>
          <w:rPr>
            <w:noProof/>
          </w:rPr>
          <w:fldChar w:fldCharType="end"/>
        </w:r>
      </w:p>
    </w:sdtContent>
  </w:sdt>
  <w:p w14:paraId="03D7D125" w14:textId="77777777" w:rsidR="00442260" w:rsidRDefault="004422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708F3" w14:textId="77777777" w:rsidR="00145AEA" w:rsidRDefault="00145AEA" w:rsidP="00101B9D">
      <w:r>
        <w:separator/>
      </w:r>
    </w:p>
  </w:footnote>
  <w:footnote w:type="continuationSeparator" w:id="0">
    <w:p w14:paraId="3A567620" w14:textId="77777777" w:rsidR="00145AEA" w:rsidRDefault="00145AEA" w:rsidP="00101B9D">
      <w:r>
        <w:continuationSeparator/>
      </w:r>
    </w:p>
  </w:footnote>
  <w:footnote w:id="1">
    <w:p w14:paraId="424AF4BC" w14:textId="77777777" w:rsidR="000C343A" w:rsidRPr="0092198B" w:rsidRDefault="000C343A" w:rsidP="003E7603">
      <w:pPr>
        <w:pStyle w:val="FootnoteText"/>
        <w:ind w:left="284" w:hanging="284"/>
        <w:jc w:val="both"/>
        <w:rPr>
          <w:lang w:val="en-GB"/>
        </w:rPr>
      </w:pPr>
      <w:r w:rsidRPr="00E16241">
        <w:rPr>
          <w:rStyle w:val="FootnoteReference"/>
          <w:sz w:val="18"/>
          <w:szCs w:val="18"/>
          <w:lang w:val="en-GB"/>
        </w:rPr>
        <w:footnoteRef/>
      </w:r>
      <w:r w:rsidRPr="00E16241">
        <w:rPr>
          <w:sz w:val="18"/>
          <w:szCs w:val="18"/>
          <w:lang w:val="en-GB"/>
        </w:rPr>
        <w:t xml:space="preserve"> </w:t>
      </w:r>
      <w:r>
        <w:rPr>
          <w:sz w:val="18"/>
          <w:szCs w:val="18"/>
          <w:lang w:val="en-GB"/>
        </w:rPr>
        <w:tab/>
      </w:r>
      <w:r w:rsidRPr="00E16241">
        <w:rPr>
          <w:sz w:val="18"/>
          <w:szCs w:val="18"/>
          <w:lang w:val="en-GB"/>
        </w:rPr>
        <w:t xml:space="preserve">With the exception, of course, of the book edited by </w:t>
      </w:r>
      <w:r w:rsidRPr="005E52D4">
        <w:rPr>
          <w:smallCaps/>
          <w:sz w:val="18"/>
          <w:szCs w:val="18"/>
          <w:lang w:val="en-GB"/>
        </w:rPr>
        <w:t xml:space="preserve">G. </w:t>
      </w:r>
      <w:proofErr w:type="spellStart"/>
      <w:r w:rsidRPr="005E52D4">
        <w:rPr>
          <w:smallCaps/>
          <w:sz w:val="18"/>
          <w:szCs w:val="18"/>
          <w:lang w:val="en-GB"/>
        </w:rPr>
        <w:t>Quinot</w:t>
      </w:r>
      <w:proofErr w:type="spellEnd"/>
      <w:r w:rsidRPr="005E52D4">
        <w:rPr>
          <w:smallCaps/>
          <w:sz w:val="18"/>
          <w:szCs w:val="18"/>
          <w:lang w:val="en-GB"/>
        </w:rPr>
        <w:t xml:space="preserve"> </w:t>
      </w:r>
      <w:r w:rsidRPr="005E52D4">
        <w:rPr>
          <w:sz w:val="18"/>
          <w:szCs w:val="18"/>
          <w:lang w:val="en-GB"/>
        </w:rPr>
        <w:t>and</w:t>
      </w:r>
      <w:r w:rsidRPr="005E52D4">
        <w:rPr>
          <w:smallCaps/>
          <w:sz w:val="18"/>
          <w:szCs w:val="18"/>
          <w:lang w:val="en-GB"/>
        </w:rPr>
        <w:t xml:space="preserve"> S. Arrowsmith</w:t>
      </w:r>
      <w:r w:rsidRPr="00E16241">
        <w:rPr>
          <w:sz w:val="18"/>
          <w:szCs w:val="18"/>
          <w:lang w:val="en-GB"/>
        </w:rPr>
        <w:t xml:space="preserve">, </w:t>
      </w:r>
      <w:r w:rsidRPr="00E16241">
        <w:rPr>
          <w:i/>
          <w:sz w:val="18"/>
          <w:szCs w:val="18"/>
          <w:lang w:val="en-GB"/>
        </w:rPr>
        <w:t>Public procurement Regulation in Africa</w:t>
      </w:r>
      <w:r w:rsidRPr="00E16241">
        <w:rPr>
          <w:sz w:val="18"/>
          <w:szCs w:val="18"/>
          <w:lang w:val="en-GB"/>
        </w:rPr>
        <w:t>, Cambridge, Cambridge University Press, 2013.</w:t>
      </w:r>
    </w:p>
  </w:footnote>
  <w:footnote w:id="2">
    <w:p w14:paraId="509BAA6F" w14:textId="77777777" w:rsidR="000C343A" w:rsidRPr="005E52D4" w:rsidRDefault="000C343A" w:rsidP="003E7603">
      <w:pPr>
        <w:pStyle w:val="FootnoteText"/>
        <w:ind w:left="284" w:hanging="284"/>
        <w:jc w:val="both"/>
        <w:rPr>
          <w:lang w:val="en-GB"/>
        </w:rPr>
      </w:pPr>
      <w:r w:rsidRPr="0064113C">
        <w:rPr>
          <w:rStyle w:val="FootnoteReference"/>
          <w:sz w:val="18"/>
          <w:szCs w:val="18"/>
          <w:lang w:val="en-GB"/>
        </w:rPr>
        <w:footnoteRef/>
      </w:r>
      <w:r w:rsidRPr="005E52D4">
        <w:rPr>
          <w:lang w:val="en-GB"/>
        </w:rPr>
        <w:t xml:space="preserve"> </w:t>
      </w:r>
      <w:r w:rsidRPr="005E52D4">
        <w:rPr>
          <w:lang w:val="en-GB"/>
        </w:rPr>
        <w:tab/>
      </w:r>
      <w:r w:rsidRPr="005E52D4">
        <w:rPr>
          <w:sz w:val="18"/>
          <w:szCs w:val="18"/>
          <w:lang w:val="en-GB"/>
        </w:rPr>
        <w:t xml:space="preserve">In particular, this paper was written thanks to the collaboration with </w:t>
      </w:r>
      <w:proofErr w:type="spellStart"/>
      <w:r w:rsidRPr="005E52D4">
        <w:rPr>
          <w:sz w:val="18"/>
          <w:szCs w:val="18"/>
          <w:lang w:val="en-GB"/>
        </w:rPr>
        <w:t>Holacio</w:t>
      </w:r>
      <w:proofErr w:type="spellEnd"/>
      <w:r w:rsidRPr="005E52D4">
        <w:rPr>
          <w:sz w:val="18"/>
          <w:szCs w:val="18"/>
          <w:lang w:val="en-GB"/>
        </w:rPr>
        <w:t xml:space="preserve"> </w:t>
      </w:r>
      <w:proofErr w:type="spellStart"/>
      <w:r w:rsidRPr="005E52D4">
        <w:rPr>
          <w:sz w:val="18"/>
          <w:szCs w:val="18"/>
          <w:lang w:val="en-GB"/>
        </w:rPr>
        <w:t>Amevoh</w:t>
      </w:r>
      <w:proofErr w:type="spellEnd"/>
      <w:r w:rsidRPr="005E52D4">
        <w:rPr>
          <w:sz w:val="18"/>
          <w:szCs w:val="18"/>
          <w:lang w:val="en-GB"/>
        </w:rPr>
        <w:t xml:space="preserve">, Kelly B-Kode </w:t>
      </w:r>
      <w:proofErr w:type="spellStart"/>
      <w:r w:rsidRPr="005E52D4">
        <w:rPr>
          <w:sz w:val="18"/>
          <w:szCs w:val="18"/>
          <w:lang w:val="en-GB"/>
        </w:rPr>
        <w:t>Présidentielle</w:t>
      </w:r>
      <w:proofErr w:type="spellEnd"/>
      <w:r w:rsidRPr="005E52D4">
        <w:rPr>
          <w:sz w:val="18"/>
          <w:szCs w:val="18"/>
          <w:lang w:val="en-GB"/>
        </w:rPr>
        <w:t xml:space="preserve"> </w:t>
      </w:r>
      <w:proofErr w:type="spellStart"/>
      <w:r w:rsidRPr="005E52D4">
        <w:rPr>
          <w:sz w:val="18"/>
          <w:szCs w:val="18"/>
          <w:lang w:val="en-GB"/>
        </w:rPr>
        <w:t>Banimba</w:t>
      </w:r>
      <w:proofErr w:type="spellEnd"/>
      <w:r w:rsidRPr="005E52D4">
        <w:rPr>
          <w:sz w:val="18"/>
          <w:szCs w:val="18"/>
          <w:lang w:val="en-GB"/>
        </w:rPr>
        <w:t xml:space="preserve">, Richard Théodore </w:t>
      </w:r>
      <w:proofErr w:type="spellStart"/>
      <w:r w:rsidRPr="005E52D4">
        <w:rPr>
          <w:sz w:val="18"/>
          <w:szCs w:val="18"/>
          <w:lang w:val="en-GB"/>
        </w:rPr>
        <w:t>Combary</w:t>
      </w:r>
      <w:proofErr w:type="spellEnd"/>
      <w:r w:rsidRPr="005E52D4">
        <w:rPr>
          <w:sz w:val="18"/>
          <w:szCs w:val="18"/>
          <w:lang w:val="en-GB"/>
        </w:rPr>
        <w:t xml:space="preserve">, Anand </w:t>
      </w:r>
      <w:proofErr w:type="spellStart"/>
      <w:r w:rsidRPr="005E52D4">
        <w:rPr>
          <w:sz w:val="18"/>
          <w:szCs w:val="18"/>
          <w:lang w:val="en-GB"/>
        </w:rPr>
        <w:t>Mudhoo</w:t>
      </w:r>
      <w:proofErr w:type="spellEnd"/>
      <w:r w:rsidRPr="005E52D4">
        <w:rPr>
          <w:sz w:val="18"/>
          <w:szCs w:val="18"/>
          <w:lang w:val="en-GB"/>
        </w:rPr>
        <w:t xml:space="preserve">, Maria Gabriel </w:t>
      </w:r>
      <w:proofErr w:type="spellStart"/>
      <w:r w:rsidRPr="005E52D4">
        <w:rPr>
          <w:sz w:val="18"/>
          <w:szCs w:val="18"/>
          <w:lang w:val="en-GB"/>
        </w:rPr>
        <w:t>Mushi</w:t>
      </w:r>
      <w:proofErr w:type="spellEnd"/>
      <w:r w:rsidRPr="005E52D4">
        <w:rPr>
          <w:sz w:val="18"/>
          <w:szCs w:val="18"/>
          <w:lang w:val="en-GB"/>
        </w:rPr>
        <w:t xml:space="preserve">, </w:t>
      </w:r>
      <w:proofErr w:type="spellStart"/>
      <w:r w:rsidRPr="005E52D4">
        <w:rPr>
          <w:sz w:val="18"/>
          <w:szCs w:val="18"/>
          <w:lang w:val="en-GB"/>
        </w:rPr>
        <w:t>Harisoa</w:t>
      </w:r>
      <w:proofErr w:type="spellEnd"/>
      <w:r w:rsidRPr="005E52D4">
        <w:rPr>
          <w:sz w:val="18"/>
          <w:szCs w:val="18"/>
          <w:lang w:val="en-GB"/>
        </w:rPr>
        <w:t xml:space="preserve"> Nathalie </w:t>
      </w:r>
      <w:proofErr w:type="spellStart"/>
      <w:r w:rsidRPr="005E52D4">
        <w:rPr>
          <w:sz w:val="18"/>
          <w:szCs w:val="18"/>
          <w:lang w:val="en-GB"/>
        </w:rPr>
        <w:t>Rakotomalala</w:t>
      </w:r>
      <w:proofErr w:type="spellEnd"/>
      <w:r w:rsidRPr="005E52D4">
        <w:rPr>
          <w:sz w:val="18"/>
          <w:szCs w:val="18"/>
          <w:lang w:val="en-GB"/>
        </w:rPr>
        <w:t xml:space="preserve">, Rita Mireille </w:t>
      </w:r>
      <w:proofErr w:type="spellStart"/>
      <w:r w:rsidRPr="005E52D4">
        <w:rPr>
          <w:sz w:val="18"/>
          <w:szCs w:val="18"/>
          <w:lang w:val="en-GB"/>
        </w:rPr>
        <w:t>Ravelomanalina</w:t>
      </w:r>
      <w:proofErr w:type="spellEnd"/>
      <w:r w:rsidRPr="005E52D4">
        <w:rPr>
          <w:sz w:val="18"/>
          <w:szCs w:val="18"/>
          <w:lang w:val="en-GB"/>
        </w:rPr>
        <w:t xml:space="preserve">, </w:t>
      </w:r>
      <w:proofErr w:type="spellStart"/>
      <w:r w:rsidRPr="005E52D4">
        <w:rPr>
          <w:sz w:val="18"/>
          <w:szCs w:val="18"/>
          <w:lang w:val="en-GB"/>
        </w:rPr>
        <w:t>Allou</w:t>
      </w:r>
      <w:proofErr w:type="spellEnd"/>
      <w:r w:rsidRPr="005E52D4">
        <w:rPr>
          <w:sz w:val="18"/>
          <w:szCs w:val="18"/>
          <w:lang w:val="en-GB"/>
        </w:rPr>
        <w:t xml:space="preserve"> Saka, </w:t>
      </w:r>
      <w:proofErr w:type="spellStart"/>
      <w:r w:rsidRPr="005E52D4">
        <w:rPr>
          <w:sz w:val="18"/>
          <w:szCs w:val="18"/>
          <w:lang w:val="en-GB"/>
        </w:rPr>
        <w:t>Almahi</w:t>
      </w:r>
      <w:proofErr w:type="spellEnd"/>
      <w:r w:rsidRPr="005E52D4">
        <w:rPr>
          <w:sz w:val="18"/>
          <w:szCs w:val="18"/>
          <w:lang w:val="en-GB"/>
        </w:rPr>
        <w:t xml:space="preserve"> Suliman Adam Saeed, Gaston </w:t>
      </w:r>
      <w:proofErr w:type="spellStart"/>
      <w:r w:rsidRPr="005E52D4">
        <w:rPr>
          <w:sz w:val="18"/>
          <w:szCs w:val="18"/>
          <w:lang w:val="en-GB"/>
        </w:rPr>
        <w:t>Yameogo</w:t>
      </w:r>
      <w:proofErr w:type="spellEnd"/>
      <w:r w:rsidRPr="005E52D4">
        <w:rPr>
          <w:sz w:val="18"/>
          <w:szCs w:val="18"/>
          <w:lang w:val="en-GB"/>
        </w:rPr>
        <w:t>.</w:t>
      </w:r>
    </w:p>
  </w:footnote>
  <w:footnote w:id="3">
    <w:p w14:paraId="7EE651DE" w14:textId="77777777" w:rsidR="000C343A" w:rsidRPr="0092198B" w:rsidRDefault="000C343A" w:rsidP="003E7603">
      <w:pPr>
        <w:pStyle w:val="FootnoteText"/>
        <w:ind w:left="284" w:hanging="284"/>
        <w:jc w:val="both"/>
        <w:rPr>
          <w:lang w:val="en-GB"/>
        </w:rPr>
      </w:pPr>
      <w:r w:rsidRPr="00E16241">
        <w:rPr>
          <w:rStyle w:val="FootnoteReference"/>
          <w:sz w:val="18"/>
          <w:szCs w:val="18"/>
          <w:lang w:val="en-GB"/>
        </w:rPr>
        <w:footnoteRef/>
      </w:r>
      <w:r w:rsidRPr="00E16241">
        <w:rPr>
          <w:sz w:val="18"/>
          <w:szCs w:val="18"/>
          <w:lang w:val="en-GB"/>
        </w:rPr>
        <w:t xml:space="preserve"> </w:t>
      </w:r>
      <w:r>
        <w:rPr>
          <w:sz w:val="18"/>
          <w:szCs w:val="18"/>
          <w:lang w:val="en-GB"/>
        </w:rPr>
        <w:tab/>
      </w:r>
      <w:r w:rsidRPr="00E16241">
        <w:rPr>
          <w:sz w:val="18"/>
          <w:szCs w:val="18"/>
          <w:lang w:val="en-GB"/>
        </w:rPr>
        <w:t xml:space="preserve">The </w:t>
      </w:r>
      <w:proofErr w:type="spellStart"/>
      <w:r w:rsidRPr="00E16241">
        <w:rPr>
          <w:sz w:val="18"/>
          <w:szCs w:val="18"/>
          <w:lang w:val="en-GB"/>
        </w:rPr>
        <w:t>methological</w:t>
      </w:r>
      <w:proofErr w:type="spellEnd"/>
      <w:r w:rsidRPr="00E16241">
        <w:rPr>
          <w:sz w:val="18"/>
          <w:szCs w:val="18"/>
          <w:lang w:val="en-GB"/>
        </w:rPr>
        <w:t xml:space="preserve"> reference is to the “Common Core” project, launched in 1957 at </w:t>
      </w:r>
      <w:smartTag w:uri="urn:schemas-microsoft-com:office:smarttags" w:element="PlaceName">
        <w:smartTag w:uri="urn:schemas-microsoft-com:office:smarttags" w:element="place">
          <w:r w:rsidRPr="00E16241">
            <w:rPr>
              <w:sz w:val="18"/>
              <w:szCs w:val="18"/>
              <w:lang w:val="en-GB"/>
            </w:rPr>
            <w:t>Cornell</w:t>
          </w:r>
        </w:smartTag>
        <w:r w:rsidRPr="00E16241">
          <w:rPr>
            <w:sz w:val="18"/>
            <w:szCs w:val="18"/>
            <w:lang w:val="en-GB"/>
          </w:rPr>
          <w:t xml:space="preserve"> </w:t>
        </w:r>
        <w:smartTag w:uri="urn:schemas-microsoft-com:office:smarttags" w:element="City">
          <w:r w:rsidRPr="00E16241">
            <w:rPr>
              <w:sz w:val="18"/>
              <w:szCs w:val="18"/>
              <w:lang w:val="en-GB"/>
            </w:rPr>
            <w:t>University</w:t>
          </w:r>
        </w:smartTag>
      </w:smartTag>
      <w:r w:rsidRPr="00E16241">
        <w:rPr>
          <w:sz w:val="18"/>
          <w:szCs w:val="18"/>
          <w:lang w:val="en-GB"/>
        </w:rPr>
        <w:t xml:space="preserve"> by </w:t>
      </w:r>
      <w:r>
        <w:rPr>
          <w:sz w:val="18"/>
          <w:szCs w:val="18"/>
          <w:lang w:val="en-GB"/>
        </w:rPr>
        <w:t>R.B.</w:t>
      </w:r>
      <w:r w:rsidRPr="00E16241">
        <w:rPr>
          <w:sz w:val="18"/>
          <w:szCs w:val="18"/>
          <w:lang w:val="en-GB"/>
        </w:rPr>
        <w:t xml:space="preserve"> Schlesinger, which was based on questionnaires referring to specific cases and asking the respondents about the results that would be reached under those circumstances. A synthesis of Schlesinger method can be found in </w:t>
      </w:r>
      <w:r w:rsidRPr="005E52D4">
        <w:rPr>
          <w:smallCaps/>
          <w:sz w:val="18"/>
          <w:szCs w:val="18"/>
          <w:lang w:val="en-GB"/>
        </w:rPr>
        <w:t>R. B. Schlesinger</w:t>
      </w:r>
      <w:r w:rsidRPr="00E16241">
        <w:rPr>
          <w:sz w:val="18"/>
          <w:szCs w:val="18"/>
          <w:lang w:val="en-GB"/>
        </w:rPr>
        <w:t xml:space="preserve">, </w:t>
      </w:r>
      <w:r w:rsidRPr="00E16241">
        <w:rPr>
          <w:i/>
          <w:sz w:val="18"/>
          <w:szCs w:val="18"/>
          <w:lang w:val="en-GB"/>
        </w:rPr>
        <w:t>Formation of Contracts</w:t>
      </w:r>
      <w:r>
        <w:rPr>
          <w:i/>
          <w:sz w:val="18"/>
          <w:szCs w:val="18"/>
          <w:lang w:val="en-GB"/>
        </w:rPr>
        <w:t xml:space="preserve"> - </w:t>
      </w:r>
      <w:r w:rsidRPr="00E16241">
        <w:rPr>
          <w:i/>
          <w:sz w:val="18"/>
          <w:szCs w:val="18"/>
          <w:lang w:val="en-GB"/>
        </w:rPr>
        <w:t>A Study of the Common Core of Legal Systems: Introduction</w:t>
      </w:r>
      <w:r w:rsidRPr="00E16241">
        <w:rPr>
          <w:sz w:val="18"/>
          <w:szCs w:val="18"/>
          <w:lang w:val="en-GB"/>
        </w:rPr>
        <w:t xml:space="preserve">, 2 Cornell Int’l L. J. 1, </w:t>
      </w:r>
      <w:r>
        <w:rPr>
          <w:sz w:val="18"/>
          <w:szCs w:val="18"/>
          <w:lang w:val="en-GB"/>
        </w:rPr>
        <w:t xml:space="preserve">1969, </w:t>
      </w:r>
      <w:r w:rsidRPr="00E16241">
        <w:rPr>
          <w:sz w:val="18"/>
          <w:szCs w:val="18"/>
          <w:lang w:val="en-GB"/>
        </w:rPr>
        <w:t xml:space="preserve">49-50, and for a more recent comment see: </w:t>
      </w:r>
      <w:r w:rsidRPr="005E52D4">
        <w:rPr>
          <w:smallCaps/>
          <w:sz w:val="18"/>
          <w:szCs w:val="18"/>
          <w:lang w:val="en-GB"/>
        </w:rPr>
        <w:t xml:space="preserve">U. </w:t>
      </w:r>
      <w:proofErr w:type="spellStart"/>
      <w:r w:rsidRPr="005E52D4">
        <w:rPr>
          <w:smallCaps/>
          <w:sz w:val="18"/>
          <w:szCs w:val="18"/>
          <w:lang w:val="en-GB"/>
        </w:rPr>
        <w:t>Mattei</w:t>
      </w:r>
      <w:proofErr w:type="spellEnd"/>
      <w:r w:rsidRPr="00E16241">
        <w:rPr>
          <w:sz w:val="18"/>
          <w:szCs w:val="18"/>
          <w:lang w:val="en-GB"/>
        </w:rPr>
        <w:t xml:space="preserve">, </w:t>
      </w:r>
      <w:r w:rsidRPr="00C63C91">
        <w:rPr>
          <w:sz w:val="18"/>
          <w:szCs w:val="18"/>
          <w:lang w:val="en-GB"/>
        </w:rPr>
        <w:t>«</w:t>
      </w:r>
      <w:r>
        <w:rPr>
          <w:sz w:val="18"/>
          <w:szCs w:val="18"/>
          <w:lang w:val="en-GB"/>
        </w:rPr>
        <w:t xml:space="preserve"> </w:t>
      </w:r>
      <w:r w:rsidRPr="005E52D4">
        <w:rPr>
          <w:sz w:val="18"/>
          <w:szCs w:val="18"/>
          <w:lang w:val="en-GB"/>
        </w:rPr>
        <w:t>The Comparative Jurisprudence of Schlesinger and S</w:t>
      </w:r>
      <w:r>
        <w:rPr>
          <w:sz w:val="18"/>
          <w:szCs w:val="18"/>
          <w:lang w:val="en-GB"/>
        </w:rPr>
        <w:t xml:space="preserve">acco: A Study in Legal Influence </w:t>
      </w:r>
      <w:r w:rsidRPr="00C63C91">
        <w:rPr>
          <w:sz w:val="18"/>
          <w:szCs w:val="18"/>
          <w:lang w:val="en-GB"/>
        </w:rPr>
        <w:t>»</w:t>
      </w:r>
      <w:r w:rsidRPr="00E16241">
        <w:rPr>
          <w:sz w:val="18"/>
          <w:szCs w:val="18"/>
          <w:lang w:val="en-GB"/>
        </w:rPr>
        <w:t xml:space="preserve">, </w:t>
      </w:r>
      <w:r w:rsidRPr="009B029E">
        <w:rPr>
          <w:i/>
          <w:sz w:val="18"/>
          <w:szCs w:val="18"/>
          <w:lang w:val="en-GB"/>
        </w:rPr>
        <w:t>in</w:t>
      </w:r>
      <w:r w:rsidRPr="00E16241">
        <w:rPr>
          <w:sz w:val="18"/>
          <w:szCs w:val="18"/>
          <w:lang w:val="en-GB"/>
        </w:rPr>
        <w:t xml:space="preserve"> </w:t>
      </w:r>
      <w:r w:rsidRPr="005E52D4">
        <w:rPr>
          <w:smallCaps/>
          <w:sz w:val="18"/>
          <w:szCs w:val="18"/>
          <w:lang w:val="en-GB"/>
        </w:rPr>
        <w:t>A. Riles</w:t>
      </w:r>
      <w:r w:rsidRPr="00E16241">
        <w:rPr>
          <w:sz w:val="18"/>
          <w:szCs w:val="18"/>
          <w:lang w:val="en-GB"/>
        </w:rPr>
        <w:t xml:space="preserve"> (ed.), </w:t>
      </w:r>
      <w:r w:rsidRPr="00E16241">
        <w:rPr>
          <w:i/>
          <w:sz w:val="18"/>
          <w:szCs w:val="18"/>
          <w:lang w:val="en-GB"/>
        </w:rPr>
        <w:t>Rethinking the Masters of Comparative Law</w:t>
      </w:r>
      <w:r w:rsidRPr="00E16241">
        <w:rPr>
          <w:sz w:val="18"/>
          <w:szCs w:val="18"/>
          <w:lang w:val="en-GB"/>
        </w:rPr>
        <w:t>, Oxford, 2001, 238-56.</w:t>
      </w:r>
    </w:p>
  </w:footnote>
  <w:footnote w:id="4">
    <w:p w14:paraId="64DFA0EA" w14:textId="77777777" w:rsidR="000C343A" w:rsidRPr="0092198B" w:rsidRDefault="000C343A" w:rsidP="003E7603">
      <w:pPr>
        <w:pStyle w:val="FootnoteText"/>
        <w:ind w:left="284" w:hanging="284"/>
        <w:jc w:val="both"/>
        <w:rPr>
          <w:lang w:val="en-GB"/>
        </w:rPr>
      </w:pPr>
      <w:r w:rsidRPr="00E16241">
        <w:rPr>
          <w:rStyle w:val="FootnoteReference"/>
          <w:sz w:val="18"/>
          <w:szCs w:val="18"/>
          <w:lang w:val="en-GB"/>
        </w:rPr>
        <w:footnoteRef/>
      </w:r>
      <w:r w:rsidRPr="00E16241">
        <w:rPr>
          <w:sz w:val="18"/>
          <w:szCs w:val="18"/>
          <w:lang w:val="en-GB"/>
        </w:rPr>
        <w:t xml:space="preserve"> </w:t>
      </w:r>
      <w:r>
        <w:rPr>
          <w:sz w:val="18"/>
          <w:szCs w:val="18"/>
          <w:lang w:val="en-GB"/>
        </w:rPr>
        <w:tab/>
      </w:r>
      <w:r w:rsidRPr="00E16241">
        <w:rPr>
          <w:sz w:val="18"/>
          <w:szCs w:val="18"/>
          <w:lang w:val="en-GB"/>
        </w:rPr>
        <w:t xml:space="preserve">By the way, it is interesting to note that the African countries covered in our research are all different from those described in </w:t>
      </w:r>
      <w:r w:rsidRPr="005E52D4">
        <w:rPr>
          <w:smallCaps/>
          <w:sz w:val="18"/>
          <w:szCs w:val="18"/>
          <w:lang w:val="en-GB"/>
        </w:rPr>
        <w:t xml:space="preserve">G. </w:t>
      </w:r>
      <w:proofErr w:type="spellStart"/>
      <w:r w:rsidRPr="005E52D4">
        <w:rPr>
          <w:smallCaps/>
          <w:sz w:val="18"/>
          <w:szCs w:val="18"/>
          <w:lang w:val="en-GB"/>
        </w:rPr>
        <w:t>Quinot</w:t>
      </w:r>
      <w:proofErr w:type="spellEnd"/>
      <w:r w:rsidRPr="005E52D4">
        <w:rPr>
          <w:smallCaps/>
          <w:sz w:val="18"/>
          <w:szCs w:val="18"/>
          <w:lang w:val="en-GB"/>
        </w:rPr>
        <w:t xml:space="preserve"> </w:t>
      </w:r>
      <w:r w:rsidRPr="005E52D4">
        <w:rPr>
          <w:sz w:val="18"/>
          <w:szCs w:val="18"/>
          <w:lang w:val="en-GB"/>
        </w:rPr>
        <w:t>and</w:t>
      </w:r>
      <w:r w:rsidRPr="005E52D4">
        <w:rPr>
          <w:smallCaps/>
          <w:sz w:val="18"/>
          <w:szCs w:val="18"/>
          <w:lang w:val="en-GB"/>
        </w:rPr>
        <w:t xml:space="preserve"> S. Arrowsmith</w:t>
      </w:r>
      <w:r w:rsidRPr="00E16241">
        <w:rPr>
          <w:sz w:val="18"/>
          <w:szCs w:val="18"/>
          <w:lang w:val="en-GB"/>
        </w:rPr>
        <w:t xml:space="preserve"> book, which was a lucky result of our “random” method.   </w:t>
      </w:r>
    </w:p>
  </w:footnote>
  <w:footnote w:id="5">
    <w:p w14:paraId="722D272B" w14:textId="77777777" w:rsidR="000C343A" w:rsidRPr="0092198B" w:rsidRDefault="000C343A" w:rsidP="003E7603">
      <w:pPr>
        <w:pStyle w:val="FootnoteText"/>
        <w:ind w:left="284" w:hanging="284"/>
        <w:jc w:val="both"/>
        <w:rPr>
          <w:lang w:val="en-GB"/>
        </w:rPr>
      </w:pPr>
      <w:r w:rsidRPr="00E16241">
        <w:rPr>
          <w:rStyle w:val="FootnoteReference"/>
          <w:sz w:val="18"/>
          <w:szCs w:val="18"/>
        </w:rPr>
        <w:footnoteRef/>
      </w:r>
      <w:r w:rsidRPr="0092198B">
        <w:rPr>
          <w:sz w:val="18"/>
          <w:szCs w:val="18"/>
          <w:lang w:val="en-GB"/>
        </w:rPr>
        <w:t xml:space="preserve"> </w:t>
      </w:r>
      <w:r>
        <w:rPr>
          <w:sz w:val="18"/>
          <w:szCs w:val="18"/>
          <w:lang w:val="en-GB"/>
        </w:rPr>
        <w:tab/>
      </w:r>
      <w:r w:rsidRPr="0092198B">
        <w:rPr>
          <w:sz w:val="18"/>
          <w:szCs w:val="18"/>
          <w:lang w:val="en-GB"/>
        </w:rPr>
        <w:t>https://www.au.int/web/en/constitutive-act.</w:t>
      </w:r>
    </w:p>
  </w:footnote>
  <w:footnote w:id="6">
    <w:p w14:paraId="4944879E" w14:textId="77777777" w:rsidR="000C343A" w:rsidRPr="0092198B" w:rsidRDefault="000C343A" w:rsidP="003E7603">
      <w:pPr>
        <w:pStyle w:val="FootnoteText"/>
        <w:ind w:left="284" w:hanging="284"/>
        <w:jc w:val="both"/>
        <w:rPr>
          <w:lang w:val="en-GB"/>
        </w:rPr>
      </w:pPr>
      <w:r w:rsidRPr="00E16241">
        <w:rPr>
          <w:rStyle w:val="FootnoteReference"/>
          <w:sz w:val="18"/>
          <w:szCs w:val="18"/>
        </w:rPr>
        <w:footnoteRef/>
      </w:r>
      <w:r w:rsidRPr="0092198B">
        <w:rPr>
          <w:sz w:val="18"/>
          <w:szCs w:val="18"/>
          <w:lang w:val="en-GB"/>
        </w:rPr>
        <w:t xml:space="preserve"> </w:t>
      </w:r>
      <w:r>
        <w:rPr>
          <w:sz w:val="18"/>
          <w:szCs w:val="18"/>
          <w:lang w:val="en-GB"/>
        </w:rPr>
        <w:tab/>
      </w:r>
      <w:r w:rsidRPr="0092198B">
        <w:rPr>
          <w:sz w:val="18"/>
          <w:szCs w:val="18"/>
          <w:lang w:val="en-GB"/>
        </w:rPr>
        <w:t>http://www.un.org/en/africa/osaa/peace/recs.shtml.</w:t>
      </w:r>
    </w:p>
  </w:footnote>
  <w:footnote w:id="7">
    <w:p w14:paraId="6513A0EC" w14:textId="77777777" w:rsidR="000C343A" w:rsidRPr="0092198B" w:rsidRDefault="000C343A" w:rsidP="003E7603">
      <w:pPr>
        <w:pStyle w:val="FootnoteText"/>
        <w:ind w:left="284" w:hanging="284"/>
        <w:jc w:val="both"/>
        <w:rPr>
          <w:lang w:val="en-GB"/>
        </w:rPr>
      </w:pPr>
      <w:r w:rsidRPr="00E16241">
        <w:rPr>
          <w:rStyle w:val="FootnoteReference"/>
          <w:sz w:val="18"/>
          <w:szCs w:val="18"/>
        </w:rPr>
        <w:footnoteRef/>
      </w:r>
      <w:r w:rsidRPr="00E16241">
        <w:rPr>
          <w:sz w:val="18"/>
          <w:szCs w:val="18"/>
          <w:lang w:val="en-GB"/>
        </w:rPr>
        <w:t xml:space="preserve"> </w:t>
      </w:r>
      <w:r>
        <w:rPr>
          <w:sz w:val="18"/>
          <w:szCs w:val="18"/>
          <w:lang w:val="en-GB"/>
        </w:rPr>
        <w:tab/>
      </w:r>
      <w:r w:rsidRPr="005E52D4">
        <w:rPr>
          <w:smallCaps/>
          <w:sz w:val="18"/>
          <w:szCs w:val="18"/>
          <w:lang w:val="en-GB"/>
        </w:rPr>
        <w:t>S. Page</w:t>
      </w:r>
      <w:r>
        <w:rPr>
          <w:sz w:val="18"/>
          <w:szCs w:val="18"/>
          <w:lang w:val="en-GB"/>
        </w:rPr>
        <w:t xml:space="preserve"> and </w:t>
      </w:r>
      <w:r w:rsidRPr="005E52D4">
        <w:rPr>
          <w:smallCaps/>
          <w:sz w:val="18"/>
          <w:szCs w:val="18"/>
          <w:lang w:val="en-GB"/>
        </w:rPr>
        <w:t>S. Bilal</w:t>
      </w:r>
      <w:r w:rsidRPr="00E16241">
        <w:rPr>
          <w:sz w:val="18"/>
          <w:szCs w:val="18"/>
          <w:lang w:val="en-GB"/>
        </w:rPr>
        <w:t xml:space="preserve">, </w:t>
      </w:r>
      <w:r w:rsidRPr="00E16241">
        <w:rPr>
          <w:i/>
          <w:sz w:val="18"/>
          <w:szCs w:val="18"/>
          <w:lang w:val="en-GB"/>
        </w:rPr>
        <w:t xml:space="preserve">Regional Integration in </w:t>
      </w:r>
      <w:smartTag w:uri="urn:schemas-microsoft-com:office:smarttags" w:element="City">
        <w:r w:rsidRPr="00E16241">
          <w:rPr>
            <w:i/>
            <w:sz w:val="18"/>
            <w:szCs w:val="18"/>
            <w:lang w:val="en-GB"/>
          </w:rPr>
          <w:t>Western Africa</w:t>
        </w:r>
      </w:smartTag>
      <w:r w:rsidRPr="00E16241">
        <w:rPr>
          <w:i/>
          <w:sz w:val="18"/>
          <w:szCs w:val="18"/>
          <w:lang w:val="en-GB"/>
        </w:rPr>
        <w:t>. Report prepared for and financed by the Ministry of Foreign Affair, the Netherlands</w:t>
      </w:r>
      <w:r w:rsidRPr="00E16241">
        <w:rPr>
          <w:sz w:val="18"/>
          <w:szCs w:val="18"/>
          <w:lang w:val="en-GB"/>
        </w:rPr>
        <w:t>, 2001, available at https://www.odi.org/sites/odi.org.uk/files/odi-assets/publications-opinion-files/4628.pdf, 6. The economic integration has always been deeper in UEMOA than in ECOWAS. This overlap shows that none of the two communities existing in this region can claim to be the sole regional integration organisation. “There is no necessary problem in having two levels of region”, i.e. a deeper unit within a broader regional economic community.</w:t>
      </w:r>
    </w:p>
  </w:footnote>
  <w:footnote w:id="8">
    <w:p w14:paraId="3D11667C" w14:textId="77777777" w:rsidR="000C343A" w:rsidRPr="0092198B" w:rsidRDefault="000C343A" w:rsidP="003E7603">
      <w:pPr>
        <w:pStyle w:val="FootnoteText"/>
        <w:ind w:left="284" w:hanging="284"/>
        <w:jc w:val="both"/>
        <w:rPr>
          <w:lang w:val="en-GB"/>
        </w:rPr>
      </w:pPr>
      <w:r w:rsidRPr="00E16241">
        <w:rPr>
          <w:rStyle w:val="FootnoteReference"/>
          <w:sz w:val="18"/>
          <w:szCs w:val="18"/>
          <w:lang w:val="en-GB"/>
        </w:rPr>
        <w:footnoteRef/>
      </w:r>
      <w:r w:rsidRPr="00E16241">
        <w:rPr>
          <w:sz w:val="18"/>
          <w:szCs w:val="18"/>
          <w:lang w:val="en-GB"/>
        </w:rPr>
        <w:t xml:space="preserve"> </w:t>
      </w:r>
      <w:r>
        <w:rPr>
          <w:sz w:val="18"/>
          <w:szCs w:val="18"/>
          <w:lang w:val="en-GB"/>
        </w:rPr>
        <w:tab/>
      </w:r>
      <w:r w:rsidRPr="00E16241">
        <w:rPr>
          <w:sz w:val="18"/>
          <w:szCs w:val="18"/>
          <w:lang w:val="en-GB"/>
        </w:rPr>
        <w:t>The reference to Civil law or Common law system is of course used only as a main and not accurate distinction, since most of the considered countries’ legal systems are influenced by Islamic l</w:t>
      </w:r>
      <w:r>
        <w:rPr>
          <w:sz w:val="18"/>
          <w:szCs w:val="18"/>
          <w:lang w:val="en-GB"/>
        </w:rPr>
        <w:t>aw and by other legal families.</w:t>
      </w:r>
    </w:p>
  </w:footnote>
  <w:footnote w:id="9">
    <w:p w14:paraId="5F957A56" w14:textId="77777777" w:rsidR="000C343A" w:rsidRPr="0092198B" w:rsidRDefault="000C343A" w:rsidP="003E7603">
      <w:pPr>
        <w:pStyle w:val="FootnoteText"/>
        <w:ind w:left="284" w:hanging="284"/>
        <w:jc w:val="both"/>
        <w:rPr>
          <w:lang w:val="fr-FR"/>
        </w:rPr>
      </w:pPr>
      <w:r w:rsidRPr="00E16241">
        <w:rPr>
          <w:rStyle w:val="FootnoteReference"/>
          <w:sz w:val="18"/>
          <w:szCs w:val="18"/>
        </w:rPr>
        <w:footnoteRef/>
      </w:r>
      <w:r w:rsidRPr="00E16241">
        <w:rPr>
          <w:sz w:val="18"/>
          <w:szCs w:val="18"/>
          <w:lang w:val="fr-FR"/>
        </w:rPr>
        <w:t xml:space="preserve"> </w:t>
      </w:r>
      <w:r>
        <w:rPr>
          <w:sz w:val="18"/>
          <w:szCs w:val="18"/>
          <w:lang w:val="fr-FR"/>
        </w:rPr>
        <w:tab/>
      </w:r>
      <w:r w:rsidRPr="00E16241">
        <w:rPr>
          <w:sz w:val="18"/>
          <w:szCs w:val="18"/>
          <w:lang w:val="fr-FR"/>
        </w:rPr>
        <w:t>Art</w:t>
      </w:r>
      <w:r>
        <w:rPr>
          <w:sz w:val="18"/>
          <w:szCs w:val="18"/>
          <w:lang w:val="fr-FR"/>
        </w:rPr>
        <w:t>. 11 and 12 (</w:t>
      </w:r>
      <w:proofErr w:type="spellStart"/>
      <w:r>
        <w:rPr>
          <w:sz w:val="18"/>
          <w:szCs w:val="18"/>
          <w:lang w:val="fr-FR"/>
        </w:rPr>
        <w:t>c</w:t>
      </w:r>
      <w:r w:rsidRPr="00E16241">
        <w:rPr>
          <w:sz w:val="18"/>
          <w:szCs w:val="18"/>
          <w:lang w:val="fr-FR"/>
        </w:rPr>
        <w:t>hapter</w:t>
      </w:r>
      <w:proofErr w:type="spellEnd"/>
      <w:r w:rsidRPr="00E16241">
        <w:rPr>
          <w:sz w:val="18"/>
          <w:szCs w:val="18"/>
          <w:lang w:val="fr-FR"/>
        </w:rPr>
        <w:t xml:space="preserve"> 2 « les recours ») of the </w:t>
      </w:r>
      <w:r>
        <w:rPr>
          <w:sz w:val="18"/>
          <w:szCs w:val="18"/>
          <w:lang w:val="fr-FR"/>
        </w:rPr>
        <w:t>d</w:t>
      </w:r>
      <w:r w:rsidRPr="00E16241">
        <w:rPr>
          <w:sz w:val="18"/>
          <w:szCs w:val="18"/>
          <w:lang w:val="fr-FR"/>
        </w:rPr>
        <w:t>irective 05/2005/UEMOA « portant contrôle et régulation des marchés publics et des délégations de service public dans l’Union Économique et Monétaire Ouest Africaine ».</w:t>
      </w:r>
    </w:p>
  </w:footnote>
  <w:footnote w:id="10">
    <w:p w14:paraId="0483268A" w14:textId="77777777" w:rsidR="000C343A" w:rsidRPr="0092198B" w:rsidRDefault="000C343A" w:rsidP="003E7603">
      <w:pPr>
        <w:pStyle w:val="FootnoteText"/>
        <w:ind w:left="284" w:hanging="284"/>
        <w:jc w:val="both"/>
        <w:rPr>
          <w:lang w:val="en-GB"/>
        </w:rPr>
      </w:pPr>
      <w:r w:rsidRPr="00E16241">
        <w:rPr>
          <w:rStyle w:val="FootnoteReference"/>
          <w:sz w:val="18"/>
          <w:szCs w:val="18"/>
        </w:rPr>
        <w:footnoteRef/>
      </w:r>
      <w:r w:rsidRPr="0092198B">
        <w:rPr>
          <w:sz w:val="18"/>
          <w:szCs w:val="18"/>
          <w:lang w:val="fr-FR"/>
        </w:rPr>
        <w:t xml:space="preserve"> </w:t>
      </w:r>
      <w:r>
        <w:rPr>
          <w:sz w:val="18"/>
          <w:szCs w:val="18"/>
          <w:lang w:val="fr-FR"/>
        </w:rPr>
        <w:tab/>
        <w:t>The d</w:t>
      </w:r>
      <w:r w:rsidRPr="0092198B">
        <w:rPr>
          <w:sz w:val="18"/>
          <w:szCs w:val="18"/>
          <w:lang w:val="fr-FR"/>
        </w:rPr>
        <w:t xml:space="preserve">irective 5/2005/UEMOA, « portant contrôle et régulation des marchés publics et des délégations </w:t>
      </w:r>
      <w:r>
        <w:rPr>
          <w:sz w:val="18"/>
          <w:szCs w:val="18"/>
          <w:lang w:val="fr-FR"/>
        </w:rPr>
        <w:t>de service public dans l’Union é</w:t>
      </w:r>
      <w:r w:rsidRPr="0092198B">
        <w:rPr>
          <w:sz w:val="18"/>
          <w:szCs w:val="18"/>
          <w:lang w:val="fr-FR"/>
        </w:rPr>
        <w:t xml:space="preserve">conomique et </w:t>
      </w:r>
      <w:r>
        <w:rPr>
          <w:sz w:val="18"/>
          <w:szCs w:val="18"/>
          <w:lang w:val="fr-FR"/>
        </w:rPr>
        <w:t>m</w:t>
      </w:r>
      <w:r w:rsidRPr="0092198B">
        <w:rPr>
          <w:sz w:val="18"/>
          <w:szCs w:val="18"/>
          <w:lang w:val="fr-FR"/>
        </w:rPr>
        <w:t>onétaire Ouest Africaine</w:t>
      </w:r>
      <w:r>
        <w:rPr>
          <w:sz w:val="18"/>
          <w:szCs w:val="18"/>
          <w:lang w:val="fr-FR"/>
        </w:rPr>
        <w:t xml:space="preserve"> </w:t>
      </w:r>
      <w:r w:rsidRPr="0092198B">
        <w:rPr>
          <w:sz w:val="18"/>
          <w:szCs w:val="18"/>
          <w:lang w:val="fr-FR"/>
        </w:rPr>
        <w:t xml:space="preserve">», article 11, deals </w:t>
      </w:r>
      <w:proofErr w:type="spellStart"/>
      <w:r w:rsidRPr="0092198B">
        <w:rPr>
          <w:sz w:val="18"/>
          <w:szCs w:val="18"/>
          <w:lang w:val="fr-FR"/>
        </w:rPr>
        <w:t>with</w:t>
      </w:r>
      <w:proofErr w:type="spellEnd"/>
      <w:r w:rsidRPr="0092198B">
        <w:rPr>
          <w:sz w:val="18"/>
          <w:szCs w:val="18"/>
          <w:lang w:val="fr-FR"/>
        </w:rPr>
        <w:t xml:space="preserve"> the recourse </w:t>
      </w:r>
      <w:proofErr w:type="spellStart"/>
      <w:r w:rsidRPr="0092198B">
        <w:rPr>
          <w:sz w:val="18"/>
          <w:szCs w:val="18"/>
          <w:lang w:val="fr-FR"/>
        </w:rPr>
        <w:t>before</w:t>
      </w:r>
      <w:proofErr w:type="spellEnd"/>
      <w:r w:rsidRPr="0092198B">
        <w:rPr>
          <w:sz w:val="18"/>
          <w:szCs w:val="18"/>
          <w:lang w:val="fr-FR"/>
        </w:rPr>
        <w:t xml:space="preserve"> the CA, </w:t>
      </w:r>
      <w:proofErr w:type="spellStart"/>
      <w:r w:rsidRPr="0092198B">
        <w:rPr>
          <w:sz w:val="18"/>
          <w:szCs w:val="18"/>
          <w:lang w:val="fr-FR"/>
        </w:rPr>
        <w:t>which</w:t>
      </w:r>
      <w:proofErr w:type="spellEnd"/>
      <w:r w:rsidRPr="0092198B">
        <w:rPr>
          <w:sz w:val="18"/>
          <w:szCs w:val="18"/>
          <w:lang w:val="fr-FR"/>
        </w:rPr>
        <w:t xml:space="preserve"> must </w:t>
      </w:r>
      <w:proofErr w:type="spellStart"/>
      <w:r w:rsidRPr="0092198B">
        <w:rPr>
          <w:sz w:val="18"/>
          <w:szCs w:val="18"/>
          <w:lang w:val="fr-FR"/>
        </w:rPr>
        <w:t>be</w:t>
      </w:r>
      <w:proofErr w:type="spellEnd"/>
      <w:r w:rsidRPr="0092198B">
        <w:rPr>
          <w:sz w:val="18"/>
          <w:szCs w:val="18"/>
          <w:lang w:val="fr-FR"/>
        </w:rPr>
        <w:t xml:space="preserve"> </w:t>
      </w:r>
      <w:proofErr w:type="spellStart"/>
      <w:r w:rsidRPr="0092198B">
        <w:rPr>
          <w:sz w:val="18"/>
          <w:szCs w:val="18"/>
          <w:lang w:val="fr-FR"/>
        </w:rPr>
        <w:t>filed</w:t>
      </w:r>
      <w:proofErr w:type="spellEnd"/>
      <w:r w:rsidRPr="0092198B">
        <w:rPr>
          <w:sz w:val="18"/>
          <w:szCs w:val="18"/>
          <w:lang w:val="fr-FR"/>
        </w:rPr>
        <w:t xml:space="preserve"> </w:t>
      </w:r>
      <w:proofErr w:type="spellStart"/>
      <w:r w:rsidRPr="0092198B">
        <w:rPr>
          <w:sz w:val="18"/>
          <w:szCs w:val="18"/>
          <w:lang w:val="fr-FR"/>
        </w:rPr>
        <w:t>within</w:t>
      </w:r>
      <w:proofErr w:type="spellEnd"/>
      <w:r w:rsidRPr="0092198B">
        <w:rPr>
          <w:sz w:val="18"/>
          <w:szCs w:val="18"/>
          <w:lang w:val="fr-FR"/>
        </w:rPr>
        <w:t xml:space="preserve"> five </w:t>
      </w:r>
      <w:proofErr w:type="spellStart"/>
      <w:r w:rsidRPr="0092198B">
        <w:rPr>
          <w:sz w:val="18"/>
          <w:szCs w:val="18"/>
          <w:lang w:val="fr-FR"/>
        </w:rPr>
        <w:t>days</w:t>
      </w:r>
      <w:proofErr w:type="spellEnd"/>
      <w:r w:rsidRPr="0092198B">
        <w:rPr>
          <w:sz w:val="18"/>
          <w:szCs w:val="18"/>
          <w:lang w:val="fr-FR"/>
        </w:rPr>
        <w:t xml:space="preserve"> </w:t>
      </w:r>
      <w:proofErr w:type="spellStart"/>
      <w:r w:rsidRPr="0092198B">
        <w:rPr>
          <w:sz w:val="18"/>
          <w:szCs w:val="18"/>
          <w:lang w:val="fr-FR"/>
        </w:rPr>
        <w:t>from</w:t>
      </w:r>
      <w:proofErr w:type="spellEnd"/>
      <w:r w:rsidRPr="0092198B">
        <w:rPr>
          <w:sz w:val="18"/>
          <w:szCs w:val="18"/>
          <w:lang w:val="fr-FR"/>
        </w:rPr>
        <w:t xml:space="preserve"> the publication of the </w:t>
      </w:r>
      <w:proofErr w:type="spellStart"/>
      <w:r w:rsidRPr="0092198B">
        <w:rPr>
          <w:sz w:val="18"/>
          <w:szCs w:val="18"/>
          <w:lang w:val="fr-FR"/>
        </w:rPr>
        <w:t>contested</w:t>
      </w:r>
      <w:proofErr w:type="spellEnd"/>
      <w:r w:rsidRPr="0092198B">
        <w:rPr>
          <w:sz w:val="18"/>
          <w:szCs w:val="18"/>
          <w:lang w:val="fr-FR"/>
        </w:rPr>
        <w:t xml:space="preserve"> </w:t>
      </w:r>
      <w:proofErr w:type="spellStart"/>
      <w:r w:rsidRPr="0092198B">
        <w:rPr>
          <w:sz w:val="18"/>
          <w:szCs w:val="18"/>
          <w:lang w:val="fr-FR"/>
        </w:rPr>
        <w:t>decision</w:t>
      </w:r>
      <w:proofErr w:type="spellEnd"/>
      <w:r w:rsidRPr="0092198B">
        <w:rPr>
          <w:sz w:val="18"/>
          <w:szCs w:val="18"/>
          <w:lang w:val="fr-FR"/>
        </w:rPr>
        <w:t xml:space="preserve"> and has an </w:t>
      </w:r>
      <w:proofErr w:type="spellStart"/>
      <w:r w:rsidRPr="0092198B">
        <w:rPr>
          <w:sz w:val="18"/>
          <w:szCs w:val="18"/>
          <w:lang w:val="fr-FR"/>
        </w:rPr>
        <w:t>authomatic</w:t>
      </w:r>
      <w:proofErr w:type="spellEnd"/>
      <w:r w:rsidRPr="0092198B">
        <w:rPr>
          <w:sz w:val="18"/>
          <w:szCs w:val="18"/>
          <w:lang w:val="fr-FR"/>
        </w:rPr>
        <w:t xml:space="preserve"> suspensive </w:t>
      </w:r>
      <w:proofErr w:type="spellStart"/>
      <w:r w:rsidRPr="0092198B">
        <w:rPr>
          <w:sz w:val="18"/>
          <w:szCs w:val="18"/>
          <w:lang w:val="fr-FR"/>
        </w:rPr>
        <w:t>effect</w:t>
      </w:r>
      <w:proofErr w:type="spellEnd"/>
      <w:r w:rsidRPr="0092198B">
        <w:rPr>
          <w:sz w:val="18"/>
          <w:szCs w:val="18"/>
          <w:lang w:val="fr-FR"/>
        </w:rPr>
        <w:t xml:space="preserve">. </w:t>
      </w:r>
      <w:r w:rsidRPr="00E16241">
        <w:rPr>
          <w:sz w:val="18"/>
          <w:szCs w:val="18"/>
          <w:lang w:val="en-GB"/>
        </w:rPr>
        <w:t>Art. 12 a</w:t>
      </w:r>
      <w:r>
        <w:rPr>
          <w:sz w:val="18"/>
          <w:szCs w:val="18"/>
          <w:lang w:val="en-GB"/>
        </w:rPr>
        <w:t>ddresses the recourse before a non-j</w:t>
      </w:r>
      <w:r w:rsidRPr="00E16241">
        <w:rPr>
          <w:sz w:val="18"/>
          <w:szCs w:val="18"/>
          <w:lang w:val="en-GB"/>
        </w:rPr>
        <w:t xml:space="preserve">udicial </w:t>
      </w:r>
      <w:r w:rsidR="00441C62">
        <w:rPr>
          <w:sz w:val="18"/>
          <w:szCs w:val="18"/>
          <w:lang w:val="en-GB"/>
        </w:rPr>
        <w:t>a</w:t>
      </w:r>
      <w:r w:rsidRPr="00E16241">
        <w:rPr>
          <w:sz w:val="18"/>
          <w:szCs w:val="18"/>
          <w:lang w:val="en-GB"/>
        </w:rPr>
        <w:t>uthority, which must be filed within two days from the notification of the decision of the CA, or in case of silence of the CA, within three days from the notification of the recours</w:t>
      </w:r>
      <w:r w:rsidR="00A37872">
        <w:rPr>
          <w:sz w:val="18"/>
          <w:szCs w:val="18"/>
          <w:lang w:val="en-GB"/>
        </w:rPr>
        <w:t>e according to article 11. The a</w:t>
      </w:r>
      <w:r w:rsidRPr="00E16241">
        <w:rPr>
          <w:sz w:val="18"/>
          <w:szCs w:val="18"/>
          <w:lang w:val="en-GB"/>
        </w:rPr>
        <w:t xml:space="preserve">uthority is composed of experts from the administration and from the private sector and the civil society, who must be independent from the CA and must be chosen not only for their expertise, but also for their representativeness. The </w:t>
      </w:r>
      <w:r>
        <w:rPr>
          <w:sz w:val="18"/>
          <w:szCs w:val="18"/>
          <w:lang w:val="en-GB"/>
        </w:rPr>
        <w:t>d</w:t>
      </w:r>
      <w:r w:rsidRPr="00E16241">
        <w:rPr>
          <w:sz w:val="18"/>
          <w:szCs w:val="18"/>
          <w:lang w:val="en-GB"/>
        </w:rPr>
        <w:t>irective provides for certain pr</w:t>
      </w:r>
      <w:r>
        <w:rPr>
          <w:sz w:val="18"/>
          <w:szCs w:val="18"/>
          <w:lang w:val="en-GB"/>
        </w:rPr>
        <w:t>ocedural guarantees before the non-j</w:t>
      </w:r>
      <w:r w:rsidRPr="00E16241">
        <w:rPr>
          <w:sz w:val="18"/>
          <w:szCs w:val="18"/>
          <w:lang w:val="en-GB"/>
        </w:rPr>
        <w:t xml:space="preserve">udicial </w:t>
      </w:r>
      <w:r w:rsidR="00A37872">
        <w:rPr>
          <w:sz w:val="18"/>
          <w:szCs w:val="18"/>
          <w:lang w:val="en-GB"/>
        </w:rPr>
        <w:t>a</w:t>
      </w:r>
      <w:r w:rsidRPr="00E16241">
        <w:rPr>
          <w:sz w:val="18"/>
          <w:szCs w:val="18"/>
          <w:lang w:val="en-GB"/>
        </w:rPr>
        <w:t xml:space="preserve">uthority and states that it must seek a friendly solution between the parties, having however the time limit of seven working days. After the time limit is expired, the recourse with the </w:t>
      </w:r>
      <w:r>
        <w:rPr>
          <w:sz w:val="18"/>
          <w:szCs w:val="18"/>
          <w:lang w:val="en-GB"/>
        </w:rPr>
        <w:t>non-j</w:t>
      </w:r>
      <w:r w:rsidR="00A37872">
        <w:rPr>
          <w:sz w:val="18"/>
          <w:szCs w:val="18"/>
          <w:lang w:val="en-GB"/>
        </w:rPr>
        <w:t>udicial a</w:t>
      </w:r>
      <w:r w:rsidRPr="00E16241">
        <w:rPr>
          <w:sz w:val="18"/>
          <w:szCs w:val="18"/>
          <w:lang w:val="en-GB"/>
        </w:rPr>
        <w:t>uthority has not any more the consequence of suspending the effect of the award. Article</w:t>
      </w:r>
      <w:r>
        <w:rPr>
          <w:sz w:val="18"/>
          <w:szCs w:val="18"/>
          <w:lang w:val="en-GB"/>
        </w:rPr>
        <w:t xml:space="preserve"> 12 finally states that member S</w:t>
      </w:r>
      <w:r w:rsidRPr="00E16241">
        <w:rPr>
          <w:sz w:val="18"/>
          <w:szCs w:val="18"/>
          <w:lang w:val="en-GB"/>
        </w:rPr>
        <w:t>tates shall provide for a judic</w:t>
      </w:r>
      <w:r w:rsidR="00A37872">
        <w:rPr>
          <w:sz w:val="18"/>
          <w:szCs w:val="18"/>
          <w:lang w:val="en-GB"/>
        </w:rPr>
        <w:t>ial review of the non-judicial a</w:t>
      </w:r>
      <w:r w:rsidRPr="00E16241">
        <w:rPr>
          <w:sz w:val="18"/>
          <w:szCs w:val="18"/>
          <w:lang w:val="en-GB"/>
        </w:rPr>
        <w:t>uthority in a short time (</w:t>
      </w:r>
      <w:r w:rsidRPr="00E16241">
        <w:rPr>
          <w:i/>
          <w:sz w:val="18"/>
          <w:szCs w:val="18"/>
          <w:lang w:val="en-GB"/>
        </w:rPr>
        <w:t xml:space="preserve">à </w:t>
      </w:r>
      <w:proofErr w:type="spellStart"/>
      <w:r w:rsidRPr="00E16241">
        <w:rPr>
          <w:i/>
          <w:sz w:val="18"/>
          <w:szCs w:val="18"/>
          <w:lang w:val="en-GB"/>
        </w:rPr>
        <w:t>bref</w:t>
      </w:r>
      <w:proofErr w:type="spellEnd"/>
      <w:r w:rsidRPr="00E16241">
        <w:rPr>
          <w:i/>
          <w:sz w:val="18"/>
          <w:szCs w:val="18"/>
          <w:lang w:val="en-GB"/>
        </w:rPr>
        <w:t xml:space="preserve"> </w:t>
      </w:r>
      <w:proofErr w:type="spellStart"/>
      <w:r w:rsidRPr="00E16241">
        <w:rPr>
          <w:i/>
          <w:sz w:val="18"/>
          <w:szCs w:val="18"/>
          <w:lang w:val="en-GB"/>
        </w:rPr>
        <w:t>délai</w:t>
      </w:r>
      <w:proofErr w:type="spellEnd"/>
      <w:r w:rsidRPr="00E16241">
        <w:rPr>
          <w:sz w:val="18"/>
          <w:szCs w:val="18"/>
          <w:lang w:val="en-GB"/>
        </w:rPr>
        <w:t xml:space="preserve">). </w:t>
      </w:r>
    </w:p>
  </w:footnote>
  <w:footnote w:id="11">
    <w:p w14:paraId="366A21D3" w14:textId="77777777" w:rsidR="000C343A" w:rsidRPr="0092198B" w:rsidRDefault="000C343A" w:rsidP="003E7603">
      <w:pPr>
        <w:pStyle w:val="FootnoteText"/>
        <w:ind w:left="284" w:hanging="284"/>
        <w:jc w:val="both"/>
        <w:rPr>
          <w:lang w:val="en-GB"/>
        </w:rPr>
      </w:pPr>
      <w:r w:rsidRPr="00E16241">
        <w:rPr>
          <w:rStyle w:val="FootnoteReference"/>
          <w:sz w:val="18"/>
          <w:szCs w:val="18"/>
          <w:lang w:val="en-GB"/>
        </w:rPr>
        <w:footnoteRef/>
      </w:r>
      <w:r w:rsidRPr="00E16241">
        <w:rPr>
          <w:sz w:val="18"/>
          <w:szCs w:val="18"/>
          <w:lang w:val="en-GB"/>
        </w:rPr>
        <w:t xml:space="preserve"> </w:t>
      </w:r>
      <w:r>
        <w:rPr>
          <w:sz w:val="18"/>
          <w:szCs w:val="18"/>
          <w:lang w:val="en-GB"/>
        </w:rPr>
        <w:tab/>
      </w:r>
      <w:r w:rsidRPr="00E16241">
        <w:rPr>
          <w:sz w:val="18"/>
          <w:szCs w:val="18"/>
          <w:lang w:val="en-GB"/>
        </w:rPr>
        <w:t xml:space="preserve">The influence of UNCITRAL 1994 model law onto remedies system of African countries is highlighted also by </w:t>
      </w:r>
      <w:r w:rsidRPr="005E52D4">
        <w:rPr>
          <w:smallCaps/>
          <w:sz w:val="18"/>
          <w:szCs w:val="18"/>
          <w:lang w:val="en-GB"/>
        </w:rPr>
        <w:t xml:space="preserve">G. </w:t>
      </w:r>
      <w:proofErr w:type="spellStart"/>
      <w:r w:rsidRPr="005E52D4">
        <w:rPr>
          <w:smallCaps/>
          <w:sz w:val="18"/>
          <w:szCs w:val="18"/>
          <w:lang w:val="en-GB"/>
        </w:rPr>
        <w:t>Quinot</w:t>
      </w:r>
      <w:proofErr w:type="spellEnd"/>
      <w:r w:rsidRPr="00E16241">
        <w:rPr>
          <w:sz w:val="18"/>
          <w:szCs w:val="18"/>
          <w:lang w:val="en-GB"/>
        </w:rPr>
        <w:t xml:space="preserve">, </w:t>
      </w:r>
      <w:r w:rsidRPr="00C63C91">
        <w:rPr>
          <w:sz w:val="18"/>
          <w:szCs w:val="18"/>
          <w:lang w:val="en-GB"/>
        </w:rPr>
        <w:t>« </w:t>
      </w:r>
      <w:r w:rsidRPr="007D2640">
        <w:rPr>
          <w:sz w:val="18"/>
          <w:szCs w:val="18"/>
          <w:lang w:val="en-GB"/>
        </w:rPr>
        <w:t>A comp</w:t>
      </w:r>
      <w:r>
        <w:rPr>
          <w:sz w:val="18"/>
          <w:szCs w:val="18"/>
          <w:lang w:val="en-GB"/>
        </w:rPr>
        <w:t>arative perspective on supplier</w:t>
      </w:r>
      <w:r w:rsidRPr="007D2640">
        <w:rPr>
          <w:sz w:val="18"/>
          <w:szCs w:val="18"/>
          <w:lang w:val="en-GB"/>
        </w:rPr>
        <w:t xml:space="preserve"> remedies in African public procurement systems</w:t>
      </w:r>
      <w:r>
        <w:rPr>
          <w:sz w:val="18"/>
          <w:szCs w:val="18"/>
          <w:lang w:val="en-GB"/>
        </w:rPr>
        <w:t xml:space="preserve"> </w:t>
      </w:r>
      <w:r w:rsidRPr="00C63C91">
        <w:rPr>
          <w:sz w:val="18"/>
          <w:szCs w:val="18"/>
          <w:lang w:val="en-GB"/>
        </w:rPr>
        <w:t>»</w:t>
      </w:r>
      <w:r w:rsidRPr="00E16241">
        <w:rPr>
          <w:sz w:val="18"/>
          <w:szCs w:val="18"/>
          <w:lang w:val="en-GB"/>
        </w:rPr>
        <w:t xml:space="preserve">, </w:t>
      </w:r>
      <w:r w:rsidRPr="009B029E">
        <w:rPr>
          <w:i/>
          <w:sz w:val="18"/>
          <w:szCs w:val="18"/>
          <w:lang w:val="en-GB"/>
        </w:rPr>
        <w:t>in</w:t>
      </w:r>
      <w:r w:rsidRPr="00E16241">
        <w:rPr>
          <w:sz w:val="18"/>
          <w:szCs w:val="18"/>
          <w:lang w:val="en-GB"/>
        </w:rPr>
        <w:t xml:space="preserve"> </w:t>
      </w:r>
      <w:r w:rsidRPr="005E52D4">
        <w:rPr>
          <w:smallCaps/>
          <w:sz w:val="18"/>
          <w:szCs w:val="18"/>
          <w:lang w:val="en-GB"/>
        </w:rPr>
        <w:t xml:space="preserve">G. </w:t>
      </w:r>
      <w:proofErr w:type="spellStart"/>
      <w:r w:rsidRPr="005E52D4">
        <w:rPr>
          <w:smallCaps/>
          <w:sz w:val="18"/>
          <w:szCs w:val="18"/>
          <w:lang w:val="en-GB"/>
        </w:rPr>
        <w:t>Quinot</w:t>
      </w:r>
      <w:proofErr w:type="spellEnd"/>
      <w:r w:rsidRPr="005E52D4">
        <w:rPr>
          <w:smallCaps/>
          <w:sz w:val="18"/>
          <w:szCs w:val="18"/>
          <w:lang w:val="en-GB"/>
        </w:rPr>
        <w:t xml:space="preserve"> </w:t>
      </w:r>
      <w:r w:rsidRPr="005E52D4">
        <w:rPr>
          <w:sz w:val="18"/>
          <w:szCs w:val="18"/>
          <w:lang w:val="en-GB"/>
        </w:rPr>
        <w:t>and</w:t>
      </w:r>
      <w:r w:rsidRPr="005E52D4">
        <w:rPr>
          <w:smallCaps/>
          <w:sz w:val="18"/>
          <w:szCs w:val="18"/>
          <w:lang w:val="en-GB"/>
        </w:rPr>
        <w:t xml:space="preserve"> S. Arrowsmith</w:t>
      </w:r>
      <w:r w:rsidRPr="00E16241">
        <w:rPr>
          <w:sz w:val="18"/>
          <w:szCs w:val="18"/>
          <w:lang w:val="en-GB"/>
        </w:rPr>
        <w:t xml:space="preserve">, </w:t>
      </w:r>
      <w:r w:rsidRPr="00E16241">
        <w:rPr>
          <w:i/>
          <w:sz w:val="18"/>
          <w:szCs w:val="18"/>
          <w:lang w:val="en-GB"/>
        </w:rPr>
        <w:t>Public procurement Regulation in Africa</w:t>
      </w:r>
      <w:r w:rsidRPr="00E16241">
        <w:rPr>
          <w:sz w:val="18"/>
          <w:szCs w:val="18"/>
          <w:lang w:val="en-GB"/>
        </w:rPr>
        <w:t>, Cambridge, Cambridge University Press, 2013, p</w:t>
      </w:r>
      <w:r>
        <w:rPr>
          <w:sz w:val="18"/>
          <w:szCs w:val="18"/>
          <w:lang w:val="en-GB"/>
        </w:rPr>
        <w:t>.</w:t>
      </w:r>
      <w:r w:rsidRPr="00E16241">
        <w:rPr>
          <w:sz w:val="18"/>
          <w:szCs w:val="18"/>
          <w:lang w:val="en-GB"/>
        </w:rPr>
        <w:t xml:space="preserve"> 314-315.  </w:t>
      </w:r>
    </w:p>
  </w:footnote>
  <w:footnote w:id="12">
    <w:p w14:paraId="20A05D24" w14:textId="77777777" w:rsidR="000C343A" w:rsidRPr="0092198B" w:rsidRDefault="000C343A" w:rsidP="003E7603">
      <w:pPr>
        <w:pStyle w:val="FootnoteText"/>
        <w:ind w:left="284" w:hanging="284"/>
        <w:jc w:val="both"/>
        <w:rPr>
          <w:lang w:val="en-GB"/>
        </w:rPr>
      </w:pPr>
      <w:r w:rsidRPr="00E16241">
        <w:rPr>
          <w:rStyle w:val="FootnoteReference"/>
          <w:sz w:val="18"/>
          <w:szCs w:val="18"/>
          <w:lang w:val="en-GB"/>
        </w:rPr>
        <w:footnoteRef/>
      </w:r>
      <w:r w:rsidRPr="00E16241">
        <w:rPr>
          <w:sz w:val="18"/>
          <w:szCs w:val="18"/>
          <w:lang w:val="en-GB"/>
        </w:rPr>
        <w:t xml:space="preserve"> </w:t>
      </w:r>
      <w:r>
        <w:rPr>
          <w:sz w:val="18"/>
          <w:szCs w:val="18"/>
          <w:lang w:val="en-GB"/>
        </w:rPr>
        <w:tab/>
      </w:r>
      <w:r w:rsidRPr="00E16241">
        <w:rPr>
          <w:sz w:val="18"/>
          <w:szCs w:val="18"/>
          <w:lang w:val="en-GB"/>
        </w:rPr>
        <w:t xml:space="preserve">But in the case of Togo the reason is also that judicial relief is ineffective due to the fact that it takes a lot of time and also very costly. </w:t>
      </w:r>
    </w:p>
  </w:footnote>
  <w:footnote w:id="13">
    <w:p w14:paraId="4321FE7A" w14:textId="77777777" w:rsidR="000C343A" w:rsidRPr="0092198B" w:rsidRDefault="000C343A" w:rsidP="003E7603">
      <w:pPr>
        <w:pStyle w:val="FootnoteText"/>
        <w:ind w:left="284" w:hanging="284"/>
        <w:jc w:val="both"/>
        <w:rPr>
          <w:lang w:val="en-GB"/>
        </w:rPr>
      </w:pPr>
      <w:r w:rsidRPr="00E16241">
        <w:rPr>
          <w:rStyle w:val="FootnoteReference"/>
          <w:sz w:val="18"/>
          <w:szCs w:val="18"/>
        </w:rPr>
        <w:footnoteRef/>
      </w:r>
      <w:r w:rsidRPr="00E16241">
        <w:rPr>
          <w:sz w:val="18"/>
          <w:szCs w:val="18"/>
          <w:lang w:val="en-GB"/>
        </w:rPr>
        <w:t xml:space="preserve"> </w:t>
      </w:r>
      <w:r>
        <w:rPr>
          <w:sz w:val="18"/>
          <w:szCs w:val="18"/>
          <w:lang w:val="en-GB"/>
        </w:rPr>
        <w:tab/>
      </w:r>
      <w:r w:rsidRPr="00E16241">
        <w:rPr>
          <w:sz w:val="18"/>
          <w:szCs w:val="18"/>
          <w:lang w:val="en-GB"/>
        </w:rPr>
        <w:t xml:space="preserve">See </w:t>
      </w:r>
      <w:r>
        <w:rPr>
          <w:sz w:val="18"/>
          <w:szCs w:val="18"/>
          <w:lang w:val="en-GB"/>
        </w:rPr>
        <w:t>an</w:t>
      </w:r>
      <w:r w:rsidRPr="00E16241">
        <w:rPr>
          <w:sz w:val="18"/>
          <w:szCs w:val="18"/>
          <w:lang w:val="en-GB"/>
        </w:rPr>
        <w:t xml:space="preserve">nexe III of World Bank </w:t>
      </w:r>
      <w:r>
        <w:rPr>
          <w:sz w:val="18"/>
          <w:szCs w:val="18"/>
          <w:lang w:val="en-GB"/>
        </w:rPr>
        <w:t>p</w:t>
      </w:r>
      <w:r w:rsidRPr="00E16241">
        <w:rPr>
          <w:sz w:val="18"/>
          <w:szCs w:val="18"/>
          <w:lang w:val="en-GB"/>
        </w:rPr>
        <w:t xml:space="preserve">rocurement </w:t>
      </w:r>
      <w:r>
        <w:rPr>
          <w:sz w:val="18"/>
          <w:szCs w:val="18"/>
          <w:lang w:val="en-GB"/>
        </w:rPr>
        <w:t>r</w:t>
      </w:r>
      <w:r w:rsidRPr="00E16241">
        <w:rPr>
          <w:sz w:val="18"/>
          <w:szCs w:val="18"/>
          <w:lang w:val="en-GB"/>
        </w:rPr>
        <w:t>egulations for IPF borrowers (July 2016).</w:t>
      </w:r>
    </w:p>
  </w:footnote>
  <w:footnote w:id="14">
    <w:p w14:paraId="0A2C6457" w14:textId="77777777" w:rsidR="000C343A" w:rsidRPr="0092198B" w:rsidRDefault="000C343A" w:rsidP="003E7603">
      <w:pPr>
        <w:pStyle w:val="FootnoteText"/>
        <w:ind w:left="284" w:hanging="284"/>
        <w:jc w:val="both"/>
        <w:rPr>
          <w:lang w:val="fr-FR"/>
        </w:rPr>
      </w:pPr>
      <w:r w:rsidRPr="00E16241">
        <w:rPr>
          <w:rStyle w:val="FootnoteReference"/>
          <w:sz w:val="18"/>
          <w:szCs w:val="18"/>
        </w:rPr>
        <w:footnoteRef/>
      </w:r>
      <w:r w:rsidRPr="00E16241">
        <w:rPr>
          <w:sz w:val="18"/>
          <w:szCs w:val="18"/>
          <w:lang w:val="fr-FR"/>
        </w:rPr>
        <w:t xml:space="preserve"> </w:t>
      </w:r>
      <w:r>
        <w:rPr>
          <w:sz w:val="18"/>
          <w:szCs w:val="18"/>
          <w:lang w:val="fr-FR"/>
        </w:rPr>
        <w:tab/>
      </w:r>
      <w:r w:rsidRPr="00E16241">
        <w:rPr>
          <w:noProof/>
          <w:sz w:val="18"/>
          <w:szCs w:val="18"/>
          <w:lang w:val="fr-FR"/>
        </w:rPr>
        <w:t xml:space="preserve">BAD, </w:t>
      </w:r>
      <w:r w:rsidRPr="00E16241">
        <w:rPr>
          <w:i/>
          <w:iCs/>
          <w:noProof/>
          <w:sz w:val="18"/>
          <w:szCs w:val="18"/>
          <w:lang w:val="fr-FR"/>
        </w:rPr>
        <w:t>Rapport principal d’Evaluation des procédures nationales de passation des marchés pour les appels d’offres nationaux dans le cadre des projets financés par la Banque.</w:t>
      </w:r>
      <w:r w:rsidRPr="00E16241">
        <w:rPr>
          <w:noProof/>
          <w:sz w:val="18"/>
          <w:szCs w:val="18"/>
          <w:lang w:val="fr-FR"/>
        </w:rPr>
        <w:t xml:space="preserve"> Brazzaville: Département des Acquisitions &amp; Services Fiduciaires - Division des Acquisitions, 2012.</w:t>
      </w:r>
    </w:p>
  </w:footnote>
  <w:footnote w:id="15">
    <w:p w14:paraId="64122529" w14:textId="77777777" w:rsidR="000C343A" w:rsidRPr="0092198B" w:rsidRDefault="000C343A" w:rsidP="003E7603">
      <w:pPr>
        <w:pStyle w:val="FootnoteText"/>
        <w:ind w:left="284" w:hanging="284"/>
        <w:jc w:val="both"/>
        <w:rPr>
          <w:lang w:val="en-GB"/>
        </w:rPr>
      </w:pPr>
      <w:r w:rsidRPr="00E16241">
        <w:rPr>
          <w:rStyle w:val="FootnoteReference"/>
          <w:sz w:val="18"/>
          <w:szCs w:val="18"/>
        </w:rPr>
        <w:footnoteRef/>
      </w:r>
      <w:r w:rsidRPr="00283F0F">
        <w:rPr>
          <w:sz w:val="18"/>
          <w:szCs w:val="18"/>
          <w:lang w:val="fr-FR"/>
        </w:rPr>
        <w:t xml:space="preserve"> </w:t>
      </w:r>
      <w:r w:rsidRPr="00283F0F">
        <w:rPr>
          <w:sz w:val="18"/>
          <w:szCs w:val="18"/>
          <w:lang w:val="fr-FR"/>
        </w:rPr>
        <w:tab/>
      </w:r>
      <w:r w:rsidRPr="00283F0F">
        <w:rPr>
          <w:smallCaps/>
          <w:sz w:val="18"/>
          <w:szCs w:val="18"/>
          <w:lang w:val="fr-FR"/>
        </w:rPr>
        <w:t xml:space="preserve">G. </w:t>
      </w:r>
      <w:proofErr w:type="spellStart"/>
      <w:r w:rsidRPr="00283F0F">
        <w:rPr>
          <w:smallCaps/>
          <w:sz w:val="18"/>
          <w:szCs w:val="18"/>
          <w:lang w:val="fr-FR"/>
        </w:rPr>
        <w:t>Quinot</w:t>
      </w:r>
      <w:proofErr w:type="spellEnd"/>
      <w:r w:rsidRPr="00283F0F">
        <w:rPr>
          <w:smallCaps/>
          <w:sz w:val="18"/>
          <w:szCs w:val="18"/>
          <w:lang w:val="fr-FR"/>
        </w:rPr>
        <w:t xml:space="preserve"> </w:t>
      </w:r>
      <w:r w:rsidRPr="00283F0F">
        <w:rPr>
          <w:sz w:val="18"/>
          <w:szCs w:val="18"/>
          <w:lang w:val="fr-FR"/>
        </w:rPr>
        <w:t>and</w:t>
      </w:r>
      <w:r w:rsidRPr="00283F0F">
        <w:rPr>
          <w:smallCaps/>
          <w:sz w:val="18"/>
          <w:szCs w:val="18"/>
          <w:lang w:val="fr-FR"/>
        </w:rPr>
        <w:t xml:space="preserve"> S. </w:t>
      </w:r>
      <w:proofErr w:type="spellStart"/>
      <w:r w:rsidRPr="00283F0F">
        <w:rPr>
          <w:smallCaps/>
          <w:sz w:val="18"/>
          <w:szCs w:val="18"/>
          <w:lang w:val="fr-FR"/>
        </w:rPr>
        <w:t>Arrowsmith</w:t>
      </w:r>
      <w:proofErr w:type="spellEnd"/>
      <w:r w:rsidRPr="00283F0F">
        <w:rPr>
          <w:sz w:val="18"/>
          <w:szCs w:val="18"/>
          <w:lang w:val="fr-FR"/>
        </w:rPr>
        <w:t xml:space="preserve">, </w:t>
      </w:r>
      <w:r w:rsidRPr="00283F0F">
        <w:rPr>
          <w:i/>
          <w:sz w:val="18"/>
          <w:szCs w:val="18"/>
          <w:lang w:val="fr-FR"/>
        </w:rPr>
        <w:t xml:space="preserve">Public </w:t>
      </w:r>
      <w:proofErr w:type="spellStart"/>
      <w:r w:rsidRPr="00283F0F">
        <w:rPr>
          <w:i/>
          <w:sz w:val="18"/>
          <w:szCs w:val="18"/>
          <w:lang w:val="fr-FR"/>
        </w:rPr>
        <w:t>procurement</w:t>
      </w:r>
      <w:proofErr w:type="spellEnd"/>
      <w:r w:rsidRPr="00283F0F">
        <w:rPr>
          <w:i/>
          <w:sz w:val="18"/>
          <w:szCs w:val="18"/>
          <w:lang w:val="fr-FR"/>
        </w:rPr>
        <w:t xml:space="preserve"> </w:t>
      </w:r>
      <w:proofErr w:type="spellStart"/>
      <w:r w:rsidRPr="00283F0F">
        <w:rPr>
          <w:i/>
          <w:sz w:val="18"/>
          <w:szCs w:val="18"/>
          <w:lang w:val="fr-FR"/>
        </w:rPr>
        <w:t>Regulation</w:t>
      </w:r>
      <w:proofErr w:type="spellEnd"/>
      <w:r w:rsidRPr="00283F0F">
        <w:rPr>
          <w:i/>
          <w:sz w:val="18"/>
          <w:szCs w:val="18"/>
          <w:lang w:val="fr-FR"/>
        </w:rPr>
        <w:t xml:space="preserve"> in </w:t>
      </w:r>
      <w:proofErr w:type="spellStart"/>
      <w:r w:rsidRPr="00283F0F">
        <w:rPr>
          <w:i/>
          <w:sz w:val="18"/>
          <w:szCs w:val="18"/>
          <w:lang w:val="fr-FR"/>
        </w:rPr>
        <w:t>Africa</w:t>
      </w:r>
      <w:proofErr w:type="spellEnd"/>
      <w:r w:rsidRPr="00283F0F">
        <w:rPr>
          <w:sz w:val="18"/>
          <w:szCs w:val="18"/>
          <w:lang w:val="fr-FR"/>
        </w:rPr>
        <w:t xml:space="preserve">, Cambridge, Cambridge </w:t>
      </w:r>
      <w:proofErr w:type="spellStart"/>
      <w:r w:rsidRPr="00283F0F">
        <w:rPr>
          <w:sz w:val="18"/>
          <w:szCs w:val="18"/>
          <w:lang w:val="fr-FR"/>
        </w:rPr>
        <w:t>University</w:t>
      </w:r>
      <w:proofErr w:type="spellEnd"/>
      <w:r w:rsidRPr="00283F0F">
        <w:rPr>
          <w:sz w:val="18"/>
          <w:szCs w:val="18"/>
          <w:lang w:val="fr-FR"/>
        </w:rPr>
        <w:t xml:space="preserve"> </w:t>
      </w:r>
      <w:proofErr w:type="spellStart"/>
      <w:r w:rsidRPr="00283F0F">
        <w:rPr>
          <w:sz w:val="18"/>
          <w:szCs w:val="18"/>
          <w:lang w:val="fr-FR"/>
        </w:rPr>
        <w:t>Press</w:t>
      </w:r>
      <w:proofErr w:type="spellEnd"/>
      <w:r w:rsidRPr="00283F0F">
        <w:rPr>
          <w:sz w:val="18"/>
          <w:szCs w:val="18"/>
          <w:lang w:val="fr-FR"/>
        </w:rPr>
        <w:t xml:space="preserve">, 2013, p. 315-317. </w:t>
      </w:r>
      <w:r w:rsidRPr="00E16241">
        <w:rPr>
          <w:sz w:val="18"/>
          <w:szCs w:val="18"/>
          <w:lang w:val="en-GB"/>
        </w:rPr>
        <w:t xml:space="preserve">See also </w:t>
      </w:r>
      <w:r w:rsidRPr="007D2640">
        <w:rPr>
          <w:smallCaps/>
          <w:sz w:val="18"/>
          <w:szCs w:val="18"/>
          <w:lang w:val="en-GB"/>
        </w:rPr>
        <w:t xml:space="preserve">A. La </w:t>
      </w:r>
      <w:proofErr w:type="spellStart"/>
      <w:r w:rsidRPr="007D2640">
        <w:rPr>
          <w:smallCaps/>
          <w:sz w:val="18"/>
          <w:szCs w:val="18"/>
          <w:lang w:val="en-GB"/>
        </w:rPr>
        <w:t>Chimia</w:t>
      </w:r>
      <w:proofErr w:type="spellEnd"/>
      <w:r w:rsidRPr="00E16241">
        <w:rPr>
          <w:sz w:val="18"/>
          <w:szCs w:val="18"/>
          <w:lang w:val="en-GB"/>
        </w:rPr>
        <w:t xml:space="preserve">, </w:t>
      </w:r>
      <w:r w:rsidRPr="00C63C91">
        <w:rPr>
          <w:sz w:val="18"/>
          <w:szCs w:val="18"/>
          <w:lang w:val="en-GB"/>
        </w:rPr>
        <w:t>« </w:t>
      </w:r>
      <w:r w:rsidRPr="007D2640">
        <w:rPr>
          <w:sz w:val="18"/>
          <w:szCs w:val="18"/>
          <w:lang w:val="en-GB"/>
        </w:rPr>
        <w:t>Donors’ influence on developing countries’ procurement systems, rules and markets: a critical analysis</w:t>
      </w:r>
      <w:r>
        <w:rPr>
          <w:sz w:val="18"/>
          <w:szCs w:val="18"/>
          <w:lang w:val="en-GB"/>
        </w:rPr>
        <w:t xml:space="preserve"> </w:t>
      </w:r>
      <w:r w:rsidRPr="00C63C91">
        <w:rPr>
          <w:sz w:val="18"/>
          <w:szCs w:val="18"/>
          <w:lang w:val="en-GB"/>
        </w:rPr>
        <w:t>»</w:t>
      </w:r>
      <w:r w:rsidRPr="00E16241">
        <w:rPr>
          <w:sz w:val="18"/>
          <w:szCs w:val="18"/>
          <w:lang w:val="en-GB"/>
        </w:rPr>
        <w:t xml:space="preserve">, </w:t>
      </w:r>
      <w:r w:rsidRPr="009B029E">
        <w:rPr>
          <w:i/>
          <w:sz w:val="18"/>
          <w:szCs w:val="18"/>
          <w:lang w:val="en-GB"/>
        </w:rPr>
        <w:t>in</w:t>
      </w:r>
      <w:r w:rsidRPr="00E16241">
        <w:rPr>
          <w:sz w:val="18"/>
          <w:szCs w:val="18"/>
          <w:lang w:val="en-GB"/>
        </w:rPr>
        <w:t xml:space="preserve"> </w:t>
      </w:r>
      <w:r w:rsidRPr="005E52D4">
        <w:rPr>
          <w:smallCaps/>
          <w:sz w:val="18"/>
          <w:szCs w:val="18"/>
          <w:lang w:val="en-GB"/>
        </w:rPr>
        <w:t xml:space="preserve">G. </w:t>
      </w:r>
      <w:proofErr w:type="spellStart"/>
      <w:r w:rsidRPr="005E52D4">
        <w:rPr>
          <w:smallCaps/>
          <w:sz w:val="18"/>
          <w:szCs w:val="18"/>
          <w:lang w:val="en-GB"/>
        </w:rPr>
        <w:t>Quinot</w:t>
      </w:r>
      <w:proofErr w:type="spellEnd"/>
      <w:r w:rsidRPr="005E52D4">
        <w:rPr>
          <w:smallCaps/>
          <w:sz w:val="18"/>
          <w:szCs w:val="18"/>
          <w:lang w:val="en-GB"/>
        </w:rPr>
        <w:t xml:space="preserve"> </w:t>
      </w:r>
      <w:r w:rsidRPr="005E52D4">
        <w:rPr>
          <w:sz w:val="18"/>
          <w:szCs w:val="18"/>
          <w:lang w:val="en-GB"/>
        </w:rPr>
        <w:t>and</w:t>
      </w:r>
      <w:r w:rsidRPr="005E52D4">
        <w:rPr>
          <w:smallCaps/>
          <w:sz w:val="18"/>
          <w:szCs w:val="18"/>
          <w:lang w:val="en-GB"/>
        </w:rPr>
        <w:t xml:space="preserve"> S. Arrowsmith</w:t>
      </w:r>
      <w:r w:rsidRPr="00E16241">
        <w:rPr>
          <w:sz w:val="18"/>
          <w:szCs w:val="18"/>
          <w:lang w:val="en-GB"/>
        </w:rPr>
        <w:t xml:space="preserve">, </w:t>
      </w:r>
      <w:r w:rsidRPr="00E16241">
        <w:rPr>
          <w:i/>
          <w:sz w:val="18"/>
          <w:szCs w:val="18"/>
          <w:lang w:val="en-GB"/>
        </w:rPr>
        <w:t>Public procurement Regulation in Africa</w:t>
      </w:r>
      <w:r w:rsidRPr="00E16241">
        <w:rPr>
          <w:sz w:val="18"/>
          <w:szCs w:val="18"/>
          <w:lang w:val="en-GB"/>
        </w:rPr>
        <w:t>, Cambridge, Cambridge University Press, 2013, p</w:t>
      </w:r>
      <w:r>
        <w:rPr>
          <w:sz w:val="18"/>
          <w:szCs w:val="18"/>
          <w:lang w:val="en-GB"/>
        </w:rPr>
        <w:t>.</w:t>
      </w:r>
      <w:r w:rsidRPr="00E16241">
        <w:rPr>
          <w:sz w:val="18"/>
          <w:szCs w:val="18"/>
          <w:lang w:val="en-GB"/>
        </w:rPr>
        <w:t xml:space="preserve"> 219-260, particularly pages 231 ff., which highlights different assessments of international donors’ policies in the field of public procurements, both from the point of view of economic efficiency and of political and legal fairness. The conclusion is that donors’ practices that impose burdens on the aid management capacities of partners countries need to be detected and, at best, reduced to guarantee the success of aid policies.  </w:t>
      </w:r>
    </w:p>
  </w:footnote>
  <w:footnote w:id="16">
    <w:p w14:paraId="272881A5" w14:textId="77777777" w:rsidR="000C343A" w:rsidRPr="0092198B" w:rsidRDefault="000C343A" w:rsidP="003E7603">
      <w:pPr>
        <w:pStyle w:val="FootnoteText"/>
        <w:ind w:left="284" w:hanging="284"/>
        <w:jc w:val="both"/>
        <w:rPr>
          <w:lang w:val="en-GB"/>
        </w:rPr>
      </w:pPr>
      <w:r w:rsidRPr="00E16241">
        <w:rPr>
          <w:rStyle w:val="FootnoteReference"/>
          <w:sz w:val="18"/>
          <w:szCs w:val="18"/>
        </w:rPr>
        <w:footnoteRef/>
      </w:r>
      <w:r w:rsidRPr="00E16241">
        <w:rPr>
          <w:sz w:val="18"/>
          <w:szCs w:val="18"/>
          <w:lang w:val="en-GB"/>
        </w:rPr>
        <w:t xml:space="preserve"> </w:t>
      </w:r>
      <w:r>
        <w:rPr>
          <w:sz w:val="18"/>
          <w:szCs w:val="18"/>
          <w:lang w:val="en-GB"/>
        </w:rPr>
        <w:tab/>
      </w:r>
      <w:r w:rsidRPr="00E16241">
        <w:rPr>
          <w:sz w:val="18"/>
          <w:szCs w:val="18"/>
          <w:lang w:val="en-GB"/>
        </w:rPr>
        <w:t xml:space="preserve">Sudan has an only two layers system: the bidder who decide to challenge a decision should first put the challenge before the procuring entity. The procuring entity shall respond within 30 days. If the procuring entity refuses the challenge or its new decision is not satisfying the person who makes the challenge then should be appealed before the remedies committee. The committee shall make its decision within thirty days. The decision of the committee is final and enforceable by </w:t>
      </w:r>
      <w:r w:rsidR="005D2032">
        <w:rPr>
          <w:sz w:val="18"/>
          <w:szCs w:val="18"/>
          <w:lang w:val="en-GB"/>
        </w:rPr>
        <w:t>C</w:t>
      </w:r>
      <w:r w:rsidRPr="00E16241">
        <w:rPr>
          <w:sz w:val="18"/>
          <w:szCs w:val="18"/>
          <w:lang w:val="en-GB"/>
        </w:rPr>
        <w:t>ourts.</w:t>
      </w:r>
    </w:p>
  </w:footnote>
  <w:footnote w:id="17">
    <w:p w14:paraId="5802520F" w14:textId="77777777" w:rsidR="000C343A" w:rsidRPr="0092198B" w:rsidRDefault="000C343A" w:rsidP="003E7603">
      <w:pPr>
        <w:pStyle w:val="FootnoteText"/>
        <w:ind w:left="284" w:hanging="284"/>
        <w:jc w:val="both"/>
        <w:rPr>
          <w:lang w:val="en-GB"/>
        </w:rPr>
      </w:pPr>
      <w:r w:rsidRPr="00E16241">
        <w:rPr>
          <w:rStyle w:val="FootnoteReference"/>
          <w:sz w:val="18"/>
          <w:szCs w:val="18"/>
        </w:rPr>
        <w:footnoteRef/>
      </w:r>
      <w:r w:rsidRPr="00E16241">
        <w:rPr>
          <w:sz w:val="18"/>
          <w:szCs w:val="18"/>
          <w:lang w:val="en-GB"/>
        </w:rPr>
        <w:t xml:space="preserve"> </w:t>
      </w:r>
      <w:r>
        <w:rPr>
          <w:sz w:val="18"/>
          <w:szCs w:val="18"/>
          <w:lang w:val="en-GB"/>
        </w:rPr>
        <w:tab/>
        <w:t>UNCITRAL model l</w:t>
      </w:r>
      <w:r w:rsidRPr="00E16241">
        <w:rPr>
          <w:sz w:val="18"/>
          <w:szCs w:val="18"/>
          <w:lang w:val="en-GB"/>
        </w:rPr>
        <w:t xml:space="preserve">aw on </w:t>
      </w:r>
      <w:r>
        <w:rPr>
          <w:sz w:val="18"/>
          <w:szCs w:val="18"/>
          <w:lang w:val="en-GB"/>
        </w:rPr>
        <w:t>p</w:t>
      </w:r>
      <w:r w:rsidRPr="00E16241">
        <w:rPr>
          <w:sz w:val="18"/>
          <w:szCs w:val="18"/>
          <w:lang w:val="en-GB"/>
        </w:rPr>
        <w:t xml:space="preserve">ublic </w:t>
      </w:r>
      <w:r>
        <w:rPr>
          <w:sz w:val="18"/>
          <w:szCs w:val="18"/>
          <w:lang w:val="en-GB"/>
        </w:rPr>
        <w:t>p</w:t>
      </w:r>
      <w:r w:rsidRPr="00E16241">
        <w:rPr>
          <w:sz w:val="18"/>
          <w:szCs w:val="18"/>
          <w:lang w:val="en-GB"/>
        </w:rPr>
        <w:t xml:space="preserve">rocurement (2011), chapter VIII </w:t>
      </w:r>
      <w:r>
        <w:rPr>
          <w:sz w:val="18"/>
          <w:szCs w:val="18"/>
          <w:lang w:val="en-GB"/>
        </w:rPr>
        <w:t>-</w:t>
      </w:r>
      <w:r w:rsidRPr="00E16241">
        <w:rPr>
          <w:sz w:val="18"/>
          <w:szCs w:val="18"/>
          <w:lang w:val="en-GB"/>
        </w:rPr>
        <w:t xml:space="preserve"> Challenge </w:t>
      </w:r>
      <w:proofErr w:type="spellStart"/>
      <w:r w:rsidRPr="00E16241">
        <w:rPr>
          <w:sz w:val="18"/>
          <w:szCs w:val="18"/>
          <w:lang w:val="en-GB"/>
        </w:rPr>
        <w:t>Proceeedings</w:t>
      </w:r>
      <w:proofErr w:type="spellEnd"/>
      <w:r w:rsidRPr="00E16241">
        <w:rPr>
          <w:sz w:val="18"/>
          <w:szCs w:val="18"/>
          <w:lang w:val="en-GB"/>
        </w:rPr>
        <w:t>, art. 64: «</w:t>
      </w:r>
      <w:r>
        <w:rPr>
          <w:sz w:val="18"/>
          <w:szCs w:val="18"/>
          <w:lang w:val="en-GB"/>
        </w:rPr>
        <w:t xml:space="preserve"> </w:t>
      </w:r>
      <w:r w:rsidRPr="00E16241">
        <w:rPr>
          <w:sz w:val="18"/>
          <w:szCs w:val="18"/>
          <w:lang w:val="en-GB"/>
        </w:rPr>
        <w:t>Challenge proceedings may be made by way of [an application for reconsideration to the procuring entity under article 66 of this Law, an application for review to the [</w:t>
      </w:r>
      <w:r w:rsidRPr="00E16241">
        <w:rPr>
          <w:i/>
          <w:iCs/>
          <w:sz w:val="18"/>
          <w:szCs w:val="18"/>
          <w:lang w:val="en-GB"/>
        </w:rPr>
        <w:t>name of the independent body</w:t>
      </w:r>
      <w:r w:rsidRPr="00E16241">
        <w:rPr>
          <w:sz w:val="18"/>
          <w:szCs w:val="18"/>
          <w:lang w:val="en-GB"/>
        </w:rPr>
        <w:t>] under article 67 of this Law or an application or appeal to the [</w:t>
      </w:r>
      <w:r w:rsidR="005D2032">
        <w:rPr>
          <w:i/>
          <w:iCs/>
          <w:sz w:val="18"/>
          <w:szCs w:val="18"/>
          <w:lang w:val="en-GB"/>
        </w:rPr>
        <w:t>name of the Court or C</w:t>
      </w:r>
      <w:r w:rsidRPr="00E16241">
        <w:rPr>
          <w:i/>
          <w:iCs/>
          <w:sz w:val="18"/>
          <w:szCs w:val="18"/>
          <w:lang w:val="en-GB"/>
        </w:rPr>
        <w:t>ourts</w:t>
      </w:r>
      <w:r w:rsidRPr="00E16241">
        <w:rPr>
          <w:sz w:val="18"/>
          <w:szCs w:val="18"/>
          <w:lang w:val="en-GB"/>
        </w:rPr>
        <w:t>]</w:t>
      </w:r>
      <w:r>
        <w:rPr>
          <w:sz w:val="18"/>
          <w:szCs w:val="18"/>
          <w:lang w:val="en-GB"/>
        </w:rPr>
        <w:t xml:space="preserve"> </w:t>
      </w:r>
      <w:r w:rsidRPr="00E16241">
        <w:rPr>
          <w:sz w:val="18"/>
          <w:szCs w:val="18"/>
          <w:lang w:val="en-GB"/>
        </w:rPr>
        <w:t>»</w:t>
      </w:r>
      <w:r>
        <w:rPr>
          <w:sz w:val="18"/>
          <w:szCs w:val="18"/>
          <w:lang w:val="en-GB"/>
        </w:rPr>
        <w:t>.</w:t>
      </w:r>
    </w:p>
  </w:footnote>
  <w:footnote w:id="18">
    <w:p w14:paraId="6C12EF59" w14:textId="77777777" w:rsidR="000C343A" w:rsidRPr="0092198B" w:rsidRDefault="000C343A" w:rsidP="003E7603">
      <w:pPr>
        <w:pStyle w:val="FootnoteText"/>
        <w:ind w:left="284" w:hanging="284"/>
        <w:jc w:val="both"/>
        <w:rPr>
          <w:lang w:val="en-GB"/>
        </w:rPr>
      </w:pPr>
      <w:r w:rsidRPr="00E16241">
        <w:rPr>
          <w:rStyle w:val="FootnoteReference"/>
          <w:sz w:val="18"/>
          <w:szCs w:val="18"/>
          <w:lang w:val="en-GB"/>
        </w:rPr>
        <w:footnoteRef/>
      </w:r>
      <w:r w:rsidRPr="00E16241">
        <w:rPr>
          <w:sz w:val="18"/>
          <w:szCs w:val="18"/>
          <w:lang w:val="en-GB"/>
        </w:rPr>
        <w:t xml:space="preserve"> </w:t>
      </w:r>
      <w:r>
        <w:rPr>
          <w:sz w:val="18"/>
          <w:szCs w:val="18"/>
          <w:lang w:val="en-GB"/>
        </w:rPr>
        <w:tab/>
      </w:r>
      <w:r w:rsidRPr="00E16241">
        <w:rPr>
          <w:sz w:val="18"/>
          <w:szCs w:val="18"/>
          <w:lang w:val="en-GB"/>
        </w:rPr>
        <w:t>T</w:t>
      </w:r>
      <w:r>
        <w:rPr>
          <w:sz w:val="18"/>
          <w:szCs w:val="18"/>
          <w:lang w:val="en-GB"/>
        </w:rPr>
        <w:t>he same happens in the African c</w:t>
      </w:r>
      <w:r w:rsidRPr="00E16241">
        <w:rPr>
          <w:sz w:val="18"/>
          <w:szCs w:val="18"/>
          <w:lang w:val="en-GB"/>
        </w:rPr>
        <w:t xml:space="preserve">ountries covered in </w:t>
      </w:r>
      <w:r w:rsidRPr="005E52D4">
        <w:rPr>
          <w:smallCaps/>
          <w:sz w:val="18"/>
          <w:szCs w:val="18"/>
          <w:lang w:val="en-GB"/>
        </w:rPr>
        <w:t xml:space="preserve">G. </w:t>
      </w:r>
      <w:proofErr w:type="spellStart"/>
      <w:r w:rsidRPr="005E52D4">
        <w:rPr>
          <w:smallCaps/>
          <w:sz w:val="18"/>
          <w:szCs w:val="18"/>
          <w:lang w:val="en-GB"/>
        </w:rPr>
        <w:t>Quinot</w:t>
      </w:r>
      <w:proofErr w:type="spellEnd"/>
      <w:r w:rsidRPr="00E16241">
        <w:rPr>
          <w:sz w:val="18"/>
          <w:szCs w:val="18"/>
          <w:lang w:val="en-GB"/>
        </w:rPr>
        <w:t xml:space="preserve">, </w:t>
      </w:r>
      <w:r w:rsidRPr="00C63C91">
        <w:rPr>
          <w:sz w:val="18"/>
          <w:szCs w:val="18"/>
          <w:lang w:val="en-GB"/>
        </w:rPr>
        <w:t>« </w:t>
      </w:r>
      <w:r w:rsidRPr="007D2640">
        <w:rPr>
          <w:sz w:val="18"/>
          <w:szCs w:val="18"/>
          <w:lang w:val="en-GB"/>
        </w:rPr>
        <w:t>A comparative perspective on supplier remedies in African public procurement systems</w:t>
      </w:r>
      <w:r>
        <w:rPr>
          <w:sz w:val="18"/>
          <w:szCs w:val="18"/>
          <w:lang w:val="en-GB"/>
        </w:rPr>
        <w:t xml:space="preserve"> </w:t>
      </w:r>
      <w:r w:rsidRPr="00C63C91">
        <w:rPr>
          <w:sz w:val="18"/>
          <w:szCs w:val="18"/>
          <w:lang w:val="en-GB"/>
        </w:rPr>
        <w:t>»</w:t>
      </w:r>
      <w:r w:rsidRPr="00E16241">
        <w:rPr>
          <w:sz w:val="18"/>
          <w:szCs w:val="18"/>
          <w:lang w:val="en-GB"/>
        </w:rPr>
        <w:t xml:space="preserve">, </w:t>
      </w:r>
      <w:r w:rsidRPr="009B029E">
        <w:rPr>
          <w:i/>
          <w:sz w:val="18"/>
          <w:szCs w:val="18"/>
          <w:lang w:val="en-GB"/>
        </w:rPr>
        <w:t>in</w:t>
      </w:r>
      <w:r w:rsidRPr="00E16241">
        <w:rPr>
          <w:sz w:val="18"/>
          <w:szCs w:val="18"/>
          <w:lang w:val="en-GB"/>
        </w:rPr>
        <w:t xml:space="preserve"> </w:t>
      </w:r>
      <w:r w:rsidRPr="005E52D4">
        <w:rPr>
          <w:smallCaps/>
          <w:sz w:val="18"/>
          <w:szCs w:val="18"/>
          <w:lang w:val="en-GB"/>
        </w:rPr>
        <w:t xml:space="preserve">G. </w:t>
      </w:r>
      <w:proofErr w:type="spellStart"/>
      <w:r w:rsidRPr="005E52D4">
        <w:rPr>
          <w:smallCaps/>
          <w:sz w:val="18"/>
          <w:szCs w:val="18"/>
          <w:lang w:val="en-GB"/>
        </w:rPr>
        <w:t>Quinot</w:t>
      </w:r>
      <w:proofErr w:type="spellEnd"/>
      <w:r w:rsidRPr="005E52D4">
        <w:rPr>
          <w:smallCaps/>
          <w:sz w:val="18"/>
          <w:szCs w:val="18"/>
          <w:lang w:val="en-GB"/>
        </w:rPr>
        <w:t xml:space="preserve"> </w:t>
      </w:r>
      <w:r w:rsidRPr="005E52D4">
        <w:rPr>
          <w:sz w:val="18"/>
          <w:szCs w:val="18"/>
          <w:lang w:val="en-GB"/>
        </w:rPr>
        <w:t>and</w:t>
      </w:r>
      <w:r w:rsidRPr="005E52D4">
        <w:rPr>
          <w:smallCaps/>
          <w:sz w:val="18"/>
          <w:szCs w:val="18"/>
          <w:lang w:val="en-GB"/>
        </w:rPr>
        <w:t xml:space="preserve"> S. Arrowsmith</w:t>
      </w:r>
      <w:r w:rsidRPr="00E16241">
        <w:rPr>
          <w:sz w:val="18"/>
          <w:szCs w:val="18"/>
          <w:lang w:val="en-GB"/>
        </w:rPr>
        <w:t xml:space="preserve">, </w:t>
      </w:r>
      <w:r w:rsidRPr="00E16241">
        <w:rPr>
          <w:i/>
          <w:sz w:val="18"/>
          <w:szCs w:val="18"/>
          <w:lang w:val="en-GB"/>
        </w:rPr>
        <w:t>Public procurement Regulation in Africa</w:t>
      </w:r>
      <w:r w:rsidRPr="00E16241">
        <w:rPr>
          <w:sz w:val="18"/>
          <w:szCs w:val="18"/>
          <w:lang w:val="en-GB"/>
        </w:rPr>
        <w:t>, Cambridge, Cambridge University Press, 2013, p</w:t>
      </w:r>
      <w:r>
        <w:rPr>
          <w:sz w:val="18"/>
          <w:szCs w:val="18"/>
          <w:lang w:val="en-GB"/>
        </w:rPr>
        <w:t xml:space="preserve">. </w:t>
      </w:r>
      <w:r w:rsidRPr="00E16241">
        <w:rPr>
          <w:sz w:val="18"/>
          <w:szCs w:val="18"/>
          <w:lang w:val="en-GB"/>
        </w:rPr>
        <w:t xml:space="preserve">314-315.  </w:t>
      </w:r>
    </w:p>
  </w:footnote>
  <w:footnote w:id="19">
    <w:p w14:paraId="2D752ABC" w14:textId="77777777" w:rsidR="000C343A" w:rsidRPr="0092198B" w:rsidRDefault="000C343A" w:rsidP="003E7603">
      <w:pPr>
        <w:pStyle w:val="FootnoteText"/>
        <w:ind w:left="284" w:hanging="284"/>
        <w:jc w:val="both"/>
        <w:rPr>
          <w:lang w:val="en-GB"/>
        </w:rPr>
      </w:pPr>
      <w:r w:rsidRPr="00E16241">
        <w:rPr>
          <w:rStyle w:val="FootnoteReference"/>
          <w:sz w:val="18"/>
          <w:szCs w:val="18"/>
          <w:lang w:val="en-GB"/>
        </w:rPr>
        <w:footnoteRef/>
      </w:r>
      <w:r w:rsidRPr="00E16241">
        <w:rPr>
          <w:sz w:val="18"/>
          <w:szCs w:val="18"/>
          <w:lang w:val="en-GB"/>
        </w:rPr>
        <w:t xml:space="preserve"> </w:t>
      </w:r>
      <w:r>
        <w:rPr>
          <w:sz w:val="18"/>
          <w:szCs w:val="18"/>
          <w:lang w:val="en-GB"/>
        </w:rPr>
        <w:tab/>
      </w:r>
      <w:r w:rsidRPr="00E16241">
        <w:rPr>
          <w:sz w:val="18"/>
          <w:szCs w:val="18"/>
          <w:lang w:val="en-GB"/>
        </w:rPr>
        <w:t xml:space="preserve">Also </w:t>
      </w:r>
      <w:r w:rsidRPr="005E52D4">
        <w:rPr>
          <w:smallCaps/>
          <w:sz w:val="18"/>
          <w:szCs w:val="18"/>
          <w:lang w:val="en-GB"/>
        </w:rPr>
        <w:t xml:space="preserve">G. </w:t>
      </w:r>
      <w:proofErr w:type="spellStart"/>
      <w:r w:rsidRPr="005E52D4">
        <w:rPr>
          <w:smallCaps/>
          <w:sz w:val="18"/>
          <w:szCs w:val="18"/>
          <w:lang w:val="en-GB"/>
        </w:rPr>
        <w:t>Quinot</w:t>
      </w:r>
      <w:proofErr w:type="spellEnd"/>
      <w:r w:rsidRPr="00E16241">
        <w:rPr>
          <w:sz w:val="18"/>
          <w:szCs w:val="18"/>
          <w:lang w:val="en-GB"/>
        </w:rPr>
        <w:t xml:space="preserve">, </w:t>
      </w:r>
      <w:r w:rsidRPr="00C63C91">
        <w:rPr>
          <w:sz w:val="18"/>
          <w:szCs w:val="18"/>
          <w:lang w:val="en-GB"/>
        </w:rPr>
        <w:t>« </w:t>
      </w:r>
      <w:r w:rsidRPr="007D2640">
        <w:rPr>
          <w:sz w:val="18"/>
          <w:szCs w:val="18"/>
          <w:lang w:val="en-GB"/>
        </w:rPr>
        <w:t>A comparative perspective on supplier remedies in African public procurement systems</w:t>
      </w:r>
      <w:r>
        <w:rPr>
          <w:sz w:val="18"/>
          <w:szCs w:val="18"/>
          <w:lang w:val="en-GB"/>
        </w:rPr>
        <w:t xml:space="preserve"> </w:t>
      </w:r>
      <w:r w:rsidRPr="00C63C91">
        <w:rPr>
          <w:sz w:val="18"/>
          <w:szCs w:val="18"/>
          <w:lang w:val="en-GB"/>
        </w:rPr>
        <w:t>»</w:t>
      </w:r>
      <w:r w:rsidRPr="00E16241">
        <w:rPr>
          <w:sz w:val="18"/>
          <w:szCs w:val="18"/>
          <w:lang w:val="en-GB"/>
        </w:rPr>
        <w:t xml:space="preserve">, </w:t>
      </w:r>
      <w:r w:rsidRPr="009B029E">
        <w:rPr>
          <w:i/>
          <w:sz w:val="18"/>
          <w:szCs w:val="18"/>
          <w:lang w:val="en-GB"/>
        </w:rPr>
        <w:t>in</w:t>
      </w:r>
      <w:r w:rsidRPr="00E16241">
        <w:rPr>
          <w:sz w:val="18"/>
          <w:szCs w:val="18"/>
          <w:lang w:val="en-GB"/>
        </w:rPr>
        <w:t xml:space="preserve"> </w:t>
      </w:r>
      <w:r w:rsidRPr="005E52D4">
        <w:rPr>
          <w:smallCaps/>
          <w:sz w:val="18"/>
          <w:szCs w:val="18"/>
          <w:lang w:val="en-GB"/>
        </w:rPr>
        <w:t xml:space="preserve">G. </w:t>
      </w:r>
      <w:proofErr w:type="spellStart"/>
      <w:r w:rsidRPr="005E52D4">
        <w:rPr>
          <w:smallCaps/>
          <w:sz w:val="18"/>
          <w:szCs w:val="18"/>
          <w:lang w:val="en-GB"/>
        </w:rPr>
        <w:t>Quinot</w:t>
      </w:r>
      <w:proofErr w:type="spellEnd"/>
      <w:r w:rsidRPr="005E52D4">
        <w:rPr>
          <w:smallCaps/>
          <w:sz w:val="18"/>
          <w:szCs w:val="18"/>
          <w:lang w:val="en-GB"/>
        </w:rPr>
        <w:t xml:space="preserve"> </w:t>
      </w:r>
      <w:r w:rsidRPr="005E52D4">
        <w:rPr>
          <w:sz w:val="18"/>
          <w:szCs w:val="18"/>
          <w:lang w:val="en-GB"/>
        </w:rPr>
        <w:t>and</w:t>
      </w:r>
      <w:r w:rsidRPr="005E52D4">
        <w:rPr>
          <w:smallCaps/>
          <w:sz w:val="18"/>
          <w:szCs w:val="18"/>
          <w:lang w:val="en-GB"/>
        </w:rPr>
        <w:t xml:space="preserve"> S. Arrowsmith</w:t>
      </w:r>
      <w:r w:rsidRPr="00E16241">
        <w:rPr>
          <w:sz w:val="18"/>
          <w:szCs w:val="18"/>
          <w:lang w:val="en-GB"/>
        </w:rPr>
        <w:t xml:space="preserve">, </w:t>
      </w:r>
      <w:r w:rsidRPr="00E16241">
        <w:rPr>
          <w:i/>
          <w:sz w:val="18"/>
          <w:szCs w:val="18"/>
          <w:lang w:val="en-GB"/>
        </w:rPr>
        <w:t>Public procurement Regulation in Africa</w:t>
      </w:r>
      <w:r w:rsidRPr="00E16241">
        <w:rPr>
          <w:sz w:val="18"/>
          <w:szCs w:val="18"/>
          <w:lang w:val="en-GB"/>
        </w:rPr>
        <w:t>, Cambridge, Cambridge University Press, 2013, p</w:t>
      </w:r>
      <w:r>
        <w:rPr>
          <w:sz w:val="18"/>
          <w:szCs w:val="18"/>
          <w:lang w:val="en-GB"/>
        </w:rPr>
        <w:t xml:space="preserve">. </w:t>
      </w:r>
      <w:r w:rsidRPr="00E16241">
        <w:rPr>
          <w:sz w:val="18"/>
          <w:szCs w:val="18"/>
          <w:lang w:val="en-GB"/>
        </w:rPr>
        <w:t>313, notes that “</w:t>
      </w:r>
      <w:r w:rsidRPr="007D2640">
        <w:rPr>
          <w:sz w:val="18"/>
          <w:szCs w:val="18"/>
          <w:lang w:val="en-GB"/>
        </w:rPr>
        <w:t>The trend seems to be for Courts rarely to use their supervisory function over procurement, despite the notional existence of their review/appeal powers</w:t>
      </w:r>
      <w:r w:rsidRPr="00E16241">
        <w:rPr>
          <w:sz w:val="18"/>
          <w:szCs w:val="18"/>
          <w:lang w:val="en-GB"/>
        </w:rPr>
        <w:t>” and blames for that the delays, the recent origin of judicial remedies with consequent incompetence and, finally, the extensive admi</w:t>
      </w:r>
      <w:r>
        <w:rPr>
          <w:sz w:val="18"/>
          <w:szCs w:val="18"/>
          <w:lang w:val="en-GB"/>
        </w:rPr>
        <w:t>nistrative review mechanism.</w:t>
      </w:r>
    </w:p>
  </w:footnote>
  <w:footnote w:id="20">
    <w:p w14:paraId="02F53C73" w14:textId="77777777" w:rsidR="000C343A" w:rsidRPr="0092198B" w:rsidRDefault="000C343A" w:rsidP="003E7603">
      <w:pPr>
        <w:pStyle w:val="FootnoteText"/>
        <w:ind w:left="284" w:hanging="284"/>
        <w:jc w:val="both"/>
        <w:rPr>
          <w:lang w:val="en-GB"/>
        </w:rPr>
      </w:pPr>
      <w:r w:rsidRPr="00E16241">
        <w:rPr>
          <w:rStyle w:val="FootnoteReference"/>
          <w:sz w:val="18"/>
          <w:szCs w:val="18"/>
          <w:lang w:val="en-GB"/>
        </w:rPr>
        <w:footnoteRef/>
      </w:r>
      <w:r w:rsidRPr="00E16241">
        <w:rPr>
          <w:sz w:val="18"/>
          <w:szCs w:val="18"/>
          <w:lang w:val="en-GB"/>
        </w:rPr>
        <w:t xml:space="preserve"> </w:t>
      </w:r>
      <w:r>
        <w:rPr>
          <w:sz w:val="18"/>
          <w:szCs w:val="18"/>
          <w:lang w:val="en-GB"/>
        </w:rPr>
        <w:tab/>
      </w:r>
      <w:r w:rsidRPr="00E16241">
        <w:rPr>
          <w:sz w:val="18"/>
          <w:szCs w:val="18"/>
          <w:lang w:val="en-GB"/>
        </w:rPr>
        <w:t xml:space="preserve">In Madagascar there in only one PRPP at national level, appointed by the </w:t>
      </w:r>
      <w:r>
        <w:rPr>
          <w:sz w:val="18"/>
          <w:szCs w:val="18"/>
          <w:lang w:val="en-GB"/>
        </w:rPr>
        <w:t>m</w:t>
      </w:r>
      <w:r w:rsidRPr="00E16241">
        <w:rPr>
          <w:sz w:val="18"/>
          <w:szCs w:val="18"/>
          <w:lang w:val="en-GB"/>
        </w:rPr>
        <w:t xml:space="preserve">inister, which can on his turn appoint delegates in the major national CAs and is subject to the spoil system, being changed every time a new government is in charge.  </w:t>
      </w:r>
    </w:p>
  </w:footnote>
  <w:footnote w:id="21">
    <w:p w14:paraId="151CCC91" w14:textId="77777777" w:rsidR="000C343A" w:rsidRPr="0092198B" w:rsidRDefault="000C343A" w:rsidP="009B029E">
      <w:pPr>
        <w:pStyle w:val="FootnoteText"/>
        <w:ind w:left="284" w:hanging="284"/>
        <w:jc w:val="both"/>
        <w:rPr>
          <w:lang w:val="fr-FR"/>
        </w:rPr>
      </w:pPr>
      <w:r w:rsidRPr="00E16241">
        <w:rPr>
          <w:rStyle w:val="FootnoteReference"/>
          <w:sz w:val="18"/>
          <w:szCs w:val="18"/>
        </w:rPr>
        <w:footnoteRef/>
      </w:r>
      <w:r w:rsidRPr="00E16241">
        <w:rPr>
          <w:sz w:val="18"/>
          <w:szCs w:val="18"/>
          <w:lang w:val="en-GB"/>
        </w:rPr>
        <w:t xml:space="preserve"> </w:t>
      </w:r>
      <w:r>
        <w:rPr>
          <w:sz w:val="18"/>
          <w:szCs w:val="18"/>
          <w:lang w:val="en-GB"/>
        </w:rPr>
        <w:tab/>
      </w:r>
      <w:r w:rsidRPr="00E16241">
        <w:rPr>
          <w:sz w:val="18"/>
          <w:szCs w:val="18"/>
          <w:lang w:val="en-GB"/>
        </w:rPr>
        <w:t xml:space="preserve">Namely the following are the </w:t>
      </w:r>
      <w:proofErr w:type="spellStart"/>
      <w:r w:rsidRPr="00E16241">
        <w:rPr>
          <w:sz w:val="18"/>
          <w:szCs w:val="18"/>
          <w:lang w:val="en-GB"/>
        </w:rPr>
        <w:t>the</w:t>
      </w:r>
      <w:proofErr w:type="spellEnd"/>
      <w:r w:rsidRPr="00E16241">
        <w:rPr>
          <w:sz w:val="18"/>
          <w:szCs w:val="18"/>
          <w:lang w:val="en-GB"/>
        </w:rPr>
        <w:t xml:space="preserve"> IAAs for the countries covered in this paper: </w:t>
      </w:r>
      <w:r>
        <w:rPr>
          <w:sz w:val="18"/>
          <w:szCs w:val="18"/>
          <w:lang w:val="en-GB"/>
        </w:rPr>
        <w:t>(</w:t>
      </w:r>
      <w:proofErr w:type="spellStart"/>
      <w:r>
        <w:rPr>
          <w:sz w:val="18"/>
          <w:szCs w:val="18"/>
          <w:lang w:val="en-GB"/>
        </w:rPr>
        <w:t>i</w:t>
      </w:r>
      <w:proofErr w:type="spellEnd"/>
      <w:r>
        <w:rPr>
          <w:sz w:val="18"/>
          <w:szCs w:val="18"/>
          <w:lang w:val="en-GB"/>
        </w:rPr>
        <w:t xml:space="preserve">.) </w:t>
      </w:r>
      <w:r w:rsidRPr="009B029E">
        <w:rPr>
          <w:i/>
          <w:iCs/>
          <w:sz w:val="18"/>
          <w:szCs w:val="18"/>
          <w:lang w:val="fr-FR"/>
        </w:rPr>
        <w:t xml:space="preserve">Autorité de </w:t>
      </w:r>
      <w:r>
        <w:rPr>
          <w:i/>
          <w:iCs/>
          <w:sz w:val="18"/>
          <w:szCs w:val="18"/>
          <w:lang w:val="fr-FR"/>
        </w:rPr>
        <w:t>régulation des m</w:t>
      </w:r>
      <w:r w:rsidRPr="009B029E">
        <w:rPr>
          <w:i/>
          <w:iCs/>
          <w:sz w:val="18"/>
          <w:szCs w:val="18"/>
          <w:lang w:val="fr-FR"/>
        </w:rPr>
        <w:t xml:space="preserve">archés </w:t>
      </w:r>
      <w:r>
        <w:rPr>
          <w:i/>
          <w:iCs/>
          <w:sz w:val="18"/>
          <w:szCs w:val="18"/>
          <w:lang w:val="fr-FR"/>
        </w:rPr>
        <w:t>p</w:t>
      </w:r>
      <w:r w:rsidRPr="009B029E">
        <w:rPr>
          <w:i/>
          <w:iCs/>
          <w:sz w:val="18"/>
          <w:szCs w:val="18"/>
          <w:lang w:val="fr-FR"/>
        </w:rPr>
        <w:t>ublics (ARMP)</w:t>
      </w:r>
      <w:r w:rsidRPr="009B029E">
        <w:rPr>
          <w:sz w:val="18"/>
          <w:szCs w:val="18"/>
          <w:lang w:val="fr-FR"/>
        </w:rPr>
        <w:t xml:space="preserve"> </w:t>
      </w:r>
      <w:r>
        <w:rPr>
          <w:sz w:val="18"/>
          <w:szCs w:val="18"/>
          <w:lang w:val="fr-FR"/>
        </w:rPr>
        <w:t>in</w:t>
      </w:r>
      <w:r w:rsidRPr="009B029E">
        <w:rPr>
          <w:sz w:val="18"/>
          <w:szCs w:val="18"/>
          <w:lang w:val="fr-FR"/>
        </w:rPr>
        <w:t xml:space="preserve"> Benin; </w:t>
      </w:r>
      <w:r>
        <w:rPr>
          <w:sz w:val="18"/>
          <w:szCs w:val="18"/>
          <w:lang w:val="fr-FR"/>
        </w:rPr>
        <w:t xml:space="preserve">(ii.) </w:t>
      </w:r>
      <w:r w:rsidRPr="00E16241">
        <w:rPr>
          <w:i/>
          <w:iCs/>
          <w:sz w:val="18"/>
          <w:szCs w:val="18"/>
          <w:lang w:val="fr-FR"/>
        </w:rPr>
        <w:t xml:space="preserve">Organe de règlement amiable des différends (ORAD) </w:t>
      </w:r>
      <w:r w:rsidRPr="00E16241">
        <w:rPr>
          <w:sz w:val="18"/>
          <w:szCs w:val="18"/>
          <w:lang w:val="fr-FR"/>
        </w:rPr>
        <w:t>of the</w:t>
      </w:r>
      <w:r w:rsidRPr="00E16241">
        <w:rPr>
          <w:i/>
          <w:iCs/>
          <w:sz w:val="18"/>
          <w:szCs w:val="18"/>
          <w:lang w:val="fr-FR"/>
        </w:rPr>
        <w:t xml:space="preserve"> Autorité de régulation de la commande publique (ARCOP) </w:t>
      </w:r>
      <w:r>
        <w:rPr>
          <w:sz w:val="18"/>
          <w:szCs w:val="18"/>
          <w:lang w:val="fr-FR"/>
        </w:rPr>
        <w:t>in</w:t>
      </w:r>
      <w:r w:rsidRPr="00E16241">
        <w:rPr>
          <w:sz w:val="18"/>
          <w:szCs w:val="18"/>
          <w:lang w:val="fr-FR"/>
        </w:rPr>
        <w:t xml:space="preserve"> Burkina Faso; </w:t>
      </w:r>
      <w:r>
        <w:rPr>
          <w:sz w:val="18"/>
          <w:szCs w:val="18"/>
          <w:lang w:val="fr-FR"/>
        </w:rPr>
        <w:t xml:space="preserve">(iii.) </w:t>
      </w:r>
      <w:r w:rsidRPr="00E16241">
        <w:rPr>
          <w:i/>
          <w:iCs/>
          <w:sz w:val="18"/>
          <w:szCs w:val="18"/>
          <w:lang w:val="fr-FR"/>
        </w:rPr>
        <w:t xml:space="preserve">Comité de </w:t>
      </w:r>
      <w:r>
        <w:rPr>
          <w:i/>
          <w:iCs/>
          <w:sz w:val="18"/>
          <w:szCs w:val="18"/>
          <w:lang w:val="fr-FR"/>
        </w:rPr>
        <w:t>r</w:t>
      </w:r>
      <w:r w:rsidRPr="00E16241">
        <w:rPr>
          <w:i/>
          <w:iCs/>
          <w:sz w:val="18"/>
          <w:szCs w:val="18"/>
          <w:lang w:val="fr-FR"/>
        </w:rPr>
        <w:t xml:space="preserve">èglement des </w:t>
      </w:r>
      <w:r>
        <w:rPr>
          <w:i/>
          <w:iCs/>
          <w:sz w:val="18"/>
          <w:szCs w:val="18"/>
          <w:lang w:val="fr-FR"/>
        </w:rPr>
        <w:t>d</w:t>
      </w:r>
      <w:r w:rsidRPr="00E16241">
        <w:rPr>
          <w:i/>
          <w:iCs/>
          <w:sz w:val="18"/>
          <w:szCs w:val="18"/>
          <w:lang w:val="fr-FR"/>
        </w:rPr>
        <w:t xml:space="preserve">ifférends (CRD) </w:t>
      </w:r>
      <w:r w:rsidRPr="00E16241">
        <w:rPr>
          <w:sz w:val="18"/>
          <w:szCs w:val="18"/>
          <w:lang w:val="fr-FR"/>
        </w:rPr>
        <w:t xml:space="preserve">of the </w:t>
      </w:r>
      <w:r>
        <w:rPr>
          <w:i/>
          <w:iCs/>
          <w:sz w:val="18"/>
          <w:szCs w:val="18"/>
          <w:lang w:val="fr-FR"/>
        </w:rPr>
        <w:t>Autorité de r</w:t>
      </w:r>
      <w:r w:rsidRPr="00E16241">
        <w:rPr>
          <w:i/>
          <w:iCs/>
          <w:sz w:val="18"/>
          <w:szCs w:val="18"/>
          <w:lang w:val="fr-FR"/>
        </w:rPr>
        <w:t xml:space="preserve">égulation des </w:t>
      </w:r>
      <w:r>
        <w:rPr>
          <w:i/>
          <w:iCs/>
          <w:sz w:val="18"/>
          <w:szCs w:val="18"/>
          <w:lang w:val="fr-FR"/>
        </w:rPr>
        <w:t>m</w:t>
      </w:r>
      <w:r w:rsidRPr="00E16241">
        <w:rPr>
          <w:i/>
          <w:iCs/>
          <w:sz w:val="18"/>
          <w:szCs w:val="18"/>
          <w:lang w:val="fr-FR"/>
        </w:rPr>
        <w:t xml:space="preserve">archés </w:t>
      </w:r>
      <w:r>
        <w:rPr>
          <w:i/>
          <w:iCs/>
          <w:sz w:val="18"/>
          <w:szCs w:val="18"/>
          <w:lang w:val="fr-FR"/>
        </w:rPr>
        <w:t>p</w:t>
      </w:r>
      <w:r w:rsidRPr="00E16241">
        <w:rPr>
          <w:i/>
          <w:iCs/>
          <w:sz w:val="18"/>
          <w:szCs w:val="18"/>
          <w:lang w:val="fr-FR"/>
        </w:rPr>
        <w:t>ublics (ARMP)</w:t>
      </w:r>
      <w:r w:rsidRPr="00E16241">
        <w:rPr>
          <w:sz w:val="18"/>
          <w:szCs w:val="18"/>
          <w:lang w:val="fr-FR"/>
        </w:rPr>
        <w:t xml:space="preserve"> </w:t>
      </w:r>
      <w:r>
        <w:rPr>
          <w:sz w:val="18"/>
          <w:szCs w:val="18"/>
          <w:lang w:val="fr-FR"/>
        </w:rPr>
        <w:t>in</w:t>
      </w:r>
      <w:r w:rsidRPr="00E16241">
        <w:rPr>
          <w:sz w:val="18"/>
          <w:szCs w:val="18"/>
          <w:lang w:val="fr-FR"/>
        </w:rPr>
        <w:t xml:space="preserve"> Congo Brazzaville;</w:t>
      </w:r>
      <w:r>
        <w:rPr>
          <w:sz w:val="18"/>
          <w:szCs w:val="18"/>
          <w:lang w:val="fr-FR"/>
        </w:rPr>
        <w:t xml:space="preserve"> (iv.) </w:t>
      </w:r>
      <w:r w:rsidRPr="00E16241">
        <w:rPr>
          <w:i/>
          <w:iCs/>
          <w:sz w:val="18"/>
          <w:szCs w:val="18"/>
          <w:lang w:val="fr-FR"/>
        </w:rPr>
        <w:t xml:space="preserve">Section de </w:t>
      </w:r>
      <w:r>
        <w:rPr>
          <w:i/>
          <w:iCs/>
          <w:sz w:val="18"/>
          <w:szCs w:val="18"/>
          <w:lang w:val="fr-FR"/>
        </w:rPr>
        <w:t>r</w:t>
      </w:r>
      <w:r w:rsidRPr="00E16241">
        <w:rPr>
          <w:i/>
          <w:iCs/>
          <w:sz w:val="18"/>
          <w:szCs w:val="18"/>
          <w:lang w:val="fr-FR"/>
        </w:rPr>
        <w:t>ecours (SREC)</w:t>
      </w:r>
      <w:r w:rsidRPr="00E16241">
        <w:rPr>
          <w:sz w:val="18"/>
          <w:szCs w:val="18"/>
          <w:lang w:val="fr-FR"/>
        </w:rPr>
        <w:t xml:space="preserve"> of the </w:t>
      </w:r>
      <w:r w:rsidRPr="00E16241">
        <w:rPr>
          <w:i/>
          <w:iCs/>
          <w:sz w:val="18"/>
          <w:szCs w:val="18"/>
          <w:lang w:val="fr-FR"/>
        </w:rPr>
        <w:t xml:space="preserve">Autorité de </w:t>
      </w:r>
      <w:r>
        <w:rPr>
          <w:i/>
          <w:iCs/>
          <w:sz w:val="18"/>
          <w:szCs w:val="18"/>
          <w:lang w:val="fr-FR"/>
        </w:rPr>
        <w:t>régulation des m</w:t>
      </w:r>
      <w:r w:rsidRPr="00E16241">
        <w:rPr>
          <w:i/>
          <w:iCs/>
          <w:sz w:val="18"/>
          <w:szCs w:val="18"/>
          <w:lang w:val="fr-FR"/>
        </w:rPr>
        <w:t xml:space="preserve">archés </w:t>
      </w:r>
      <w:r>
        <w:rPr>
          <w:i/>
          <w:iCs/>
          <w:sz w:val="18"/>
          <w:szCs w:val="18"/>
          <w:lang w:val="fr-FR"/>
        </w:rPr>
        <w:t>p</w:t>
      </w:r>
      <w:r w:rsidRPr="00E16241">
        <w:rPr>
          <w:i/>
          <w:iCs/>
          <w:sz w:val="18"/>
          <w:szCs w:val="18"/>
          <w:lang w:val="fr-FR"/>
        </w:rPr>
        <w:t xml:space="preserve">ublics (ARMP) </w:t>
      </w:r>
      <w:r>
        <w:rPr>
          <w:sz w:val="18"/>
          <w:szCs w:val="18"/>
          <w:lang w:val="fr-FR"/>
        </w:rPr>
        <w:t>in</w:t>
      </w:r>
      <w:r w:rsidRPr="00E16241">
        <w:rPr>
          <w:sz w:val="18"/>
          <w:szCs w:val="18"/>
          <w:lang w:val="fr-FR"/>
        </w:rPr>
        <w:t xml:space="preserve"> Madagascar;</w:t>
      </w:r>
      <w:r>
        <w:rPr>
          <w:sz w:val="18"/>
          <w:szCs w:val="18"/>
          <w:lang w:val="fr-FR"/>
        </w:rPr>
        <w:t xml:space="preserve"> (v.) </w:t>
      </w:r>
      <w:r w:rsidRPr="00596DB6">
        <w:rPr>
          <w:sz w:val="18"/>
          <w:szCs w:val="18"/>
          <w:lang w:val="en-GB"/>
        </w:rPr>
        <w:t xml:space="preserve">Independent review panel (IRP) in Mauritius; (vi.) </w:t>
      </w:r>
      <w:r w:rsidRPr="009B029E">
        <w:rPr>
          <w:sz w:val="18"/>
          <w:szCs w:val="18"/>
          <w:lang w:val="en-GB"/>
        </w:rPr>
        <w:t xml:space="preserve">Remedies committee </w:t>
      </w:r>
      <w:r>
        <w:rPr>
          <w:sz w:val="18"/>
          <w:szCs w:val="18"/>
          <w:lang w:val="en-GB"/>
        </w:rPr>
        <w:t>in</w:t>
      </w:r>
      <w:r w:rsidRPr="009B029E">
        <w:rPr>
          <w:sz w:val="18"/>
          <w:szCs w:val="18"/>
          <w:lang w:val="en-GB"/>
        </w:rPr>
        <w:t xml:space="preserve"> Sudan; (vii.) </w:t>
      </w:r>
      <w:r w:rsidR="00A37872">
        <w:rPr>
          <w:sz w:val="18"/>
          <w:szCs w:val="18"/>
          <w:lang w:val="fr-FR"/>
        </w:rPr>
        <w:t xml:space="preserve">Public </w:t>
      </w:r>
      <w:proofErr w:type="spellStart"/>
      <w:r w:rsidR="00A37872">
        <w:rPr>
          <w:sz w:val="18"/>
          <w:szCs w:val="18"/>
          <w:lang w:val="fr-FR"/>
        </w:rPr>
        <w:t>procurement</w:t>
      </w:r>
      <w:proofErr w:type="spellEnd"/>
      <w:r w:rsidR="00A37872">
        <w:rPr>
          <w:sz w:val="18"/>
          <w:szCs w:val="18"/>
          <w:lang w:val="fr-FR"/>
        </w:rPr>
        <w:t xml:space="preserve"> </w:t>
      </w:r>
      <w:proofErr w:type="spellStart"/>
      <w:r w:rsidR="00A37872">
        <w:rPr>
          <w:sz w:val="18"/>
          <w:szCs w:val="18"/>
          <w:lang w:val="fr-FR"/>
        </w:rPr>
        <w:t>appeals</w:t>
      </w:r>
      <w:proofErr w:type="spellEnd"/>
      <w:r w:rsidR="00A37872">
        <w:rPr>
          <w:sz w:val="18"/>
          <w:szCs w:val="18"/>
          <w:lang w:val="fr-FR"/>
        </w:rPr>
        <w:t xml:space="preserve"> </w:t>
      </w:r>
      <w:proofErr w:type="spellStart"/>
      <w:r w:rsidR="00A37872">
        <w:rPr>
          <w:sz w:val="18"/>
          <w:szCs w:val="18"/>
          <w:lang w:val="fr-FR"/>
        </w:rPr>
        <w:t>a</w:t>
      </w:r>
      <w:r w:rsidRPr="00596DB6">
        <w:rPr>
          <w:sz w:val="18"/>
          <w:szCs w:val="18"/>
          <w:lang w:val="fr-FR"/>
        </w:rPr>
        <w:t>uthority</w:t>
      </w:r>
      <w:proofErr w:type="spellEnd"/>
      <w:r w:rsidRPr="00596DB6">
        <w:rPr>
          <w:sz w:val="18"/>
          <w:szCs w:val="18"/>
          <w:lang w:val="fr-FR"/>
        </w:rPr>
        <w:t xml:space="preserve"> (PPAA) in </w:t>
      </w:r>
      <w:proofErr w:type="spellStart"/>
      <w:r w:rsidRPr="00596DB6">
        <w:rPr>
          <w:sz w:val="18"/>
          <w:szCs w:val="18"/>
          <w:lang w:val="fr-FR"/>
        </w:rPr>
        <w:t>Tanzania</w:t>
      </w:r>
      <w:proofErr w:type="spellEnd"/>
      <w:r w:rsidRPr="00596DB6">
        <w:rPr>
          <w:sz w:val="18"/>
          <w:szCs w:val="18"/>
          <w:lang w:val="fr-FR"/>
        </w:rPr>
        <w:t xml:space="preserve">; (viii.) </w:t>
      </w:r>
      <w:r w:rsidRPr="00E16241">
        <w:rPr>
          <w:i/>
          <w:iCs/>
          <w:sz w:val="18"/>
          <w:szCs w:val="18"/>
          <w:lang w:val="fr-FR"/>
        </w:rPr>
        <w:t xml:space="preserve">Comité de </w:t>
      </w:r>
      <w:r>
        <w:rPr>
          <w:i/>
          <w:iCs/>
          <w:sz w:val="18"/>
          <w:szCs w:val="18"/>
          <w:lang w:val="fr-FR"/>
        </w:rPr>
        <w:t>r</w:t>
      </w:r>
      <w:r w:rsidRPr="00E16241">
        <w:rPr>
          <w:i/>
          <w:iCs/>
          <w:sz w:val="18"/>
          <w:szCs w:val="18"/>
          <w:lang w:val="fr-FR"/>
        </w:rPr>
        <w:t xml:space="preserve">èglement des </w:t>
      </w:r>
      <w:r>
        <w:rPr>
          <w:i/>
          <w:iCs/>
          <w:sz w:val="18"/>
          <w:szCs w:val="18"/>
          <w:lang w:val="fr-FR"/>
        </w:rPr>
        <w:t>d</w:t>
      </w:r>
      <w:r w:rsidRPr="00E16241">
        <w:rPr>
          <w:i/>
          <w:iCs/>
          <w:sz w:val="18"/>
          <w:szCs w:val="18"/>
          <w:lang w:val="fr-FR"/>
        </w:rPr>
        <w:t>ifférends (CRD)</w:t>
      </w:r>
      <w:r w:rsidRPr="00E16241">
        <w:rPr>
          <w:sz w:val="18"/>
          <w:szCs w:val="18"/>
          <w:lang w:val="fr-FR"/>
        </w:rPr>
        <w:t xml:space="preserve"> of the </w:t>
      </w:r>
      <w:r>
        <w:rPr>
          <w:i/>
          <w:iCs/>
          <w:sz w:val="18"/>
          <w:szCs w:val="18"/>
          <w:lang w:val="fr-FR"/>
        </w:rPr>
        <w:t>Autorité de régulation des m</w:t>
      </w:r>
      <w:r w:rsidRPr="00E16241">
        <w:rPr>
          <w:i/>
          <w:iCs/>
          <w:sz w:val="18"/>
          <w:szCs w:val="18"/>
          <w:lang w:val="fr-FR"/>
        </w:rPr>
        <w:t xml:space="preserve">archés </w:t>
      </w:r>
      <w:r>
        <w:rPr>
          <w:i/>
          <w:iCs/>
          <w:sz w:val="18"/>
          <w:szCs w:val="18"/>
          <w:lang w:val="fr-FR"/>
        </w:rPr>
        <w:t>p</w:t>
      </w:r>
      <w:r w:rsidRPr="00E16241">
        <w:rPr>
          <w:i/>
          <w:iCs/>
          <w:sz w:val="18"/>
          <w:szCs w:val="18"/>
          <w:lang w:val="fr-FR"/>
        </w:rPr>
        <w:t>ublics (ARMP)</w:t>
      </w:r>
      <w:r w:rsidRPr="00E16241">
        <w:rPr>
          <w:sz w:val="18"/>
          <w:szCs w:val="18"/>
          <w:lang w:val="fr-FR"/>
        </w:rPr>
        <w:t xml:space="preserve"> </w:t>
      </w:r>
      <w:r>
        <w:rPr>
          <w:sz w:val="18"/>
          <w:szCs w:val="18"/>
          <w:lang w:val="fr-FR"/>
        </w:rPr>
        <w:t>in</w:t>
      </w:r>
      <w:r w:rsidRPr="00E16241">
        <w:rPr>
          <w:sz w:val="18"/>
          <w:szCs w:val="18"/>
          <w:lang w:val="fr-FR"/>
        </w:rPr>
        <w:t xml:space="preserve"> Togo.</w:t>
      </w:r>
    </w:p>
  </w:footnote>
  <w:footnote w:id="22">
    <w:p w14:paraId="0CE0806B" w14:textId="77777777" w:rsidR="000C343A" w:rsidRPr="0092198B" w:rsidRDefault="000C343A" w:rsidP="003E7603">
      <w:pPr>
        <w:pStyle w:val="FootnoteText"/>
        <w:ind w:left="284" w:hanging="284"/>
        <w:jc w:val="both"/>
        <w:rPr>
          <w:lang w:val="en-US"/>
        </w:rPr>
      </w:pPr>
      <w:r w:rsidRPr="00E16241">
        <w:rPr>
          <w:rStyle w:val="FootnoteReference"/>
          <w:sz w:val="18"/>
          <w:szCs w:val="18"/>
        </w:rPr>
        <w:footnoteRef/>
      </w:r>
      <w:r w:rsidRPr="00E16241">
        <w:rPr>
          <w:sz w:val="18"/>
          <w:szCs w:val="18"/>
          <w:lang w:val="en-US"/>
        </w:rPr>
        <w:t xml:space="preserve"> </w:t>
      </w:r>
      <w:r>
        <w:rPr>
          <w:sz w:val="18"/>
          <w:szCs w:val="18"/>
          <w:lang w:val="en-US"/>
        </w:rPr>
        <w:tab/>
      </w:r>
      <w:r w:rsidRPr="00E16241">
        <w:rPr>
          <w:sz w:val="18"/>
          <w:szCs w:val="18"/>
          <w:lang w:val="en-US"/>
        </w:rPr>
        <w:t xml:space="preserve">For instance, the </w:t>
      </w:r>
      <w:proofErr w:type="spellStart"/>
      <w:r>
        <w:rPr>
          <w:i/>
          <w:sz w:val="18"/>
          <w:szCs w:val="18"/>
          <w:lang w:val="en-US"/>
        </w:rPr>
        <w:t>a</w:t>
      </w:r>
      <w:r w:rsidRPr="00E16241">
        <w:rPr>
          <w:i/>
          <w:sz w:val="18"/>
          <w:szCs w:val="18"/>
          <w:lang w:val="en-US"/>
        </w:rPr>
        <w:t>utorité</w:t>
      </w:r>
      <w:proofErr w:type="spellEnd"/>
      <w:r w:rsidRPr="00E16241">
        <w:rPr>
          <w:i/>
          <w:sz w:val="18"/>
          <w:szCs w:val="18"/>
          <w:lang w:val="en-US"/>
        </w:rPr>
        <w:t xml:space="preserve"> </w:t>
      </w:r>
      <w:r w:rsidRPr="00E16241">
        <w:rPr>
          <w:i/>
          <w:iCs/>
          <w:sz w:val="18"/>
          <w:szCs w:val="18"/>
          <w:lang w:val="en-US"/>
        </w:rPr>
        <w:t xml:space="preserve">de </w:t>
      </w:r>
      <w:proofErr w:type="spellStart"/>
      <w:r>
        <w:rPr>
          <w:i/>
          <w:iCs/>
          <w:sz w:val="18"/>
          <w:szCs w:val="18"/>
          <w:lang w:val="en-US"/>
        </w:rPr>
        <w:t>r</w:t>
      </w:r>
      <w:r w:rsidRPr="00E16241">
        <w:rPr>
          <w:i/>
          <w:iCs/>
          <w:sz w:val="18"/>
          <w:szCs w:val="18"/>
          <w:lang w:val="en-US"/>
        </w:rPr>
        <w:t>égulation</w:t>
      </w:r>
      <w:proofErr w:type="spellEnd"/>
      <w:r w:rsidRPr="00E16241">
        <w:rPr>
          <w:i/>
          <w:iCs/>
          <w:sz w:val="18"/>
          <w:szCs w:val="18"/>
          <w:lang w:val="en-US"/>
        </w:rPr>
        <w:t xml:space="preserve"> des </w:t>
      </w:r>
      <w:proofErr w:type="spellStart"/>
      <w:r>
        <w:rPr>
          <w:i/>
          <w:iCs/>
          <w:sz w:val="18"/>
          <w:szCs w:val="18"/>
          <w:lang w:val="en-US"/>
        </w:rPr>
        <w:t>m</w:t>
      </w:r>
      <w:r w:rsidRPr="00E16241">
        <w:rPr>
          <w:i/>
          <w:iCs/>
          <w:sz w:val="18"/>
          <w:szCs w:val="18"/>
          <w:lang w:val="en-US"/>
        </w:rPr>
        <w:t>archés</w:t>
      </w:r>
      <w:proofErr w:type="spellEnd"/>
      <w:r w:rsidRPr="00E16241">
        <w:rPr>
          <w:i/>
          <w:iCs/>
          <w:sz w:val="18"/>
          <w:szCs w:val="18"/>
          <w:lang w:val="en-US"/>
        </w:rPr>
        <w:t xml:space="preserve"> </w:t>
      </w:r>
      <w:r>
        <w:rPr>
          <w:i/>
          <w:iCs/>
          <w:sz w:val="18"/>
          <w:szCs w:val="18"/>
          <w:lang w:val="en-US"/>
        </w:rPr>
        <w:t>p</w:t>
      </w:r>
      <w:r w:rsidRPr="00E16241">
        <w:rPr>
          <w:i/>
          <w:iCs/>
          <w:sz w:val="18"/>
          <w:szCs w:val="18"/>
          <w:lang w:val="en-US"/>
        </w:rPr>
        <w:t xml:space="preserve">ublics </w:t>
      </w:r>
      <w:r w:rsidRPr="00E16241">
        <w:rPr>
          <w:iCs/>
          <w:sz w:val="18"/>
          <w:szCs w:val="18"/>
          <w:lang w:val="en-US"/>
        </w:rPr>
        <w:t>(</w:t>
      </w:r>
      <w:r w:rsidRPr="00E16241">
        <w:rPr>
          <w:i/>
          <w:iCs/>
          <w:sz w:val="18"/>
          <w:szCs w:val="18"/>
          <w:lang w:val="en-US"/>
        </w:rPr>
        <w:t>ARMP</w:t>
      </w:r>
      <w:r w:rsidRPr="00E16241">
        <w:rPr>
          <w:iCs/>
          <w:sz w:val="18"/>
          <w:szCs w:val="18"/>
          <w:lang w:val="en-US"/>
        </w:rPr>
        <w:t>)</w:t>
      </w:r>
      <w:r>
        <w:rPr>
          <w:sz w:val="18"/>
          <w:szCs w:val="18"/>
          <w:lang w:val="en-US"/>
        </w:rPr>
        <w:t xml:space="preserve"> in Be</w:t>
      </w:r>
      <w:r w:rsidRPr="00E16241">
        <w:rPr>
          <w:sz w:val="18"/>
          <w:szCs w:val="18"/>
          <w:lang w:val="en-US"/>
        </w:rPr>
        <w:t xml:space="preserve">nin published in a specific section of its website all its decisions (see https://armp.bj/index.php?option=com_k2&amp;view=itemlist&amp;layout=category&amp;task=category&amp;id=1&amp;Itemid=672, updated in 2016). The same is true for the </w:t>
      </w:r>
      <w:proofErr w:type="spellStart"/>
      <w:r w:rsidRPr="00E16241">
        <w:rPr>
          <w:i/>
          <w:sz w:val="18"/>
          <w:szCs w:val="18"/>
          <w:lang w:val="en-US"/>
        </w:rPr>
        <w:t>Organe</w:t>
      </w:r>
      <w:proofErr w:type="spellEnd"/>
      <w:r w:rsidRPr="00E16241">
        <w:rPr>
          <w:i/>
          <w:sz w:val="18"/>
          <w:szCs w:val="18"/>
          <w:lang w:val="en-US"/>
        </w:rPr>
        <w:t xml:space="preserve"> de </w:t>
      </w:r>
      <w:proofErr w:type="spellStart"/>
      <w:r w:rsidRPr="00E16241">
        <w:rPr>
          <w:i/>
          <w:sz w:val="18"/>
          <w:szCs w:val="18"/>
          <w:lang w:val="en-US"/>
        </w:rPr>
        <w:t>règlement</w:t>
      </w:r>
      <w:proofErr w:type="spellEnd"/>
      <w:r w:rsidRPr="00E16241">
        <w:rPr>
          <w:i/>
          <w:sz w:val="18"/>
          <w:szCs w:val="18"/>
          <w:lang w:val="en-US"/>
        </w:rPr>
        <w:t xml:space="preserve"> amiable des </w:t>
      </w:r>
      <w:proofErr w:type="spellStart"/>
      <w:r w:rsidRPr="00E16241">
        <w:rPr>
          <w:i/>
          <w:sz w:val="18"/>
          <w:szCs w:val="18"/>
          <w:lang w:val="en-US"/>
        </w:rPr>
        <w:t>différends</w:t>
      </w:r>
      <w:proofErr w:type="spellEnd"/>
      <w:r w:rsidRPr="00E16241">
        <w:rPr>
          <w:sz w:val="18"/>
          <w:szCs w:val="18"/>
          <w:lang w:val="en-US"/>
        </w:rPr>
        <w:t xml:space="preserve"> (</w:t>
      </w:r>
      <w:r w:rsidRPr="00E16241">
        <w:rPr>
          <w:i/>
          <w:sz w:val="18"/>
          <w:szCs w:val="18"/>
          <w:lang w:val="en-US"/>
        </w:rPr>
        <w:t>ORAD</w:t>
      </w:r>
      <w:r w:rsidRPr="00E16241">
        <w:rPr>
          <w:sz w:val="18"/>
          <w:szCs w:val="18"/>
          <w:lang w:val="en-US"/>
        </w:rPr>
        <w:t xml:space="preserve">) of the </w:t>
      </w:r>
      <w:proofErr w:type="spellStart"/>
      <w:r w:rsidRPr="00E16241">
        <w:rPr>
          <w:i/>
          <w:sz w:val="18"/>
          <w:szCs w:val="18"/>
          <w:lang w:val="en-US"/>
        </w:rPr>
        <w:t>Autorité</w:t>
      </w:r>
      <w:proofErr w:type="spellEnd"/>
      <w:r w:rsidRPr="00E16241">
        <w:rPr>
          <w:i/>
          <w:sz w:val="18"/>
          <w:szCs w:val="18"/>
          <w:lang w:val="en-US"/>
        </w:rPr>
        <w:t xml:space="preserve"> de </w:t>
      </w:r>
      <w:proofErr w:type="spellStart"/>
      <w:r w:rsidRPr="00E16241">
        <w:rPr>
          <w:i/>
          <w:sz w:val="18"/>
          <w:szCs w:val="18"/>
          <w:lang w:val="en-US"/>
        </w:rPr>
        <w:t>régulation</w:t>
      </w:r>
      <w:proofErr w:type="spellEnd"/>
      <w:r w:rsidRPr="00E16241">
        <w:rPr>
          <w:i/>
          <w:sz w:val="18"/>
          <w:szCs w:val="18"/>
          <w:lang w:val="en-US"/>
        </w:rPr>
        <w:t xml:space="preserve"> de la </w:t>
      </w:r>
      <w:proofErr w:type="spellStart"/>
      <w:r w:rsidRPr="00E16241">
        <w:rPr>
          <w:i/>
          <w:sz w:val="18"/>
          <w:szCs w:val="18"/>
          <w:lang w:val="en-US"/>
        </w:rPr>
        <w:t>commande</w:t>
      </w:r>
      <w:proofErr w:type="spellEnd"/>
      <w:r w:rsidRPr="00E16241">
        <w:rPr>
          <w:i/>
          <w:sz w:val="18"/>
          <w:szCs w:val="18"/>
          <w:lang w:val="en-US"/>
        </w:rPr>
        <w:t xml:space="preserve"> </w:t>
      </w:r>
      <w:proofErr w:type="spellStart"/>
      <w:r w:rsidRPr="00E16241">
        <w:rPr>
          <w:i/>
          <w:sz w:val="18"/>
          <w:szCs w:val="18"/>
          <w:lang w:val="en-US"/>
        </w:rPr>
        <w:t>publique</w:t>
      </w:r>
      <w:proofErr w:type="spellEnd"/>
      <w:r w:rsidRPr="00E16241">
        <w:rPr>
          <w:sz w:val="18"/>
          <w:szCs w:val="18"/>
          <w:lang w:val="en-US"/>
        </w:rPr>
        <w:t xml:space="preserve"> (</w:t>
      </w:r>
      <w:r w:rsidRPr="00E16241">
        <w:rPr>
          <w:i/>
          <w:sz w:val="18"/>
          <w:szCs w:val="18"/>
          <w:lang w:val="en-US"/>
        </w:rPr>
        <w:t>ARCOP</w:t>
      </w:r>
      <w:r w:rsidRPr="00E16241">
        <w:rPr>
          <w:sz w:val="18"/>
          <w:szCs w:val="18"/>
          <w:lang w:val="en-US"/>
        </w:rPr>
        <w:t xml:space="preserve">) </w:t>
      </w:r>
      <w:r>
        <w:rPr>
          <w:sz w:val="18"/>
          <w:szCs w:val="18"/>
          <w:lang w:val="en-US"/>
        </w:rPr>
        <w:t>in</w:t>
      </w:r>
      <w:r w:rsidRPr="00E16241">
        <w:rPr>
          <w:sz w:val="18"/>
          <w:szCs w:val="18"/>
          <w:lang w:val="en-US"/>
        </w:rPr>
        <w:t xml:space="preserve"> Burkina Faso (see http://arcop.bf/index.php/contestations, updated in 2016), the </w:t>
      </w:r>
      <w:r w:rsidRPr="00E16241">
        <w:rPr>
          <w:i/>
          <w:sz w:val="18"/>
          <w:szCs w:val="18"/>
          <w:lang w:val="en-US"/>
        </w:rPr>
        <w:t xml:space="preserve">Section de </w:t>
      </w:r>
      <w:proofErr w:type="spellStart"/>
      <w:r>
        <w:rPr>
          <w:i/>
          <w:sz w:val="18"/>
          <w:szCs w:val="18"/>
          <w:lang w:val="en-US"/>
        </w:rPr>
        <w:t>r</w:t>
      </w:r>
      <w:r w:rsidRPr="00E16241">
        <w:rPr>
          <w:i/>
          <w:sz w:val="18"/>
          <w:szCs w:val="18"/>
          <w:lang w:val="en-US"/>
        </w:rPr>
        <w:t>ecours</w:t>
      </w:r>
      <w:proofErr w:type="spellEnd"/>
      <w:r w:rsidRPr="00E16241">
        <w:rPr>
          <w:sz w:val="18"/>
          <w:szCs w:val="18"/>
          <w:lang w:val="en-US"/>
        </w:rPr>
        <w:t xml:space="preserve"> (</w:t>
      </w:r>
      <w:r w:rsidRPr="00E16241">
        <w:rPr>
          <w:i/>
          <w:sz w:val="18"/>
          <w:szCs w:val="18"/>
          <w:lang w:val="en-US"/>
        </w:rPr>
        <w:t>SREC</w:t>
      </w:r>
      <w:r w:rsidRPr="00E16241">
        <w:rPr>
          <w:sz w:val="18"/>
          <w:szCs w:val="18"/>
          <w:lang w:val="en-US"/>
        </w:rPr>
        <w:t xml:space="preserve">) of the </w:t>
      </w:r>
      <w:proofErr w:type="spellStart"/>
      <w:r w:rsidRPr="00E16241">
        <w:rPr>
          <w:i/>
          <w:sz w:val="18"/>
          <w:szCs w:val="18"/>
          <w:lang w:val="en-US"/>
        </w:rPr>
        <w:t>Autorité</w:t>
      </w:r>
      <w:proofErr w:type="spellEnd"/>
      <w:r w:rsidRPr="00E16241">
        <w:rPr>
          <w:i/>
          <w:sz w:val="18"/>
          <w:szCs w:val="18"/>
          <w:lang w:val="en-US"/>
        </w:rPr>
        <w:t xml:space="preserve"> de </w:t>
      </w:r>
      <w:proofErr w:type="spellStart"/>
      <w:r>
        <w:rPr>
          <w:i/>
          <w:sz w:val="18"/>
          <w:szCs w:val="18"/>
          <w:lang w:val="en-US"/>
        </w:rPr>
        <w:t>r</w:t>
      </w:r>
      <w:r w:rsidRPr="00E16241">
        <w:rPr>
          <w:i/>
          <w:sz w:val="18"/>
          <w:szCs w:val="18"/>
          <w:lang w:val="en-US"/>
        </w:rPr>
        <w:t>égulation</w:t>
      </w:r>
      <w:proofErr w:type="spellEnd"/>
      <w:r w:rsidRPr="00E16241">
        <w:rPr>
          <w:i/>
          <w:sz w:val="18"/>
          <w:szCs w:val="18"/>
          <w:lang w:val="en-US"/>
        </w:rPr>
        <w:t xml:space="preserve"> des </w:t>
      </w:r>
      <w:proofErr w:type="spellStart"/>
      <w:r>
        <w:rPr>
          <w:i/>
          <w:sz w:val="18"/>
          <w:szCs w:val="18"/>
          <w:lang w:val="en-US"/>
        </w:rPr>
        <w:t>m</w:t>
      </w:r>
      <w:r w:rsidRPr="00E16241">
        <w:rPr>
          <w:i/>
          <w:sz w:val="18"/>
          <w:szCs w:val="18"/>
          <w:lang w:val="en-US"/>
        </w:rPr>
        <w:t>archés</w:t>
      </w:r>
      <w:proofErr w:type="spellEnd"/>
      <w:r w:rsidRPr="00E16241">
        <w:rPr>
          <w:i/>
          <w:sz w:val="18"/>
          <w:szCs w:val="18"/>
          <w:lang w:val="en-US"/>
        </w:rPr>
        <w:t xml:space="preserve"> </w:t>
      </w:r>
      <w:r>
        <w:rPr>
          <w:i/>
          <w:sz w:val="18"/>
          <w:szCs w:val="18"/>
          <w:lang w:val="en-US"/>
        </w:rPr>
        <w:t>p</w:t>
      </w:r>
      <w:r w:rsidRPr="00E16241">
        <w:rPr>
          <w:i/>
          <w:sz w:val="18"/>
          <w:szCs w:val="18"/>
          <w:lang w:val="en-US"/>
        </w:rPr>
        <w:t>ublics</w:t>
      </w:r>
      <w:r w:rsidRPr="00E16241">
        <w:rPr>
          <w:sz w:val="18"/>
          <w:szCs w:val="18"/>
          <w:lang w:val="en-US"/>
        </w:rPr>
        <w:t xml:space="preserve"> (</w:t>
      </w:r>
      <w:r w:rsidRPr="00E16241">
        <w:rPr>
          <w:i/>
          <w:sz w:val="18"/>
          <w:szCs w:val="18"/>
          <w:lang w:val="en-US"/>
        </w:rPr>
        <w:t>ARMP</w:t>
      </w:r>
      <w:r w:rsidRPr="00E16241">
        <w:rPr>
          <w:sz w:val="18"/>
          <w:szCs w:val="18"/>
          <w:lang w:val="en-US"/>
        </w:rPr>
        <w:t xml:space="preserve">) of Madagascar (last decision is dated May 19, 2016, see  http://armp.mg/?q=d_cisions_sur_les_recours), the </w:t>
      </w:r>
      <w:proofErr w:type="spellStart"/>
      <w:r w:rsidRPr="00E16241">
        <w:rPr>
          <w:i/>
          <w:sz w:val="18"/>
          <w:szCs w:val="18"/>
          <w:lang w:val="en-US"/>
        </w:rPr>
        <w:t>Comité</w:t>
      </w:r>
      <w:proofErr w:type="spellEnd"/>
      <w:r w:rsidRPr="00E16241">
        <w:rPr>
          <w:i/>
          <w:sz w:val="18"/>
          <w:szCs w:val="18"/>
          <w:lang w:val="en-US"/>
        </w:rPr>
        <w:t xml:space="preserve"> de </w:t>
      </w:r>
      <w:proofErr w:type="spellStart"/>
      <w:r>
        <w:rPr>
          <w:i/>
          <w:sz w:val="18"/>
          <w:szCs w:val="18"/>
          <w:lang w:val="en-US"/>
        </w:rPr>
        <w:t>r</w:t>
      </w:r>
      <w:r w:rsidRPr="00E16241">
        <w:rPr>
          <w:i/>
          <w:sz w:val="18"/>
          <w:szCs w:val="18"/>
          <w:lang w:val="en-US"/>
        </w:rPr>
        <w:t>èglement</w:t>
      </w:r>
      <w:proofErr w:type="spellEnd"/>
      <w:r w:rsidRPr="00E16241">
        <w:rPr>
          <w:i/>
          <w:sz w:val="18"/>
          <w:szCs w:val="18"/>
          <w:lang w:val="en-US"/>
        </w:rPr>
        <w:t xml:space="preserve"> des </w:t>
      </w:r>
      <w:proofErr w:type="spellStart"/>
      <w:r>
        <w:rPr>
          <w:i/>
          <w:sz w:val="18"/>
          <w:szCs w:val="18"/>
          <w:lang w:val="en-US"/>
        </w:rPr>
        <w:t>d</w:t>
      </w:r>
      <w:r w:rsidRPr="00E16241">
        <w:rPr>
          <w:i/>
          <w:sz w:val="18"/>
          <w:szCs w:val="18"/>
          <w:lang w:val="en-US"/>
        </w:rPr>
        <w:t>ifférends</w:t>
      </w:r>
      <w:proofErr w:type="spellEnd"/>
      <w:r w:rsidRPr="00E16241">
        <w:rPr>
          <w:i/>
          <w:sz w:val="18"/>
          <w:szCs w:val="18"/>
          <w:lang w:val="en-US"/>
        </w:rPr>
        <w:t xml:space="preserve"> </w:t>
      </w:r>
      <w:r w:rsidRPr="00E16241">
        <w:rPr>
          <w:sz w:val="18"/>
          <w:szCs w:val="18"/>
          <w:lang w:val="en-US"/>
        </w:rPr>
        <w:t>(</w:t>
      </w:r>
      <w:r w:rsidRPr="00E16241">
        <w:rPr>
          <w:i/>
          <w:sz w:val="18"/>
          <w:szCs w:val="18"/>
          <w:lang w:val="en-US"/>
        </w:rPr>
        <w:t>CRD</w:t>
      </w:r>
      <w:r w:rsidRPr="00E16241">
        <w:rPr>
          <w:sz w:val="18"/>
          <w:szCs w:val="18"/>
          <w:lang w:val="en-US"/>
        </w:rPr>
        <w:t xml:space="preserve">) of the </w:t>
      </w:r>
      <w:proofErr w:type="spellStart"/>
      <w:r w:rsidRPr="00E16241">
        <w:rPr>
          <w:i/>
          <w:sz w:val="18"/>
          <w:szCs w:val="18"/>
          <w:lang w:val="en-US"/>
        </w:rPr>
        <w:t>Autorité</w:t>
      </w:r>
      <w:proofErr w:type="spellEnd"/>
      <w:r w:rsidRPr="00E16241">
        <w:rPr>
          <w:i/>
          <w:sz w:val="18"/>
          <w:szCs w:val="18"/>
          <w:lang w:val="en-US"/>
        </w:rPr>
        <w:t xml:space="preserve"> de </w:t>
      </w:r>
      <w:proofErr w:type="spellStart"/>
      <w:r>
        <w:rPr>
          <w:i/>
          <w:sz w:val="18"/>
          <w:szCs w:val="18"/>
          <w:lang w:val="en-US"/>
        </w:rPr>
        <w:t>r</w:t>
      </w:r>
      <w:r w:rsidRPr="00E16241">
        <w:rPr>
          <w:i/>
          <w:sz w:val="18"/>
          <w:szCs w:val="18"/>
          <w:lang w:val="en-US"/>
        </w:rPr>
        <w:t>égulation</w:t>
      </w:r>
      <w:proofErr w:type="spellEnd"/>
      <w:r w:rsidRPr="00E16241">
        <w:rPr>
          <w:i/>
          <w:sz w:val="18"/>
          <w:szCs w:val="18"/>
          <w:lang w:val="en-US"/>
        </w:rPr>
        <w:t xml:space="preserve"> des </w:t>
      </w:r>
      <w:proofErr w:type="spellStart"/>
      <w:r>
        <w:rPr>
          <w:i/>
          <w:sz w:val="18"/>
          <w:szCs w:val="18"/>
          <w:lang w:val="en-US"/>
        </w:rPr>
        <w:t>m</w:t>
      </w:r>
      <w:r w:rsidRPr="00E16241">
        <w:rPr>
          <w:i/>
          <w:sz w:val="18"/>
          <w:szCs w:val="18"/>
          <w:lang w:val="en-US"/>
        </w:rPr>
        <w:t>archés</w:t>
      </w:r>
      <w:proofErr w:type="spellEnd"/>
      <w:r w:rsidRPr="00E16241">
        <w:rPr>
          <w:i/>
          <w:sz w:val="18"/>
          <w:szCs w:val="18"/>
          <w:lang w:val="en-US"/>
        </w:rPr>
        <w:t xml:space="preserve"> </w:t>
      </w:r>
      <w:r>
        <w:rPr>
          <w:i/>
          <w:sz w:val="18"/>
          <w:szCs w:val="18"/>
          <w:lang w:val="en-US"/>
        </w:rPr>
        <w:t>p</w:t>
      </w:r>
      <w:r w:rsidRPr="00E16241">
        <w:rPr>
          <w:i/>
          <w:sz w:val="18"/>
          <w:szCs w:val="18"/>
          <w:lang w:val="en-US"/>
        </w:rPr>
        <w:t>ublics</w:t>
      </w:r>
      <w:r w:rsidRPr="00E16241">
        <w:rPr>
          <w:sz w:val="18"/>
          <w:szCs w:val="18"/>
          <w:lang w:val="en-US"/>
        </w:rPr>
        <w:t xml:space="preserve"> (</w:t>
      </w:r>
      <w:r w:rsidRPr="00E16241">
        <w:rPr>
          <w:i/>
          <w:sz w:val="18"/>
          <w:szCs w:val="18"/>
          <w:lang w:val="en-US"/>
        </w:rPr>
        <w:t>ARMP</w:t>
      </w:r>
      <w:r w:rsidRPr="00E16241">
        <w:rPr>
          <w:sz w:val="18"/>
          <w:szCs w:val="18"/>
          <w:lang w:val="en-US"/>
        </w:rPr>
        <w:t xml:space="preserve">) </w:t>
      </w:r>
      <w:r>
        <w:rPr>
          <w:sz w:val="18"/>
          <w:szCs w:val="18"/>
          <w:lang w:val="en-US"/>
        </w:rPr>
        <w:t>in</w:t>
      </w:r>
      <w:r w:rsidRPr="00E16241">
        <w:rPr>
          <w:sz w:val="18"/>
          <w:szCs w:val="18"/>
          <w:lang w:val="en-US"/>
        </w:rPr>
        <w:t xml:space="preserve"> Congo Brazzaville (last decision dated April 18, 2017, see http://www.armp-rdc.org/index.php/fr/publications-2); the </w:t>
      </w:r>
      <w:proofErr w:type="spellStart"/>
      <w:r>
        <w:rPr>
          <w:i/>
          <w:sz w:val="18"/>
          <w:szCs w:val="18"/>
          <w:lang w:val="en-US"/>
        </w:rPr>
        <w:t>Comité</w:t>
      </w:r>
      <w:proofErr w:type="spellEnd"/>
      <w:r>
        <w:rPr>
          <w:i/>
          <w:sz w:val="18"/>
          <w:szCs w:val="18"/>
          <w:lang w:val="en-US"/>
        </w:rPr>
        <w:t xml:space="preserve"> de </w:t>
      </w:r>
      <w:proofErr w:type="spellStart"/>
      <w:r>
        <w:rPr>
          <w:i/>
          <w:sz w:val="18"/>
          <w:szCs w:val="18"/>
          <w:lang w:val="en-US"/>
        </w:rPr>
        <w:t>règlement</w:t>
      </w:r>
      <w:proofErr w:type="spellEnd"/>
      <w:r>
        <w:rPr>
          <w:i/>
          <w:sz w:val="18"/>
          <w:szCs w:val="18"/>
          <w:lang w:val="en-US"/>
        </w:rPr>
        <w:t xml:space="preserve"> des </w:t>
      </w:r>
      <w:proofErr w:type="spellStart"/>
      <w:r>
        <w:rPr>
          <w:i/>
          <w:sz w:val="18"/>
          <w:szCs w:val="18"/>
          <w:lang w:val="en-US"/>
        </w:rPr>
        <w:t>d</w:t>
      </w:r>
      <w:r w:rsidRPr="00E16241">
        <w:rPr>
          <w:i/>
          <w:sz w:val="18"/>
          <w:szCs w:val="18"/>
          <w:lang w:val="en-US"/>
        </w:rPr>
        <w:t>ifférends</w:t>
      </w:r>
      <w:proofErr w:type="spellEnd"/>
      <w:r w:rsidRPr="00E16241">
        <w:rPr>
          <w:sz w:val="18"/>
          <w:szCs w:val="18"/>
          <w:lang w:val="en-US"/>
        </w:rPr>
        <w:t xml:space="preserve"> (</w:t>
      </w:r>
      <w:r w:rsidRPr="00E16241">
        <w:rPr>
          <w:i/>
          <w:sz w:val="18"/>
          <w:szCs w:val="18"/>
          <w:lang w:val="en-US"/>
        </w:rPr>
        <w:t>CRD</w:t>
      </w:r>
      <w:r w:rsidRPr="00E16241">
        <w:rPr>
          <w:sz w:val="18"/>
          <w:szCs w:val="18"/>
          <w:lang w:val="en-US"/>
        </w:rPr>
        <w:t xml:space="preserve">) of the </w:t>
      </w:r>
      <w:proofErr w:type="spellStart"/>
      <w:r w:rsidRPr="00E16241">
        <w:rPr>
          <w:i/>
          <w:sz w:val="18"/>
          <w:szCs w:val="18"/>
          <w:lang w:val="en-US"/>
        </w:rPr>
        <w:t>Autorité</w:t>
      </w:r>
      <w:proofErr w:type="spellEnd"/>
      <w:r w:rsidRPr="00E16241">
        <w:rPr>
          <w:i/>
          <w:sz w:val="18"/>
          <w:szCs w:val="18"/>
          <w:lang w:val="en-US"/>
        </w:rPr>
        <w:t xml:space="preserve"> de </w:t>
      </w:r>
      <w:proofErr w:type="spellStart"/>
      <w:r>
        <w:rPr>
          <w:i/>
          <w:sz w:val="18"/>
          <w:szCs w:val="18"/>
          <w:lang w:val="en-US"/>
        </w:rPr>
        <w:t>r</w:t>
      </w:r>
      <w:r w:rsidRPr="00E16241">
        <w:rPr>
          <w:i/>
          <w:sz w:val="18"/>
          <w:szCs w:val="18"/>
          <w:lang w:val="en-US"/>
        </w:rPr>
        <w:t>égulation</w:t>
      </w:r>
      <w:proofErr w:type="spellEnd"/>
      <w:r w:rsidRPr="00E16241">
        <w:rPr>
          <w:i/>
          <w:sz w:val="18"/>
          <w:szCs w:val="18"/>
          <w:lang w:val="en-US"/>
        </w:rPr>
        <w:t xml:space="preserve"> des </w:t>
      </w:r>
      <w:proofErr w:type="spellStart"/>
      <w:r>
        <w:rPr>
          <w:i/>
          <w:sz w:val="18"/>
          <w:szCs w:val="18"/>
          <w:lang w:val="en-US"/>
        </w:rPr>
        <w:t>m</w:t>
      </w:r>
      <w:r w:rsidRPr="00E16241">
        <w:rPr>
          <w:i/>
          <w:sz w:val="18"/>
          <w:szCs w:val="18"/>
          <w:lang w:val="en-US"/>
        </w:rPr>
        <w:t>archés</w:t>
      </w:r>
      <w:proofErr w:type="spellEnd"/>
      <w:r w:rsidRPr="00E16241">
        <w:rPr>
          <w:i/>
          <w:sz w:val="18"/>
          <w:szCs w:val="18"/>
          <w:lang w:val="en-US"/>
        </w:rPr>
        <w:t xml:space="preserve"> </w:t>
      </w:r>
      <w:r>
        <w:rPr>
          <w:i/>
          <w:sz w:val="18"/>
          <w:szCs w:val="18"/>
          <w:lang w:val="en-US"/>
        </w:rPr>
        <w:t>p</w:t>
      </w:r>
      <w:r w:rsidRPr="00E16241">
        <w:rPr>
          <w:i/>
          <w:sz w:val="18"/>
          <w:szCs w:val="18"/>
          <w:lang w:val="en-US"/>
        </w:rPr>
        <w:t>ublics</w:t>
      </w:r>
      <w:r w:rsidRPr="00E16241">
        <w:rPr>
          <w:sz w:val="18"/>
          <w:szCs w:val="18"/>
          <w:lang w:val="en-US"/>
        </w:rPr>
        <w:t xml:space="preserve"> (</w:t>
      </w:r>
      <w:r w:rsidRPr="00E16241">
        <w:rPr>
          <w:i/>
          <w:sz w:val="18"/>
          <w:szCs w:val="18"/>
          <w:lang w:val="en-US"/>
        </w:rPr>
        <w:t>ARMP</w:t>
      </w:r>
      <w:r w:rsidRPr="00E16241">
        <w:rPr>
          <w:sz w:val="18"/>
          <w:szCs w:val="18"/>
          <w:lang w:val="en-US"/>
        </w:rPr>
        <w:t xml:space="preserve">) </w:t>
      </w:r>
      <w:r>
        <w:rPr>
          <w:sz w:val="18"/>
          <w:szCs w:val="18"/>
          <w:lang w:val="en-US"/>
        </w:rPr>
        <w:t>in</w:t>
      </w:r>
      <w:r w:rsidRPr="00E16241">
        <w:rPr>
          <w:sz w:val="18"/>
          <w:szCs w:val="18"/>
          <w:lang w:val="en-US"/>
        </w:rPr>
        <w:t xml:space="preserve"> Togo (last decision dated Avril 28, 2017, see http://armp-togo.com/index.php?option=com_content&amp;view=category&amp;layout=blog&amp;id=43&amp;Itemid=77); t</w:t>
      </w:r>
      <w:r>
        <w:rPr>
          <w:sz w:val="18"/>
          <w:szCs w:val="18"/>
          <w:lang w:val="en-US"/>
        </w:rPr>
        <w:t>he United Republic of Tanzania p</w:t>
      </w:r>
      <w:r w:rsidRPr="00E16241">
        <w:rPr>
          <w:sz w:val="18"/>
          <w:szCs w:val="18"/>
          <w:lang w:val="en-US"/>
        </w:rPr>
        <w:t xml:space="preserve">ublic </w:t>
      </w:r>
      <w:r>
        <w:rPr>
          <w:sz w:val="18"/>
          <w:szCs w:val="18"/>
          <w:lang w:val="en-US"/>
        </w:rPr>
        <w:t>p</w:t>
      </w:r>
      <w:r w:rsidRPr="00E16241">
        <w:rPr>
          <w:sz w:val="18"/>
          <w:szCs w:val="18"/>
          <w:lang w:val="en-US"/>
        </w:rPr>
        <w:t xml:space="preserve">rocurement </w:t>
      </w:r>
      <w:r>
        <w:rPr>
          <w:sz w:val="18"/>
          <w:szCs w:val="18"/>
          <w:lang w:val="en-US"/>
        </w:rPr>
        <w:t>a</w:t>
      </w:r>
      <w:r w:rsidRPr="00E16241">
        <w:rPr>
          <w:sz w:val="18"/>
          <w:szCs w:val="18"/>
          <w:lang w:val="en-US"/>
        </w:rPr>
        <w:t xml:space="preserve">ppeals </w:t>
      </w:r>
      <w:r>
        <w:rPr>
          <w:sz w:val="18"/>
          <w:szCs w:val="18"/>
          <w:lang w:val="en-US"/>
        </w:rPr>
        <w:t>a</w:t>
      </w:r>
      <w:r w:rsidRPr="00E16241">
        <w:rPr>
          <w:sz w:val="18"/>
          <w:szCs w:val="18"/>
          <w:lang w:val="en-US"/>
        </w:rPr>
        <w:t>uthority (PPAA) (for appealing cases see http://ppaa.go.tz/index.php?option=com_content&amp;view=article&amp;id=69&amp;Itemid=75).</w:t>
      </w:r>
    </w:p>
  </w:footnote>
  <w:footnote w:id="23">
    <w:p w14:paraId="1BAB33A8" w14:textId="77777777" w:rsidR="000C343A" w:rsidRPr="0092198B" w:rsidRDefault="000C343A" w:rsidP="003E7603">
      <w:pPr>
        <w:pStyle w:val="FootnoteText"/>
        <w:ind w:left="284" w:hanging="284"/>
        <w:jc w:val="both"/>
        <w:rPr>
          <w:lang w:val="fr-FR"/>
        </w:rPr>
      </w:pPr>
      <w:r w:rsidRPr="00E16241">
        <w:rPr>
          <w:rStyle w:val="FootnoteReference"/>
          <w:sz w:val="18"/>
          <w:szCs w:val="18"/>
        </w:rPr>
        <w:footnoteRef/>
      </w:r>
      <w:r w:rsidRPr="0092198B">
        <w:rPr>
          <w:sz w:val="18"/>
          <w:szCs w:val="18"/>
          <w:lang w:val="en-US"/>
        </w:rPr>
        <w:t xml:space="preserve"> </w:t>
      </w:r>
      <w:hyperlink r:id="rId1" w:history="1">
        <w:r w:rsidRPr="0092198B">
          <w:rPr>
            <w:rStyle w:val="Hyperlink"/>
            <w:color w:val="auto"/>
            <w:sz w:val="18"/>
            <w:szCs w:val="18"/>
            <w:u w:val="none"/>
            <w:lang w:val="en-US"/>
          </w:rPr>
          <w:t>http://www.marchespublics-uemoa.org/index.php?option=com_contentieux&amp;view=list&amp;Itemid=93&amp;lang=fr</w:t>
        </w:r>
      </w:hyperlink>
      <w:r w:rsidRPr="0092198B">
        <w:rPr>
          <w:rStyle w:val="Hyperlink"/>
          <w:color w:val="auto"/>
          <w:sz w:val="18"/>
          <w:szCs w:val="18"/>
          <w:u w:val="none"/>
          <w:lang w:val="en-US"/>
        </w:rPr>
        <w:t xml:space="preserve">. </w:t>
      </w:r>
      <w:proofErr w:type="spellStart"/>
      <w:r w:rsidRPr="00E16241">
        <w:rPr>
          <w:rStyle w:val="Hyperlink"/>
          <w:color w:val="auto"/>
          <w:sz w:val="18"/>
          <w:szCs w:val="18"/>
          <w:u w:val="none"/>
          <w:lang w:val="fr-FR"/>
        </w:rPr>
        <w:t>See</w:t>
      </w:r>
      <w:proofErr w:type="spellEnd"/>
      <w:r w:rsidRPr="00E16241">
        <w:rPr>
          <w:rStyle w:val="Hyperlink"/>
          <w:color w:val="auto"/>
          <w:sz w:val="18"/>
          <w:szCs w:val="18"/>
          <w:u w:val="none"/>
          <w:lang w:val="fr-FR"/>
        </w:rPr>
        <w:t xml:space="preserve"> </w:t>
      </w:r>
      <w:proofErr w:type="spellStart"/>
      <w:r w:rsidRPr="00E16241">
        <w:rPr>
          <w:rStyle w:val="Hyperlink"/>
          <w:color w:val="auto"/>
          <w:sz w:val="18"/>
          <w:szCs w:val="18"/>
          <w:u w:val="none"/>
          <w:lang w:val="fr-FR"/>
        </w:rPr>
        <w:t>also</w:t>
      </w:r>
      <w:proofErr w:type="spellEnd"/>
      <w:r w:rsidRPr="00E16241">
        <w:rPr>
          <w:rStyle w:val="Hyperlink"/>
          <w:color w:val="auto"/>
          <w:sz w:val="18"/>
          <w:szCs w:val="18"/>
          <w:u w:val="none"/>
          <w:lang w:val="fr-FR"/>
        </w:rPr>
        <w:t xml:space="preserve"> </w:t>
      </w:r>
      <w:r w:rsidRPr="00E16241">
        <w:rPr>
          <w:rStyle w:val="Hyperlink"/>
          <w:i/>
          <w:color w:val="auto"/>
          <w:sz w:val="18"/>
          <w:szCs w:val="18"/>
          <w:u w:val="none"/>
          <w:lang w:val="fr-FR"/>
        </w:rPr>
        <w:t>Baromètre de la réglementation de la commande publique en Afrique. Zone UEMOA</w:t>
      </w:r>
      <w:r w:rsidRPr="00E16241">
        <w:rPr>
          <w:rStyle w:val="Hyperlink"/>
          <w:color w:val="auto"/>
          <w:sz w:val="18"/>
          <w:szCs w:val="18"/>
          <w:u w:val="none"/>
          <w:lang w:val="fr-FR"/>
        </w:rPr>
        <w:t xml:space="preserve">, 2017, </w:t>
      </w:r>
      <w:proofErr w:type="spellStart"/>
      <w:r w:rsidRPr="00E16241">
        <w:rPr>
          <w:rStyle w:val="Hyperlink"/>
          <w:color w:val="auto"/>
          <w:sz w:val="18"/>
          <w:szCs w:val="18"/>
          <w:u w:val="none"/>
          <w:lang w:val="fr-FR"/>
        </w:rPr>
        <w:t>available</w:t>
      </w:r>
      <w:proofErr w:type="spellEnd"/>
      <w:r w:rsidRPr="00E16241">
        <w:rPr>
          <w:rStyle w:val="Hyperlink"/>
          <w:color w:val="auto"/>
          <w:sz w:val="18"/>
          <w:szCs w:val="18"/>
          <w:u w:val="none"/>
          <w:lang w:val="fr-FR"/>
        </w:rPr>
        <w:t xml:space="preserve"> at: http://www.marches-publics-afrique.com/home/les-editos-de-marches-publics-afrique/lebarometre2017delareglementationdelazoneuemoaestpublie</w:t>
      </w:r>
    </w:p>
  </w:footnote>
  <w:footnote w:id="24">
    <w:p w14:paraId="11E98302" w14:textId="77777777" w:rsidR="000C343A" w:rsidRPr="0092198B" w:rsidRDefault="000C343A" w:rsidP="003E7603">
      <w:pPr>
        <w:widowControl w:val="0"/>
        <w:autoSpaceDE w:val="0"/>
        <w:autoSpaceDN w:val="0"/>
        <w:adjustRightInd w:val="0"/>
        <w:ind w:left="284" w:hanging="284"/>
        <w:jc w:val="both"/>
        <w:rPr>
          <w:lang w:val="en-GB"/>
        </w:rPr>
      </w:pPr>
      <w:r w:rsidRPr="00E16241">
        <w:rPr>
          <w:rStyle w:val="FootnoteReference"/>
          <w:sz w:val="18"/>
          <w:szCs w:val="18"/>
          <w:lang w:val="en-GB"/>
        </w:rPr>
        <w:footnoteRef/>
      </w:r>
      <w:r w:rsidRPr="00E16241">
        <w:rPr>
          <w:sz w:val="18"/>
          <w:szCs w:val="18"/>
          <w:lang w:val="en-GB"/>
        </w:rPr>
        <w:t xml:space="preserve"> </w:t>
      </w:r>
      <w:r>
        <w:rPr>
          <w:sz w:val="18"/>
          <w:szCs w:val="18"/>
          <w:lang w:val="en-GB"/>
        </w:rPr>
        <w:tab/>
      </w:r>
      <w:r w:rsidRPr="00E16241">
        <w:rPr>
          <w:sz w:val="18"/>
          <w:szCs w:val="18"/>
          <w:lang w:val="en-GB"/>
        </w:rPr>
        <w:t>The compara</w:t>
      </w:r>
      <w:r>
        <w:rPr>
          <w:sz w:val="18"/>
          <w:szCs w:val="18"/>
          <w:lang w:val="en-GB"/>
        </w:rPr>
        <w:t>tive debate on the conundrum of</w:t>
      </w:r>
      <w:r w:rsidRPr="00E16241">
        <w:rPr>
          <w:sz w:val="18"/>
          <w:szCs w:val="18"/>
          <w:lang w:val="en-GB"/>
        </w:rPr>
        <w:t xml:space="preserve"> how far can the judge go in substituting the decision of the administrative authority with his own decision is quite extended, also in </w:t>
      </w:r>
      <w:r w:rsidR="004003C1">
        <w:rPr>
          <w:sz w:val="18"/>
          <w:szCs w:val="18"/>
          <w:lang w:val="en-GB"/>
        </w:rPr>
        <w:t xml:space="preserve">relation to public procurement. </w:t>
      </w:r>
      <w:r w:rsidRPr="00E16241">
        <w:rPr>
          <w:sz w:val="18"/>
          <w:szCs w:val="18"/>
          <w:lang w:val="en-GB"/>
        </w:rPr>
        <w:t>One of the most advanced solutions, which could be tested in other countries, is the “loop” system in the Netherlands, according to which the judge can order the administration to “correct” the challenged administrative act, diving some instructions, and to come back in a short period of time (usually four months).</w:t>
      </w:r>
      <w:r>
        <w:rPr>
          <w:sz w:val="18"/>
          <w:szCs w:val="18"/>
          <w:lang w:val="en-GB"/>
        </w:rPr>
        <w:t xml:space="preserve"> </w:t>
      </w:r>
      <w:r w:rsidRPr="00E16241">
        <w:rPr>
          <w:sz w:val="18"/>
          <w:szCs w:val="18"/>
          <w:lang w:val="en-GB"/>
        </w:rPr>
        <w:t>If the administration corrects the act according to the judge suggestions, the recourse is dismissed; in the contrary</w:t>
      </w:r>
      <w:r>
        <w:rPr>
          <w:sz w:val="18"/>
          <w:szCs w:val="18"/>
          <w:lang w:val="en-GB"/>
        </w:rPr>
        <w:t xml:space="preserve"> case the act is annulled. See </w:t>
      </w:r>
      <w:r w:rsidRPr="000C343A">
        <w:rPr>
          <w:smallCaps/>
          <w:sz w:val="18"/>
          <w:szCs w:val="18"/>
          <w:lang w:val="en-GB"/>
        </w:rPr>
        <w:t xml:space="preserve">J.C.A. De </w:t>
      </w:r>
      <w:proofErr w:type="spellStart"/>
      <w:r w:rsidRPr="000C343A">
        <w:rPr>
          <w:smallCaps/>
          <w:sz w:val="18"/>
          <w:szCs w:val="18"/>
          <w:lang w:val="en-GB"/>
        </w:rPr>
        <w:t>Poorter</w:t>
      </w:r>
      <w:proofErr w:type="spellEnd"/>
      <w:r>
        <w:rPr>
          <w:sz w:val="18"/>
          <w:szCs w:val="18"/>
          <w:lang w:val="en-GB"/>
        </w:rPr>
        <w:t xml:space="preserve"> </w:t>
      </w:r>
      <w:r w:rsidRPr="00E16241">
        <w:rPr>
          <w:sz w:val="18"/>
          <w:szCs w:val="18"/>
          <w:lang w:val="en-GB"/>
        </w:rPr>
        <w:t>“Increasing the ef</w:t>
      </w:r>
      <w:r w:rsidR="005D2032">
        <w:rPr>
          <w:sz w:val="18"/>
          <w:szCs w:val="18"/>
          <w:lang w:val="en-GB"/>
        </w:rPr>
        <w:t>ficiency of the administrative C</w:t>
      </w:r>
      <w:r w:rsidRPr="00E16241">
        <w:rPr>
          <w:sz w:val="18"/>
          <w:szCs w:val="18"/>
          <w:lang w:val="en-GB"/>
        </w:rPr>
        <w:t xml:space="preserve">ourt’s power: a Dutch success story?”, </w:t>
      </w:r>
      <w:r w:rsidRPr="000C343A">
        <w:rPr>
          <w:i/>
          <w:sz w:val="18"/>
          <w:szCs w:val="18"/>
          <w:lang w:val="en-GB"/>
        </w:rPr>
        <w:t>in</w:t>
      </w:r>
      <w:r w:rsidRPr="00E16241">
        <w:rPr>
          <w:sz w:val="18"/>
          <w:szCs w:val="18"/>
          <w:lang w:val="en-GB"/>
        </w:rPr>
        <w:t xml:space="preserve"> </w:t>
      </w:r>
      <w:r w:rsidRPr="00E16241">
        <w:rPr>
          <w:i/>
          <w:sz w:val="18"/>
          <w:szCs w:val="18"/>
          <w:lang w:val="en-GB"/>
        </w:rPr>
        <w:t xml:space="preserve">Scientific </w:t>
      </w:r>
      <w:r w:rsidR="005D2032" w:rsidRPr="00E16241">
        <w:rPr>
          <w:i/>
          <w:sz w:val="18"/>
          <w:szCs w:val="18"/>
          <w:lang w:val="en-GB"/>
        </w:rPr>
        <w:t>cooperation internati</w:t>
      </w:r>
      <w:r w:rsidRPr="00E16241">
        <w:rPr>
          <w:i/>
          <w:sz w:val="18"/>
          <w:szCs w:val="18"/>
          <w:lang w:val="en-GB"/>
        </w:rPr>
        <w:t xml:space="preserve">onal Journal of </w:t>
      </w:r>
      <w:r w:rsidR="005D2032">
        <w:rPr>
          <w:i/>
          <w:sz w:val="18"/>
          <w:szCs w:val="18"/>
          <w:lang w:val="en-GB"/>
        </w:rPr>
        <w:t>Law and P</w:t>
      </w:r>
      <w:r w:rsidRPr="00E16241">
        <w:rPr>
          <w:i/>
          <w:sz w:val="18"/>
          <w:szCs w:val="18"/>
          <w:lang w:val="en-GB"/>
        </w:rPr>
        <w:t>olitics</w:t>
      </w:r>
      <w:r w:rsidRPr="00E16241">
        <w:rPr>
          <w:sz w:val="18"/>
          <w:szCs w:val="18"/>
          <w:lang w:val="en-GB"/>
        </w:rPr>
        <w:t xml:space="preserve">, </w:t>
      </w:r>
      <w:r w:rsidRPr="00E16241">
        <w:rPr>
          <w:sz w:val="18"/>
          <w:szCs w:val="18"/>
          <w:lang w:val="en-GB" w:eastAsia="ja-JP"/>
        </w:rPr>
        <w:t>Marseille</w:t>
      </w:r>
      <w:r>
        <w:rPr>
          <w:sz w:val="18"/>
          <w:szCs w:val="18"/>
          <w:lang w:val="en-GB"/>
        </w:rPr>
        <w:t xml:space="preserve">, </w:t>
      </w:r>
      <w:r w:rsidRPr="00E16241">
        <w:rPr>
          <w:sz w:val="18"/>
          <w:szCs w:val="18"/>
          <w:lang w:val="en-GB"/>
        </w:rPr>
        <w:t>2015, pp. 96-106;</w:t>
      </w:r>
      <w:r w:rsidRPr="00E16241">
        <w:rPr>
          <w:sz w:val="18"/>
          <w:szCs w:val="18"/>
          <w:lang w:val="en-GB" w:eastAsia="ja-JP"/>
        </w:rPr>
        <w:t xml:space="preserve"> </w:t>
      </w:r>
      <w:r w:rsidRPr="000C343A">
        <w:rPr>
          <w:smallCaps/>
          <w:sz w:val="18"/>
          <w:szCs w:val="18"/>
          <w:lang w:val="en-GB" w:eastAsia="ja-JP"/>
        </w:rPr>
        <w:t xml:space="preserve">A.T. &amp; </w:t>
      </w:r>
      <w:proofErr w:type="spellStart"/>
      <w:r w:rsidRPr="000C343A">
        <w:rPr>
          <w:smallCaps/>
          <w:sz w:val="18"/>
          <w:szCs w:val="18"/>
          <w:lang w:val="en-GB" w:eastAsia="ja-JP"/>
        </w:rPr>
        <w:t>Boekema</w:t>
      </w:r>
      <w:proofErr w:type="spellEnd"/>
      <w:r w:rsidRPr="000C343A">
        <w:rPr>
          <w:smallCaps/>
          <w:sz w:val="18"/>
          <w:szCs w:val="18"/>
          <w:lang w:val="en-GB" w:eastAsia="ja-JP"/>
        </w:rPr>
        <w:t>, I.M.</w:t>
      </w:r>
      <w:r w:rsidRPr="00E16241">
        <w:rPr>
          <w:sz w:val="18"/>
          <w:szCs w:val="18"/>
          <w:lang w:val="en-GB" w:eastAsia="ja-JP"/>
        </w:rPr>
        <w:t xml:space="preserve">, “Administrative </w:t>
      </w:r>
      <w:r w:rsidR="005D2032" w:rsidRPr="00E16241">
        <w:rPr>
          <w:sz w:val="18"/>
          <w:szCs w:val="18"/>
          <w:lang w:val="en-GB" w:eastAsia="ja-JP"/>
        </w:rPr>
        <w:t>de</w:t>
      </w:r>
      <w:r w:rsidR="005D2032">
        <w:rPr>
          <w:sz w:val="18"/>
          <w:szCs w:val="18"/>
          <w:lang w:val="en-GB" w:eastAsia="ja-JP"/>
        </w:rPr>
        <w:t>cision-making in reaction to a C</w:t>
      </w:r>
      <w:r w:rsidR="005D2032" w:rsidRPr="00E16241">
        <w:rPr>
          <w:sz w:val="18"/>
          <w:szCs w:val="18"/>
          <w:lang w:val="en-GB" w:eastAsia="ja-JP"/>
        </w:rPr>
        <w:t>ourt judgment</w:t>
      </w:r>
      <w:r w:rsidRPr="00E16241">
        <w:rPr>
          <w:sz w:val="18"/>
          <w:szCs w:val="18"/>
          <w:lang w:val="en-GB" w:eastAsia="ja-JP"/>
        </w:rPr>
        <w:t xml:space="preserve">. Can the </w:t>
      </w:r>
      <w:r w:rsidR="005D2032" w:rsidRPr="00E16241">
        <w:rPr>
          <w:sz w:val="18"/>
          <w:szCs w:val="18"/>
          <w:lang w:val="en-GB" w:eastAsia="ja-JP"/>
        </w:rPr>
        <w:t>administrative judge guide the decision-making process</w:t>
      </w:r>
      <w:r>
        <w:rPr>
          <w:i/>
          <w:sz w:val="18"/>
          <w:szCs w:val="18"/>
          <w:lang w:val="en-GB" w:eastAsia="ja-JP"/>
        </w:rPr>
        <w:t xml:space="preserve">?” </w:t>
      </w:r>
      <w:r w:rsidRPr="001D14AE">
        <w:rPr>
          <w:iCs/>
          <w:sz w:val="18"/>
          <w:szCs w:val="18"/>
          <w:lang w:val="en-GB" w:eastAsia="ja-JP"/>
        </w:rPr>
        <w:t>in</w:t>
      </w:r>
      <w:r w:rsidRPr="00E16241">
        <w:rPr>
          <w:sz w:val="18"/>
          <w:szCs w:val="18"/>
          <w:lang w:val="en-GB" w:eastAsia="ja-JP"/>
        </w:rPr>
        <w:t xml:space="preserve"> </w:t>
      </w:r>
      <w:r w:rsidRPr="00E16241">
        <w:rPr>
          <w:i/>
          <w:sz w:val="18"/>
          <w:szCs w:val="18"/>
          <w:lang w:val="en-GB" w:eastAsia="ja-JP"/>
        </w:rPr>
        <w:t>Utrecht Law Review</w:t>
      </w:r>
      <w:r w:rsidRPr="00E16241">
        <w:rPr>
          <w:sz w:val="18"/>
          <w:szCs w:val="18"/>
          <w:lang w:val="en-GB" w:eastAsia="ja-JP"/>
        </w:rPr>
        <w:t>, 2013, pp. 51–61.</w:t>
      </w:r>
    </w:p>
  </w:footnote>
  <w:footnote w:id="25">
    <w:p w14:paraId="4653A870" w14:textId="77777777" w:rsidR="000C343A" w:rsidRPr="0092198B" w:rsidRDefault="000C343A" w:rsidP="003E7603">
      <w:pPr>
        <w:pStyle w:val="FootnoteText"/>
        <w:ind w:left="284" w:hanging="284"/>
        <w:jc w:val="both"/>
        <w:rPr>
          <w:lang w:val="en-GB"/>
        </w:rPr>
      </w:pPr>
      <w:r w:rsidRPr="00E16241">
        <w:rPr>
          <w:rStyle w:val="FootnoteReference"/>
          <w:sz w:val="18"/>
          <w:szCs w:val="18"/>
          <w:lang w:val="en-GB"/>
        </w:rPr>
        <w:footnoteRef/>
      </w:r>
      <w:r w:rsidRPr="00E16241">
        <w:rPr>
          <w:sz w:val="18"/>
          <w:szCs w:val="18"/>
          <w:lang w:val="en-GB"/>
        </w:rPr>
        <w:t xml:space="preserve"> </w:t>
      </w:r>
      <w:r>
        <w:rPr>
          <w:sz w:val="18"/>
          <w:szCs w:val="18"/>
          <w:lang w:val="en-GB"/>
        </w:rPr>
        <w:tab/>
        <w:t xml:space="preserve">SIGMA - OECD, </w:t>
      </w:r>
      <w:r w:rsidRPr="00E16241">
        <w:rPr>
          <w:i/>
          <w:sz w:val="18"/>
          <w:szCs w:val="18"/>
          <w:lang w:val="en-GB"/>
        </w:rPr>
        <w:t>Public procurement review and remedies systems in the European Union</w:t>
      </w:r>
      <w:r w:rsidRPr="00E16241">
        <w:rPr>
          <w:sz w:val="18"/>
          <w:szCs w:val="18"/>
          <w:lang w:val="en-GB"/>
        </w:rPr>
        <w:t>, Sigma paper n. 41, 2007, page. 17-18.</w:t>
      </w:r>
    </w:p>
  </w:footnote>
  <w:footnote w:id="26">
    <w:p w14:paraId="127199D2" w14:textId="77777777" w:rsidR="000C343A" w:rsidRPr="0092198B" w:rsidRDefault="000C343A" w:rsidP="003E7603">
      <w:pPr>
        <w:pStyle w:val="FootnoteText"/>
        <w:ind w:left="284" w:hanging="284"/>
        <w:jc w:val="both"/>
        <w:rPr>
          <w:lang w:val="en-GB"/>
        </w:rPr>
      </w:pPr>
      <w:r w:rsidRPr="00E16241">
        <w:rPr>
          <w:rStyle w:val="FootnoteReference"/>
          <w:sz w:val="18"/>
          <w:szCs w:val="18"/>
          <w:lang w:val="en-GB"/>
        </w:rPr>
        <w:footnoteRef/>
      </w:r>
      <w:r w:rsidRPr="00E16241">
        <w:rPr>
          <w:sz w:val="18"/>
          <w:szCs w:val="18"/>
          <w:lang w:val="en-GB"/>
        </w:rPr>
        <w:t xml:space="preserve"> </w:t>
      </w:r>
      <w:r>
        <w:rPr>
          <w:sz w:val="18"/>
          <w:szCs w:val="18"/>
          <w:lang w:val="en-GB"/>
        </w:rPr>
        <w:tab/>
      </w:r>
      <w:r w:rsidRPr="00E16241">
        <w:rPr>
          <w:sz w:val="18"/>
          <w:szCs w:val="18"/>
          <w:lang w:val="en-GB"/>
        </w:rPr>
        <w:t xml:space="preserve">For a comparative review of IAA’s characteristics, see </w:t>
      </w:r>
      <w:r w:rsidRPr="000C343A">
        <w:rPr>
          <w:smallCaps/>
          <w:sz w:val="18"/>
          <w:szCs w:val="18"/>
          <w:lang w:val="en-GB"/>
        </w:rPr>
        <w:t xml:space="preserve">R. </w:t>
      </w:r>
      <w:proofErr w:type="spellStart"/>
      <w:r w:rsidRPr="000C343A">
        <w:rPr>
          <w:smallCaps/>
          <w:sz w:val="18"/>
          <w:szCs w:val="18"/>
          <w:lang w:val="en-GB"/>
        </w:rPr>
        <w:t>Caranta</w:t>
      </w:r>
      <w:proofErr w:type="spellEnd"/>
      <w:r>
        <w:rPr>
          <w:smallCaps/>
          <w:sz w:val="18"/>
          <w:szCs w:val="18"/>
          <w:lang w:val="en-GB"/>
        </w:rPr>
        <w:t>,</w:t>
      </w:r>
      <w:r w:rsidRPr="000C343A">
        <w:rPr>
          <w:smallCaps/>
          <w:sz w:val="18"/>
          <w:szCs w:val="18"/>
          <w:lang w:val="en-GB"/>
        </w:rPr>
        <w:t xml:space="preserve"> M. </w:t>
      </w:r>
      <w:proofErr w:type="spellStart"/>
      <w:r w:rsidRPr="000C343A">
        <w:rPr>
          <w:smallCaps/>
          <w:sz w:val="18"/>
          <w:szCs w:val="18"/>
          <w:lang w:val="en-GB"/>
        </w:rPr>
        <w:t>Andenas</w:t>
      </w:r>
      <w:proofErr w:type="spellEnd"/>
      <w:r>
        <w:rPr>
          <w:sz w:val="18"/>
          <w:szCs w:val="18"/>
          <w:lang w:val="en-GB"/>
        </w:rPr>
        <w:t xml:space="preserve"> and </w:t>
      </w:r>
      <w:r w:rsidRPr="000C343A">
        <w:rPr>
          <w:smallCaps/>
          <w:sz w:val="18"/>
          <w:szCs w:val="18"/>
          <w:lang w:val="en-GB"/>
        </w:rPr>
        <w:t xml:space="preserve">D. </w:t>
      </w:r>
      <w:proofErr w:type="spellStart"/>
      <w:r w:rsidRPr="000C343A">
        <w:rPr>
          <w:smallCaps/>
          <w:sz w:val="18"/>
          <w:szCs w:val="18"/>
          <w:lang w:val="en-GB"/>
        </w:rPr>
        <w:t>Fairgrieve</w:t>
      </w:r>
      <w:proofErr w:type="spellEnd"/>
      <w:r w:rsidRPr="00E16241">
        <w:rPr>
          <w:sz w:val="18"/>
          <w:szCs w:val="18"/>
          <w:lang w:val="en-GB"/>
        </w:rPr>
        <w:t xml:space="preserve"> (eds.), </w:t>
      </w:r>
      <w:r w:rsidRPr="00E16241">
        <w:rPr>
          <w:i/>
          <w:sz w:val="18"/>
          <w:szCs w:val="18"/>
          <w:lang w:val="en-GB"/>
        </w:rPr>
        <w:t xml:space="preserve">Independent </w:t>
      </w:r>
      <w:r w:rsidR="00D9209E">
        <w:rPr>
          <w:i/>
          <w:sz w:val="18"/>
          <w:szCs w:val="18"/>
          <w:lang w:val="en-GB"/>
        </w:rPr>
        <w:t>administrative a</w:t>
      </w:r>
      <w:r w:rsidRPr="00E16241">
        <w:rPr>
          <w:i/>
          <w:sz w:val="18"/>
          <w:szCs w:val="18"/>
          <w:lang w:val="en-GB"/>
        </w:rPr>
        <w:t>uthorities</w:t>
      </w:r>
      <w:r w:rsidRPr="00E16241">
        <w:rPr>
          <w:sz w:val="18"/>
          <w:szCs w:val="18"/>
          <w:lang w:val="en-GB"/>
        </w:rPr>
        <w:t xml:space="preserve">, London, BIICL, 2004. </w:t>
      </w:r>
    </w:p>
  </w:footnote>
  <w:footnote w:id="27">
    <w:p w14:paraId="2B26CB8E" w14:textId="77777777" w:rsidR="000C343A" w:rsidRPr="0092198B" w:rsidRDefault="000C343A" w:rsidP="003E7603">
      <w:pPr>
        <w:pStyle w:val="FootnoteText"/>
        <w:ind w:left="284" w:hanging="284"/>
        <w:jc w:val="both"/>
        <w:rPr>
          <w:lang w:val="en-GB"/>
        </w:rPr>
      </w:pPr>
      <w:r w:rsidRPr="00E16241">
        <w:rPr>
          <w:rStyle w:val="FootnoteReference"/>
          <w:sz w:val="18"/>
          <w:szCs w:val="18"/>
          <w:lang w:val="en-GB"/>
        </w:rPr>
        <w:footnoteRef/>
      </w:r>
      <w:r w:rsidRPr="00E16241">
        <w:rPr>
          <w:sz w:val="18"/>
          <w:szCs w:val="18"/>
          <w:lang w:val="en-GB"/>
        </w:rPr>
        <w:t xml:space="preserve"> </w:t>
      </w:r>
      <w:r>
        <w:rPr>
          <w:sz w:val="18"/>
          <w:szCs w:val="18"/>
          <w:lang w:val="en-GB"/>
        </w:rPr>
        <w:tab/>
      </w:r>
      <w:r w:rsidRPr="00E16241">
        <w:rPr>
          <w:sz w:val="18"/>
          <w:szCs w:val="18"/>
          <w:lang w:val="en-GB"/>
        </w:rPr>
        <w:t xml:space="preserve">Even if the idea of a “reflective </w:t>
      </w:r>
      <w:r w:rsidR="005D2032">
        <w:rPr>
          <w:sz w:val="18"/>
          <w:szCs w:val="18"/>
          <w:lang w:val="en-GB"/>
        </w:rPr>
        <w:t>j</w:t>
      </w:r>
      <w:r w:rsidR="005D2032" w:rsidRPr="00E16241">
        <w:rPr>
          <w:sz w:val="18"/>
          <w:szCs w:val="18"/>
          <w:lang w:val="en-GB"/>
        </w:rPr>
        <w:t>udiciary</w:t>
      </w:r>
      <w:r w:rsidRPr="00E16241">
        <w:rPr>
          <w:sz w:val="18"/>
          <w:szCs w:val="18"/>
          <w:lang w:val="en-GB"/>
        </w:rPr>
        <w:t xml:space="preserve">”, to be intended as a judiciary with a representative flavour, is becoming an interesting area of studies: see </w:t>
      </w:r>
      <w:r w:rsidRPr="000C343A">
        <w:rPr>
          <w:smallCaps/>
          <w:sz w:val="18"/>
          <w:szCs w:val="18"/>
          <w:lang w:val="en-GB"/>
        </w:rPr>
        <w:t xml:space="preserve">M. </w:t>
      </w:r>
      <w:proofErr w:type="spellStart"/>
      <w:r w:rsidRPr="000C343A">
        <w:rPr>
          <w:smallCaps/>
          <w:sz w:val="18"/>
          <w:szCs w:val="18"/>
          <w:lang w:val="en-GB"/>
        </w:rPr>
        <w:t>Caielli</w:t>
      </w:r>
      <w:proofErr w:type="spellEnd"/>
      <w:r>
        <w:rPr>
          <w:smallCaps/>
          <w:sz w:val="18"/>
          <w:szCs w:val="18"/>
          <w:lang w:val="en-GB"/>
        </w:rPr>
        <w:t xml:space="preserve">, </w:t>
      </w:r>
      <w:r w:rsidRPr="000C343A">
        <w:rPr>
          <w:smallCaps/>
          <w:sz w:val="18"/>
          <w:szCs w:val="18"/>
          <w:lang w:val="en-GB"/>
        </w:rPr>
        <w:t>M.</w:t>
      </w:r>
      <w:r>
        <w:rPr>
          <w:smallCaps/>
          <w:sz w:val="18"/>
          <w:szCs w:val="18"/>
          <w:lang w:val="en-GB"/>
        </w:rPr>
        <w:t xml:space="preserve"> </w:t>
      </w:r>
      <w:r w:rsidRPr="000C343A">
        <w:rPr>
          <w:smallCaps/>
          <w:sz w:val="18"/>
          <w:szCs w:val="18"/>
          <w:lang w:val="en-GB"/>
        </w:rPr>
        <w:t xml:space="preserve">E. </w:t>
      </w:r>
      <w:proofErr w:type="spellStart"/>
      <w:r w:rsidRPr="000C343A">
        <w:rPr>
          <w:smallCaps/>
          <w:sz w:val="18"/>
          <w:szCs w:val="18"/>
          <w:lang w:val="en-GB"/>
        </w:rPr>
        <w:t>Comba</w:t>
      </w:r>
      <w:proofErr w:type="spellEnd"/>
      <w:r>
        <w:rPr>
          <w:smallCaps/>
          <w:sz w:val="18"/>
          <w:szCs w:val="18"/>
          <w:lang w:val="en-GB"/>
        </w:rPr>
        <w:t xml:space="preserve">, </w:t>
      </w:r>
      <w:r w:rsidRPr="000C343A">
        <w:rPr>
          <w:smallCaps/>
          <w:sz w:val="18"/>
          <w:szCs w:val="18"/>
          <w:lang w:val="en-GB"/>
        </w:rPr>
        <w:t>D. Francavilla</w:t>
      </w:r>
      <w:r>
        <w:rPr>
          <w:smallCaps/>
          <w:sz w:val="18"/>
          <w:szCs w:val="18"/>
          <w:lang w:val="en-GB"/>
        </w:rPr>
        <w:t>,</w:t>
      </w:r>
      <w:r>
        <w:rPr>
          <w:sz w:val="18"/>
          <w:szCs w:val="18"/>
          <w:lang w:val="en-GB"/>
        </w:rPr>
        <w:t xml:space="preserve"> and </w:t>
      </w:r>
      <w:r w:rsidRPr="000C343A">
        <w:rPr>
          <w:smallCaps/>
          <w:sz w:val="18"/>
          <w:szCs w:val="18"/>
          <w:lang w:val="en-GB"/>
        </w:rPr>
        <w:t xml:space="preserve">A. </w:t>
      </w:r>
      <w:proofErr w:type="spellStart"/>
      <w:r w:rsidRPr="000C343A">
        <w:rPr>
          <w:smallCaps/>
          <w:sz w:val="18"/>
          <w:szCs w:val="18"/>
          <w:lang w:val="en-GB"/>
        </w:rPr>
        <w:t>Mastromarino</w:t>
      </w:r>
      <w:proofErr w:type="spellEnd"/>
      <w:r w:rsidRPr="00E16241">
        <w:rPr>
          <w:sz w:val="18"/>
          <w:szCs w:val="18"/>
          <w:lang w:val="en-GB"/>
        </w:rPr>
        <w:t xml:space="preserve">, </w:t>
      </w:r>
      <w:r w:rsidRPr="00E16241">
        <w:rPr>
          <w:i/>
          <w:sz w:val="18"/>
          <w:szCs w:val="18"/>
          <w:lang w:val="en-GB"/>
        </w:rPr>
        <w:t xml:space="preserve">Jurisdiction and </w:t>
      </w:r>
      <w:r w:rsidR="005D2032">
        <w:rPr>
          <w:i/>
          <w:sz w:val="18"/>
          <w:szCs w:val="18"/>
          <w:lang w:val="en-GB"/>
        </w:rPr>
        <w:t>p</w:t>
      </w:r>
      <w:r w:rsidRPr="00E16241">
        <w:rPr>
          <w:i/>
          <w:sz w:val="18"/>
          <w:szCs w:val="18"/>
          <w:lang w:val="en-GB"/>
        </w:rPr>
        <w:t xml:space="preserve">luralism: </w:t>
      </w:r>
      <w:r w:rsidR="005D2032" w:rsidRPr="00E16241">
        <w:rPr>
          <w:i/>
          <w:sz w:val="18"/>
          <w:szCs w:val="18"/>
          <w:lang w:val="en-GB"/>
        </w:rPr>
        <w:t>the temptations of a reflective judiciary</w:t>
      </w:r>
      <w:r w:rsidRPr="00E16241">
        <w:rPr>
          <w:sz w:val="18"/>
          <w:szCs w:val="18"/>
          <w:lang w:val="en-GB"/>
        </w:rPr>
        <w:t xml:space="preserve">, in preparation. </w:t>
      </w:r>
    </w:p>
  </w:footnote>
  <w:footnote w:id="28">
    <w:p w14:paraId="0A5BDE41" w14:textId="77777777" w:rsidR="000C343A" w:rsidRPr="0092198B" w:rsidRDefault="000C343A" w:rsidP="003E7603">
      <w:pPr>
        <w:pStyle w:val="FootnoteText"/>
        <w:ind w:left="284" w:hanging="284"/>
        <w:jc w:val="both"/>
        <w:rPr>
          <w:lang w:val="en-GB"/>
        </w:rPr>
      </w:pPr>
      <w:r w:rsidRPr="00E16241">
        <w:rPr>
          <w:rStyle w:val="FootnoteReference"/>
          <w:sz w:val="18"/>
          <w:szCs w:val="18"/>
          <w:lang w:val="en-GB"/>
        </w:rPr>
        <w:footnoteRef/>
      </w:r>
      <w:r w:rsidRPr="00E16241">
        <w:rPr>
          <w:sz w:val="18"/>
          <w:szCs w:val="18"/>
          <w:lang w:val="en-GB"/>
        </w:rPr>
        <w:t xml:space="preserve"> </w:t>
      </w:r>
      <w:r>
        <w:rPr>
          <w:sz w:val="18"/>
          <w:szCs w:val="18"/>
          <w:lang w:val="en-GB"/>
        </w:rPr>
        <w:tab/>
      </w:r>
      <w:r w:rsidRPr="00E16241">
        <w:rPr>
          <w:sz w:val="18"/>
          <w:szCs w:val="18"/>
          <w:lang w:val="en-GB"/>
        </w:rPr>
        <w:t xml:space="preserve">Also at the EU level the shift in the direction of admitting the setting aside of concluded contracts was approved with directive 2007/66: see </w:t>
      </w:r>
      <w:r w:rsidRPr="00BE158E">
        <w:rPr>
          <w:smallCaps/>
          <w:sz w:val="18"/>
          <w:szCs w:val="18"/>
          <w:lang w:val="en-GB"/>
        </w:rPr>
        <w:t xml:space="preserve">S. </w:t>
      </w:r>
      <w:proofErr w:type="spellStart"/>
      <w:r w:rsidRPr="00BE158E">
        <w:rPr>
          <w:smallCaps/>
          <w:sz w:val="18"/>
          <w:szCs w:val="18"/>
          <w:lang w:val="en-GB"/>
        </w:rPr>
        <w:t>Treumer</w:t>
      </w:r>
      <w:proofErr w:type="spellEnd"/>
      <w:r w:rsidRPr="00E16241">
        <w:rPr>
          <w:sz w:val="18"/>
          <w:szCs w:val="18"/>
          <w:lang w:val="en-GB"/>
        </w:rPr>
        <w:t xml:space="preserve">, </w:t>
      </w:r>
      <w:r w:rsidR="00BE158E" w:rsidRPr="00C63C91">
        <w:rPr>
          <w:sz w:val="18"/>
          <w:szCs w:val="18"/>
          <w:lang w:val="en-GB"/>
        </w:rPr>
        <w:t>« </w:t>
      </w:r>
      <w:r w:rsidR="005D2032">
        <w:rPr>
          <w:sz w:val="18"/>
          <w:szCs w:val="18"/>
          <w:lang w:val="en-GB"/>
        </w:rPr>
        <w:t>T</w:t>
      </w:r>
      <w:r w:rsidR="005D2032" w:rsidRPr="00BE158E">
        <w:rPr>
          <w:sz w:val="18"/>
          <w:szCs w:val="18"/>
          <w:lang w:val="en-GB"/>
        </w:rPr>
        <w:t xml:space="preserve">owards an obligation to terminate contracts concluded in breach of the </w:t>
      </w:r>
      <w:r w:rsidR="005D2032">
        <w:rPr>
          <w:sz w:val="18"/>
          <w:szCs w:val="18"/>
          <w:lang w:val="en-GB"/>
        </w:rPr>
        <w:t>EC</w:t>
      </w:r>
      <w:r w:rsidR="005D2032" w:rsidRPr="00BE158E">
        <w:rPr>
          <w:sz w:val="18"/>
          <w:szCs w:val="18"/>
          <w:lang w:val="en-GB"/>
        </w:rPr>
        <w:t xml:space="preserve"> procurement rules: the end of a status of concluded contracts as sacred cows</w:t>
      </w:r>
      <w:r w:rsidR="005D2032">
        <w:rPr>
          <w:sz w:val="18"/>
          <w:szCs w:val="18"/>
          <w:lang w:val="en-GB"/>
        </w:rPr>
        <w:t xml:space="preserve"> </w:t>
      </w:r>
      <w:r w:rsidR="00BE158E" w:rsidRPr="00C63C91">
        <w:rPr>
          <w:sz w:val="18"/>
          <w:szCs w:val="18"/>
          <w:lang w:val="en-GB"/>
        </w:rPr>
        <w:t>»</w:t>
      </w:r>
      <w:r w:rsidRPr="00E16241">
        <w:rPr>
          <w:sz w:val="18"/>
          <w:szCs w:val="18"/>
          <w:lang w:val="en-GB"/>
        </w:rPr>
        <w:t xml:space="preserve">, </w:t>
      </w:r>
      <w:r w:rsidRPr="00BE158E">
        <w:rPr>
          <w:i/>
          <w:sz w:val="18"/>
          <w:szCs w:val="18"/>
          <w:lang w:val="en-GB"/>
        </w:rPr>
        <w:t>in</w:t>
      </w:r>
      <w:r w:rsidRPr="00E16241">
        <w:rPr>
          <w:sz w:val="18"/>
          <w:szCs w:val="18"/>
          <w:lang w:val="en-GB"/>
        </w:rPr>
        <w:t xml:space="preserve"> </w:t>
      </w:r>
      <w:r w:rsidRPr="00BE158E">
        <w:rPr>
          <w:i/>
          <w:sz w:val="18"/>
          <w:szCs w:val="18"/>
          <w:lang w:val="en-GB"/>
        </w:rPr>
        <w:t xml:space="preserve">Public </w:t>
      </w:r>
      <w:r w:rsidR="00BE158E">
        <w:rPr>
          <w:i/>
          <w:sz w:val="18"/>
          <w:szCs w:val="18"/>
          <w:lang w:val="en-GB"/>
        </w:rPr>
        <w:t>procurement law r</w:t>
      </w:r>
      <w:r w:rsidRPr="00BE158E">
        <w:rPr>
          <w:i/>
          <w:sz w:val="18"/>
          <w:szCs w:val="18"/>
          <w:lang w:val="en-GB"/>
        </w:rPr>
        <w:t>eview</w:t>
      </w:r>
      <w:r w:rsidRPr="00E16241">
        <w:rPr>
          <w:sz w:val="18"/>
          <w:szCs w:val="18"/>
          <w:lang w:val="en-GB"/>
        </w:rPr>
        <w:t xml:space="preserve">, 2007, p. 371.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56CED"/>
    <w:multiLevelType w:val="multilevel"/>
    <w:tmpl w:val="7CAEBD78"/>
    <w:lvl w:ilvl="0">
      <w:start w:val="1"/>
      <w:numFmt w:val="lowerLetter"/>
      <w:lvlText w:val="%1."/>
      <w:lvlJc w:val="left"/>
      <w:pPr>
        <w:tabs>
          <w:tab w:val="num" w:pos="720"/>
        </w:tabs>
        <w:ind w:left="720" w:hanging="360"/>
      </w:pPr>
      <w:rPr>
        <w:rFonts w:ascii="Calibri" w:eastAsia="MS Mincho" w:hAnsi="Calibri"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8B23A96"/>
    <w:multiLevelType w:val="hybridMultilevel"/>
    <w:tmpl w:val="99003E90"/>
    <w:lvl w:ilvl="0" w:tplc="9D08CA92">
      <w:start w:val="1"/>
      <w:numFmt w:val="bullet"/>
      <w:lvlText w:val=""/>
      <w:lvlJc w:val="left"/>
      <w:pPr>
        <w:tabs>
          <w:tab w:val="num" w:pos="720"/>
        </w:tabs>
        <w:ind w:left="720" w:hanging="360"/>
      </w:pPr>
      <w:rPr>
        <w:rFonts w:ascii="Wingdings" w:hAnsi="Wingdings" w:hint="default"/>
      </w:rPr>
    </w:lvl>
    <w:lvl w:ilvl="1" w:tplc="D2162A60" w:tentative="1">
      <w:start w:val="1"/>
      <w:numFmt w:val="bullet"/>
      <w:lvlText w:val=""/>
      <w:lvlJc w:val="left"/>
      <w:pPr>
        <w:tabs>
          <w:tab w:val="num" w:pos="1440"/>
        </w:tabs>
        <w:ind w:left="1440" w:hanging="360"/>
      </w:pPr>
      <w:rPr>
        <w:rFonts w:ascii="Wingdings" w:hAnsi="Wingdings" w:hint="default"/>
      </w:rPr>
    </w:lvl>
    <w:lvl w:ilvl="2" w:tplc="33FCAAC4" w:tentative="1">
      <w:start w:val="1"/>
      <w:numFmt w:val="bullet"/>
      <w:lvlText w:val=""/>
      <w:lvlJc w:val="left"/>
      <w:pPr>
        <w:tabs>
          <w:tab w:val="num" w:pos="2160"/>
        </w:tabs>
        <w:ind w:left="2160" w:hanging="360"/>
      </w:pPr>
      <w:rPr>
        <w:rFonts w:ascii="Wingdings" w:hAnsi="Wingdings" w:hint="default"/>
      </w:rPr>
    </w:lvl>
    <w:lvl w:ilvl="3" w:tplc="B92A2EDA" w:tentative="1">
      <w:start w:val="1"/>
      <w:numFmt w:val="bullet"/>
      <w:lvlText w:val=""/>
      <w:lvlJc w:val="left"/>
      <w:pPr>
        <w:tabs>
          <w:tab w:val="num" w:pos="2880"/>
        </w:tabs>
        <w:ind w:left="2880" w:hanging="360"/>
      </w:pPr>
      <w:rPr>
        <w:rFonts w:ascii="Wingdings" w:hAnsi="Wingdings" w:hint="default"/>
      </w:rPr>
    </w:lvl>
    <w:lvl w:ilvl="4" w:tplc="CDC216E2" w:tentative="1">
      <w:start w:val="1"/>
      <w:numFmt w:val="bullet"/>
      <w:lvlText w:val=""/>
      <w:lvlJc w:val="left"/>
      <w:pPr>
        <w:tabs>
          <w:tab w:val="num" w:pos="3600"/>
        </w:tabs>
        <w:ind w:left="3600" w:hanging="360"/>
      </w:pPr>
      <w:rPr>
        <w:rFonts w:ascii="Wingdings" w:hAnsi="Wingdings" w:hint="default"/>
      </w:rPr>
    </w:lvl>
    <w:lvl w:ilvl="5" w:tplc="1E226A46" w:tentative="1">
      <w:start w:val="1"/>
      <w:numFmt w:val="bullet"/>
      <w:lvlText w:val=""/>
      <w:lvlJc w:val="left"/>
      <w:pPr>
        <w:tabs>
          <w:tab w:val="num" w:pos="4320"/>
        </w:tabs>
        <w:ind w:left="4320" w:hanging="360"/>
      </w:pPr>
      <w:rPr>
        <w:rFonts w:ascii="Wingdings" w:hAnsi="Wingdings" w:hint="default"/>
      </w:rPr>
    </w:lvl>
    <w:lvl w:ilvl="6" w:tplc="7D0CAE60" w:tentative="1">
      <w:start w:val="1"/>
      <w:numFmt w:val="bullet"/>
      <w:lvlText w:val=""/>
      <w:lvlJc w:val="left"/>
      <w:pPr>
        <w:tabs>
          <w:tab w:val="num" w:pos="5040"/>
        </w:tabs>
        <w:ind w:left="5040" w:hanging="360"/>
      </w:pPr>
      <w:rPr>
        <w:rFonts w:ascii="Wingdings" w:hAnsi="Wingdings" w:hint="default"/>
      </w:rPr>
    </w:lvl>
    <w:lvl w:ilvl="7" w:tplc="2CAE608C" w:tentative="1">
      <w:start w:val="1"/>
      <w:numFmt w:val="bullet"/>
      <w:lvlText w:val=""/>
      <w:lvlJc w:val="left"/>
      <w:pPr>
        <w:tabs>
          <w:tab w:val="num" w:pos="5760"/>
        </w:tabs>
        <w:ind w:left="5760" w:hanging="360"/>
      </w:pPr>
      <w:rPr>
        <w:rFonts w:ascii="Wingdings" w:hAnsi="Wingdings" w:hint="default"/>
      </w:rPr>
    </w:lvl>
    <w:lvl w:ilvl="8" w:tplc="608AFDF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D0B50"/>
    <w:multiLevelType w:val="hybridMultilevel"/>
    <w:tmpl w:val="E0B40A5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2416DFF"/>
    <w:multiLevelType w:val="hybridMultilevel"/>
    <w:tmpl w:val="17C2ADB6"/>
    <w:lvl w:ilvl="0" w:tplc="04100001">
      <w:start w:val="1"/>
      <w:numFmt w:val="bullet"/>
      <w:lvlText w:val=""/>
      <w:lvlJc w:val="left"/>
      <w:pPr>
        <w:ind w:left="1288" w:hanging="360"/>
      </w:pPr>
      <w:rPr>
        <w:rFonts w:ascii="Symbol" w:hAnsi="Symbol" w:hint="default"/>
      </w:rPr>
    </w:lvl>
    <w:lvl w:ilvl="1" w:tplc="D2162A60" w:tentative="1">
      <w:start w:val="1"/>
      <w:numFmt w:val="bullet"/>
      <w:lvlText w:val=""/>
      <w:lvlJc w:val="left"/>
      <w:pPr>
        <w:tabs>
          <w:tab w:val="num" w:pos="2008"/>
        </w:tabs>
        <w:ind w:left="2008" w:hanging="360"/>
      </w:pPr>
      <w:rPr>
        <w:rFonts w:ascii="Wingdings" w:hAnsi="Wingdings" w:hint="default"/>
      </w:rPr>
    </w:lvl>
    <w:lvl w:ilvl="2" w:tplc="33FCAAC4" w:tentative="1">
      <w:start w:val="1"/>
      <w:numFmt w:val="bullet"/>
      <w:lvlText w:val=""/>
      <w:lvlJc w:val="left"/>
      <w:pPr>
        <w:tabs>
          <w:tab w:val="num" w:pos="2728"/>
        </w:tabs>
        <w:ind w:left="2728" w:hanging="360"/>
      </w:pPr>
      <w:rPr>
        <w:rFonts w:ascii="Wingdings" w:hAnsi="Wingdings" w:hint="default"/>
      </w:rPr>
    </w:lvl>
    <w:lvl w:ilvl="3" w:tplc="B92A2EDA" w:tentative="1">
      <w:start w:val="1"/>
      <w:numFmt w:val="bullet"/>
      <w:lvlText w:val=""/>
      <w:lvlJc w:val="left"/>
      <w:pPr>
        <w:tabs>
          <w:tab w:val="num" w:pos="3448"/>
        </w:tabs>
        <w:ind w:left="3448" w:hanging="360"/>
      </w:pPr>
      <w:rPr>
        <w:rFonts w:ascii="Wingdings" w:hAnsi="Wingdings" w:hint="default"/>
      </w:rPr>
    </w:lvl>
    <w:lvl w:ilvl="4" w:tplc="CDC216E2" w:tentative="1">
      <w:start w:val="1"/>
      <w:numFmt w:val="bullet"/>
      <w:lvlText w:val=""/>
      <w:lvlJc w:val="left"/>
      <w:pPr>
        <w:tabs>
          <w:tab w:val="num" w:pos="4168"/>
        </w:tabs>
        <w:ind w:left="4168" w:hanging="360"/>
      </w:pPr>
      <w:rPr>
        <w:rFonts w:ascii="Wingdings" w:hAnsi="Wingdings" w:hint="default"/>
      </w:rPr>
    </w:lvl>
    <w:lvl w:ilvl="5" w:tplc="1E226A46" w:tentative="1">
      <w:start w:val="1"/>
      <w:numFmt w:val="bullet"/>
      <w:lvlText w:val=""/>
      <w:lvlJc w:val="left"/>
      <w:pPr>
        <w:tabs>
          <w:tab w:val="num" w:pos="4888"/>
        </w:tabs>
        <w:ind w:left="4888" w:hanging="360"/>
      </w:pPr>
      <w:rPr>
        <w:rFonts w:ascii="Wingdings" w:hAnsi="Wingdings" w:hint="default"/>
      </w:rPr>
    </w:lvl>
    <w:lvl w:ilvl="6" w:tplc="7D0CAE60" w:tentative="1">
      <w:start w:val="1"/>
      <w:numFmt w:val="bullet"/>
      <w:lvlText w:val=""/>
      <w:lvlJc w:val="left"/>
      <w:pPr>
        <w:tabs>
          <w:tab w:val="num" w:pos="5608"/>
        </w:tabs>
        <w:ind w:left="5608" w:hanging="360"/>
      </w:pPr>
      <w:rPr>
        <w:rFonts w:ascii="Wingdings" w:hAnsi="Wingdings" w:hint="default"/>
      </w:rPr>
    </w:lvl>
    <w:lvl w:ilvl="7" w:tplc="2CAE608C" w:tentative="1">
      <w:start w:val="1"/>
      <w:numFmt w:val="bullet"/>
      <w:lvlText w:val=""/>
      <w:lvlJc w:val="left"/>
      <w:pPr>
        <w:tabs>
          <w:tab w:val="num" w:pos="6328"/>
        </w:tabs>
        <w:ind w:left="6328" w:hanging="360"/>
      </w:pPr>
      <w:rPr>
        <w:rFonts w:ascii="Wingdings" w:hAnsi="Wingdings" w:hint="default"/>
      </w:rPr>
    </w:lvl>
    <w:lvl w:ilvl="8" w:tplc="608AFDFE" w:tentative="1">
      <w:start w:val="1"/>
      <w:numFmt w:val="bullet"/>
      <w:lvlText w:val=""/>
      <w:lvlJc w:val="left"/>
      <w:pPr>
        <w:tabs>
          <w:tab w:val="num" w:pos="7048"/>
        </w:tabs>
        <w:ind w:left="7048" w:hanging="360"/>
      </w:pPr>
      <w:rPr>
        <w:rFonts w:ascii="Wingdings" w:hAnsi="Wingdings" w:hint="default"/>
      </w:rPr>
    </w:lvl>
  </w:abstractNum>
  <w:abstractNum w:abstractNumId="4" w15:restartNumberingAfterBreak="0">
    <w:nsid w:val="152C7929"/>
    <w:multiLevelType w:val="multilevel"/>
    <w:tmpl w:val="7CAEBD78"/>
    <w:lvl w:ilvl="0">
      <w:start w:val="1"/>
      <w:numFmt w:val="lowerLetter"/>
      <w:lvlText w:val="%1."/>
      <w:lvlJc w:val="left"/>
      <w:pPr>
        <w:tabs>
          <w:tab w:val="num" w:pos="720"/>
        </w:tabs>
        <w:ind w:left="720" w:hanging="360"/>
      </w:pPr>
      <w:rPr>
        <w:rFonts w:ascii="Calibri" w:eastAsia="MS Mincho" w:hAnsi="Calibri"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23E66858"/>
    <w:multiLevelType w:val="hybridMultilevel"/>
    <w:tmpl w:val="B20856DA"/>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6FD348C6"/>
    <w:multiLevelType w:val="multilevel"/>
    <w:tmpl w:val="99003E9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EA11CA"/>
    <w:multiLevelType w:val="multilevel"/>
    <w:tmpl w:val="B20856DA"/>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4"/>
  </w:num>
  <w:num w:numId="2">
    <w:abstractNumId w:val="0"/>
  </w:num>
  <w:num w:numId="3">
    <w:abstractNumId w:val="1"/>
  </w:num>
  <w:num w:numId="4">
    <w:abstractNumId w:val="6"/>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52"/>
    <w:rsid w:val="000064A6"/>
    <w:rsid w:val="00007F60"/>
    <w:rsid w:val="0001270B"/>
    <w:rsid w:val="00017264"/>
    <w:rsid w:val="0002174C"/>
    <w:rsid w:val="000225DB"/>
    <w:rsid w:val="00036608"/>
    <w:rsid w:val="00036835"/>
    <w:rsid w:val="000373AB"/>
    <w:rsid w:val="00037D5D"/>
    <w:rsid w:val="00040390"/>
    <w:rsid w:val="00041614"/>
    <w:rsid w:val="00043219"/>
    <w:rsid w:val="00051FE1"/>
    <w:rsid w:val="00053004"/>
    <w:rsid w:val="000570D7"/>
    <w:rsid w:val="00057A2B"/>
    <w:rsid w:val="00060B2F"/>
    <w:rsid w:val="000621BD"/>
    <w:rsid w:val="00067DCC"/>
    <w:rsid w:val="00071932"/>
    <w:rsid w:val="00074EB1"/>
    <w:rsid w:val="00075874"/>
    <w:rsid w:val="0007789E"/>
    <w:rsid w:val="00081DFE"/>
    <w:rsid w:val="00083F3D"/>
    <w:rsid w:val="00092B0F"/>
    <w:rsid w:val="000A0B7E"/>
    <w:rsid w:val="000A0BC1"/>
    <w:rsid w:val="000A186E"/>
    <w:rsid w:val="000A2577"/>
    <w:rsid w:val="000A4E31"/>
    <w:rsid w:val="000A60F9"/>
    <w:rsid w:val="000B2DBE"/>
    <w:rsid w:val="000B321A"/>
    <w:rsid w:val="000B44B4"/>
    <w:rsid w:val="000C343A"/>
    <w:rsid w:val="000C4037"/>
    <w:rsid w:val="000D23F3"/>
    <w:rsid w:val="000E404F"/>
    <w:rsid w:val="000E4B88"/>
    <w:rsid w:val="000F0D4C"/>
    <w:rsid w:val="000F1587"/>
    <w:rsid w:val="000F37BA"/>
    <w:rsid w:val="000F3BEA"/>
    <w:rsid w:val="000F5A41"/>
    <w:rsid w:val="00101B9D"/>
    <w:rsid w:val="00101F26"/>
    <w:rsid w:val="00105563"/>
    <w:rsid w:val="00107589"/>
    <w:rsid w:val="00122749"/>
    <w:rsid w:val="00130CB5"/>
    <w:rsid w:val="001336DE"/>
    <w:rsid w:val="00136A3F"/>
    <w:rsid w:val="001374E3"/>
    <w:rsid w:val="001424E9"/>
    <w:rsid w:val="00143B68"/>
    <w:rsid w:val="00145AEA"/>
    <w:rsid w:val="001550BB"/>
    <w:rsid w:val="00156B1F"/>
    <w:rsid w:val="00161138"/>
    <w:rsid w:val="00162B04"/>
    <w:rsid w:val="00166F9B"/>
    <w:rsid w:val="001717B1"/>
    <w:rsid w:val="00187EBD"/>
    <w:rsid w:val="001970E5"/>
    <w:rsid w:val="001A136B"/>
    <w:rsid w:val="001A5537"/>
    <w:rsid w:val="001B0E4F"/>
    <w:rsid w:val="001B4EA3"/>
    <w:rsid w:val="001B5ABF"/>
    <w:rsid w:val="001C34CA"/>
    <w:rsid w:val="001C3DA8"/>
    <w:rsid w:val="001D0AE3"/>
    <w:rsid w:val="001D14AE"/>
    <w:rsid w:val="001D47B4"/>
    <w:rsid w:val="001D6047"/>
    <w:rsid w:val="001E0A54"/>
    <w:rsid w:val="001E3995"/>
    <w:rsid w:val="001F0969"/>
    <w:rsid w:val="001F0AE4"/>
    <w:rsid w:val="00200B50"/>
    <w:rsid w:val="002013E7"/>
    <w:rsid w:val="002079AC"/>
    <w:rsid w:val="002128FF"/>
    <w:rsid w:val="0023239D"/>
    <w:rsid w:val="0024045C"/>
    <w:rsid w:val="00241853"/>
    <w:rsid w:val="00242727"/>
    <w:rsid w:val="00244767"/>
    <w:rsid w:val="00244E37"/>
    <w:rsid w:val="00245C67"/>
    <w:rsid w:val="00247B02"/>
    <w:rsid w:val="00256E3B"/>
    <w:rsid w:val="00260C9E"/>
    <w:rsid w:val="00261D0D"/>
    <w:rsid w:val="00263310"/>
    <w:rsid w:val="00264529"/>
    <w:rsid w:val="002679D7"/>
    <w:rsid w:val="00272A87"/>
    <w:rsid w:val="002734A8"/>
    <w:rsid w:val="00274F83"/>
    <w:rsid w:val="00283F0F"/>
    <w:rsid w:val="0029647C"/>
    <w:rsid w:val="00296CDF"/>
    <w:rsid w:val="00296F3B"/>
    <w:rsid w:val="002971B5"/>
    <w:rsid w:val="00297A10"/>
    <w:rsid w:val="00297CD1"/>
    <w:rsid w:val="00297E6E"/>
    <w:rsid w:val="002A33F4"/>
    <w:rsid w:val="002A466C"/>
    <w:rsid w:val="002A713B"/>
    <w:rsid w:val="002B0094"/>
    <w:rsid w:val="002B2B96"/>
    <w:rsid w:val="002B77FA"/>
    <w:rsid w:val="002C0689"/>
    <w:rsid w:val="002C60E1"/>
    <w:rsid w:val="002C7DDD"/>
    <w:rsid w:val="002D5304"/>
    <w:rsid w:val="002D61C7"/>
    <w:rsid w:val="002E159A"/>
    <w:rsid w:val="002F4BE7"/>
    <w:rsid w:val="0030570D"/>
    <w:rsid w:val="00321B45"/>
    <w:rsid w:val="00324048"/>
    <w:rsid w:val="003253BF"/>
    <w:rsid w:val="00330F73"/>
    <w:rsid w:val="00331C47"/>
    <w:rsid w:val="00336C57"/>
    <w:rsid w:val="00336D58"/>
    <w:rsid w:val="00342EFD"/>
    <w:rsid w:val="00344772"/>
    <w:rsid w:val="00352580"/>
    <w:rsid w:val="0035363C"/>
    <w:rsid w:val="00362238"/>
    <w:rsid w:val="00371AA5"/>
    <w:rsid w:val="00381107"/>
    <w:rsid w:val="003859A6"/>
    <w:rsid w:val="00396323"/>
    <w:rsid w:val="003A4875"/>
    <w:rsid w:val="003A4C9E"/>
    <w:rsid w:val="003A519C"/>
    <w:rsid w:val="003A5571"/>
    <w:rsid w:val="003A6B2D"/>
    <w:rsid w:val="003B3FC7"/>
    <w:rsid w:val="003B7F37"/>
    <w:rsid w:val="003C5C2A"/>
    <w:rsid w:val="003C660F"/>
    <w:rsid w:val="003C7BC7"/>
    <w:rsid w:val="003D51FC"/>
    <w:rsid w:val="003D6066"/>
    <w:rsid w:val="003D7119"/>
    <w:rsid w:val="003D7BA9"/>
    <w:rsid w:val="003E1314"/>
    <w:rsid w:val="003E3D23"/>
    <w:rsid w:val="003E7603"/>
    <w:rsid w:val="004003C1"/>
    <w:rsid w:val="0040090A"/>
    <w:rsid w:val="00402F61"/>
    <w:rsid w:val="00406CD8"/>
    <w:rsid w:val="00412CB4"/>
    <w:rsid w:val="00414F87"/>
    <w:rsid w:val="00423228"/>
    <w:rsid w:val="004344D6"/>
    <w:rsid w:val="004348F6"/>
    <w:rsid w:val="00435311"/>
    <w:rsid w:val="0043761D"/>
    <w:rsid w:val="00441C62"/>
    <w:rsid w:val="00442260"/>
    <w:rsid w:val="004423ED"/>
    <w:rsid w:val="00444F60"/>
    <w:rsid w:val="00447E68"/>
    <w:rsid w:val="00450755"/>
    <w:rsid w:val="00451485"/>
    <w:rsid w:val="00461987"/>
    <w:rsid w:val="00462AFA"/>
    <w:rsid w:val="00472C37"/>
    <w:rsid w:val="00472EAF"/>
    <w:rsid w:val="004744AE"/>
    <w:rsid w:val="00475A3C"/>
    <w:rsid w:val="00475CCE"/>
    <w:rsid w:val="00490FC6"/>
    <w:rsid w:val="004A42F5"/>
    <w:rsid w:val="004B49C4"/>
    <w:rsid w:val="004B49C6"/>
    <w:rsid w:val="004B5CA4"/>
    <w:rsid w:val="004C202E"/>
    <w:rsid w:val="004C4582"/>
    <w:rsid w:val="004C574F"/>
    <w:rsid w:val="004D09FC"/>
    <w:rsid w:val="004E022C"/>
    <w:rsid w:val="004E0911"/>
    <w:rsid w:val="004E2157"/>
    <w:rsid w:val="004E279B"/>
    <w:rsid w:val="004E2F39"/>
    <w:rsid w:val="004E70D5"/>
    <w:rsid w:val="004E7F56"/>
    <w:rsid w:val="004F132D"/>
    <w:rsid w:val="004F397A"/>
    <w:rsid w:val="00503CD2"/>
    <w:rsid w:val="00510503"/>
    <w:rsid w:val="0051219B"/>
    <w:rsid w:val="00520830"/>
    <w:rsid w:val="0052377C"/>
    <w:rsid w:val="00526CEB"/>
    <w:rsid w:val="005309CB"/>
    <w:rsid w:val="00537580"/>
    <w:rsid w:val="005375A5"/>
    <w:rsid w:val="00537B1B"/>
    <w:rsid w:val="00540D92"/>
    <w:rsid w:val="00544F0D"/>
    <w:rsid w:val="00544F7D"/>
    <w:rsid w:val="0055082B"/>
    <w:rsid w:val="00562023"/>
    <w:rsid w:val="00564B14"/>
    <w:rsid w:val="005653F6"/>
    <w:rsid w:val="00581E72"/>
    <w:rsid w:val="00586E3F"/>
    <w:rsid w:val="00592331"/>
    <w:rsid w:val="00596DB6"/>
    <w:rsid w:val="00597848"/>
    <w:rsid w:val="005A2AFC"/>
    <w:rsid w:val="005B2053"/>
    <w:rsid w:val="005B67BC"/>
    <w:rsid w:val="005B6F28"/>
    <w:rsid w:val="005C20BD"/>
    <w:rsid w:val="005C799E"/>
    <w:rsid w:val="005D2032"/>
    <w:rsid w:val="005D3FC4"/>
    <w:rsid w:val="005D5061"/>
    <w:rsid w:val="005D5759"/>
    <w:rsid w:val="005D6734"/>
    <w:rsid w:val="005E167A"/>
    <w:rsid w:val="005E2ECA"/>
    <w:rsid w:val="005E52D4"/>
    <w:rsid w:val="005F33E8"/>
    <w:rsid w:val="00600592"/>
    <w:rsid w:val="00600B9D"/>
    <w:rsid w:val="006034D7"/>
    <w:rsid w:val="00604BB8"/>
    <w:rsid w:val="006056BD"/>
    <w:rsid w:val="006134AE"/>
    <w:rsid w:val="006162C4"/>
    <w:rsid w:val="006220E8"/>
    <w:rsid w:val="0062349D"/>
    <w:rsid w:val="00626963"/>
    <w:rsid w:val="00633066"/>
    <w:rsid w:val="006361BD"/>
    <w:rsid w:val="0064113C"/>
    <w:rsid w:val="00645C01"/>
    <w:rsid w:val="0064725C"/>
    <w:rsid w:val="00653BE5"/>
    <w:rsid w:val="00654942"/>
    <w:rsid w:val="006570D2"/>
    <w:rsid w:val="00662995"/>
    <w:rsid w:val="006629DB"/>
    <w:rsid w:val="006662D3"/>
    <w:rsid w:val="0067629E"/>
    <w:rsid w:val="00686295"/>
    <w:rsid w:val="00695985"/>
    <w:rsid w:val="006A1F3E"/>
    <w:rsid w:val="006A332B"/>
    <w:rsid w:val="006A33BA"/>
    <w:rsid w:val="006C0BDA"/>
    <w:rsid w:val="006C5565"/>
    <w:rsid w:val="006D0019"/>
    <w:rsid w:val="006D569D"/>
    <w:rsid w:val="006D6E68"/>
    <w:rsid w:val="006F1FA8"/>
    <w:rsid w:val="006F4898"/>
    <w:rsid w:val="006F7087"/>
    <w:rsid w:val="00701D50"/>
    <w:rsid w:val="00704062"/>
    <w:rsid w:val="0070671A"/>
    <w:rsid w:val="00706B89"/>
    <w:rsid w:val="00707A77"/>
    <w:rsid w:val="00722746"/>
    <w:rsid w:val="00724910"/>
    <w:rsid w:val="00724CF9"/>
    <w:rsid w:val="00726D56"/>
    <w:rsid w:val="007334B3"/>
    <w:rsid w:val="00733D30"/>
    <w:rsid w:val="00737B74"/>
    <w:rsid w:val="007425FA"/>
    <w:rsid w:val="00743B5E"/>
    <w:rsid w:val="00743F91"/>
    <w:rsid w:val="00746D54"/>
    <w:rsid w:val="00750CF8"/>
    <w:rsid w:val="00762262"/>
    <w:rsid w:val="00763532"/>
    <w:rsid w:val="00782F3E"/>
    <w:rsid w:val="00785AC5"/>
    <w:rsid w:val="0079206D"/>
    <w:rsid w:val="007A096F"/>
    <w:rsid w:val="007B2328"/>
    <w:rsid w:val="007B3A5D"/>
    <w:rsid w:val="007B7389"/>
    <w:rsid w:val="007C30D1"/>
    <w:rsid w:val="007C6725"/>
    <w:rsid w:val="007D2640"/>
    <w:rsid w:val="007D3954"/>
    <w:rsid w:val="007E260C"/>
    <w:rsid w:val="007E7E12"/>
    <w:rsid w:val="007F0133"/>
    <w:rsid w:val="007F26AD"/>
    <w:rsid w:val="007F3AB9"/>
    <w:rsid w:val="007F435D"/>
    <w:rsid w:val="007F5620"/>
    <w:rsid w:val="007F5E2B"/>
    <w:rsid w:val="0080271A"/>
    <w:rsid w:val="00810448"/>
    <w:rsid w:val="00822BF0"/>
    <w:rsid w:val="00827A08"/>
    <w:rsid w:val="00830E14"/>
    <w:rsid w:val="00856764"/>
    <w:rsid w:val="0085732C"/>
    <w:rsid w:val="00860388"/>
    <w:rsid w:val="0086062E"/>
    <w:rsid w:val="00866B77"/>
    <w:rsid w:val="00871448"/>
    <w:rsid w:val="008720DD"/>
    <w:rsid w:val="00876639"/>
    <w:rsid w:val="00880B43"/>
    <w:rsid w:val="008818B4"/>
    <w:rsid w:val="00887088"/>
    <w:rsid w:val="00891EE9"/>
    <w:rsid w:val="008959A7"/>
    <w:rsid w:val="00897F76"/>
    <w:rsid w:val="008B482A"/>
    <w:rsid w:val="008B66E3"/>
    <w:rsid w:val="008C08FD"/>
    <w:rsid w:val="008D122C"/>
    <w:rsid w:val="008D2613"/>
    <w:rsid w:val="008D7A65"/>
    <w:rsid w:val="008E02A3"/>
    <w:rsid w:val="008E3406"/>
    <w:rsid w:val="008E6833"/>
    <w:rsid w:val="009048B7"/>
    <w:rsid w:val="00904B2B"/>
    <w:rsid w:val="0090601B"/>
    <w:rsid w:val="00915D1B"/>
    <w:rsid w:val="0092198B"/>
    <w:rsid w:val="00935ED6"/>
    <w:rsid w:val="00942664"/>
    <w:rsid w:val="00943E21"/>
    <w:rsid w:val="00950AA1"/>
    <w:rsid w:val="009734A8"/>
    <w:rsid w:val="00977DA8"/>
    <w:rsid w:val="0098329B"/>
    <w:rsid w:val="009869BB"/>
    <w:rsid w:val="00987915"/>
    <w:rsid w:val="009A0578"/>
    <w:rsid w:val="009A0861"/>
    <w:rsid w:val="009A0FB7"/>
    <w:rsid w:val="009A3B60"/>
    <w:rsid w:val="009B029E"/>
    <w:rsid w:val="009B2545"/>
    <w:rsid w:val="009B481D"/>
    <w:rsid w:val="009B5C19"/>
    <w:rsid w:val="009C0A81"/>
    <w:rsid w:val="009C26E7"/>
    <w:rsid w:val="009C631E"/>
    <w:rsid w:val="009D635C"/>
    <w:rsid w:val="009D7EED"/>
    <w:rsid w:val="009E2109"/>
    <w:rsid w:val="009E64A7"/>
    <w:rsid w:val="009E6691"/>
    <w:rsid w:val="009F250D"/>
    <w:rsid w:val="009F7198"/>
    <w:rsid w:val="00A02B52"/>
    <w:rsid w:val="00A0350A"/>
    <w:rsid w:val="00A06358"/>
    <w:rsid w:val="00A10999"/>
    <w:rsid w:val="00A325C6"/>
    <w:rsid w:val="00A35743"/>
    <w:rsid w:val="00A37872"/>
    <w:rsid w:val="00A4265C"/>
    <w:rsid w:val="00A44B13"/>
    <w:rsid w:val="00A5022E"/>
    <w:rsid w:val="00A55FA3"/>
    <w:rsid w:val="00A73067"/>
    <w:rsid w:val="00A74169"/>
    <w:rsid w:val="00A8004E"/>
    <w:rsid w:val="00A82967"/>
    <w:rsid w:val="00A96943"/>
    <w:rsid w:val="00AA301E"/>
    <w:rsid w:val="00AB2737"/>
    <w:rsid w:val="00AB3AE4"/>
    <w:rsid w:val="00AB6357"/>
    <w:rsid w:val="00AD2B92"/>
    <w:rsid w:val="00AE3004"/>
    <w:rsid w:val="00AE3908"/>
    <w:rsid w:val="00AE496A"/>
    <w:rsid w:val="00AE6742"/>
    <w:rsid w:val="00AE710B"/>
    <w:rsid w:val="00AF0084"/>
    <w:rsid w:val="00AF4140"/>
    <w:rsid w:val="00AF5800"/>
    <w:rsid w:val="00B02E10"/>
    <w:rsid w:val="00B05A7B"/>
    <w:rsid w:val="00B1049B"/>
    <w:rsid w:val="00B14BE9"/>
    <w:rsid w:val="00B200FD"/>
    <w:rsid w:val="00B22FB6"/>
    <w:rsid w:val="00B24F09"/>
    <w:rsid w:val="00B277F7"/>
    <w:rsid w:val="00B27941"/>
    <w:rsid w:val="00B33CB8"/>
    <w:rsid w:val="00B354DA"/>
    <w:rsid w:val="00B45078"/>
    <w:rsid w:val="00B46D88"/>
    <w:rsid w:val="00B511D0"/>
    <w:rsid w:val="00B51EC5"/>
    <w:rsid w:val="00B55406"/>
    <w:rsid w:val="00B56A3F"/>
    <w:rsid w:val="00B57D5F"/>
    <w:rsid w:val="00B67759"/>
    <w:rsid w:val="00B75AA8"/>
    <w:rsid w:val="00B75E63"/>
    <w:rsid w:val="00B81849"/>
    <w:rsid w:val="00BA4E06"/>
    <w:rsid w:val="00BB36EE"/>
    <w:rsid w:val="00BC2836"/>
    <w:rsid w:val="00BC33F1"/>
    <w:rsid w:val="00BC397B"/>
    <w:rsid w:val="00BD04F5"/>
    <w:rsid w:val="00BD6DD5"/>
    <w:rsid w:val="00BE0583"/>
    <w:rsid w:val="00BE108D"/>
    <w:rsid w:val="00BE158E"/>
    <w:rsid w:val="00BE534A"/>
    <w:rsid w:val="00BF58FB"/>
    <w:rsid w:val="00C0082C"/>
    <w:rsid w:val="00C046FA"/>
    <w:rsid w:val="00C14ED1"/>
    <w:rsid w:val="00C14F09"/>
    <w:rsid w:val="00C23B60"/>
    <w:rsid w:val="00C26DEE"/>
    <w:rsid w:val="00C31EFE"/>
    <w:rsid w:val="00C40F01"/>
    <w:rsid w:val="00C46602"/>
    <w:rsid w:val="00C50724"/>
    <w:rsid w:val="00C601CB"/>
    <w:rsid w:val="00C616DF"/>
    <w:rsid w:val="00C712DA"/>
    <w:rsid w:val="00C71499"/>
    <w:rsid w:val="00C77F02"/>
    <w:rsid w:val="00C80851"/>
    <w:rsid w:val="00C86974"/>
    <w:rsid w:val="00C90561"/>
    <w:rsid w:val="00C93CC6"/>
    <w:rsid w:val="00C957FE"/>
    <w:rsid w:val="00CA3081"/>
    <w:rsid w:val="00CA51D2"/>
    <w:rsid w:val="00CB001A"/>
    <w:rsid w:val="00CB0CBF"/>
    <w:rsid w:val="00CB619F"/>
    <w:rsid w:val="00CB70AC"/>
    <w:rsid w:val="00CB7BD8"/>
    <w:rsid w:val="00CC1185"/>
    <w:rsid w:val="00CC2B1F"/>
    <w:rsid w:val="00CC42F1"/>
    <w:rsid w:val="00CD11A9"/>
    <w:rsid w:val="00CD1FBC"/>
    <w:rsid w:val="00CD52A1"/>
    <w:rsid w:val="00CD53D1"/>
    <w:rsid w:val="00CE2362"/>
    <w:rsid w:val="00CE329A"/>
    <w:rsid w:val="00CF27E2"/>
    <w:rsid w:val="00D0580A"/>
    <w:rsid w:val="00D1318C"/>
    <w:rsid w:val="00D140F9"/>
    <w:rsid w:val="00D14548"/>
    <w:rsid w:val="00D15D24"/>
    <w:rsid w:val="00D2357C"/>
    <w:rsid w:val="00D23847"/>
    <w:rsid w:val="00D27052"/>
    <w:rsid w:val="00D30E3D"/>
    <w:rsid w:val="00D32088"/>
    <w:rsid w:val="00D33DBB"/>
    <w:rsid w:val="00D42810"/>
    <w:rsid w:val="00D43D5F"/>
    <w:rsid w:val="00D62BBE"/>
    <w:rsid w:val="00D650C8"/>
    <w:rsid w:val="00D77F86"/>
    <w:rsid w:val="00D90203"/>
    <w:rsid w:val="00D9025D"/>
    <w:rsid w:val="00D9209E"/>
    <w:rsid w:val="00D92383"/>
    <w:rsid w:val="00D9352C"/>
    <w:rsid w:val="00D949C0"/>
    <w:rsid w:val="00DA3818"/>
    <w:rsid w:val="00DB382B"/>
    <w:rsid w:val="00DB574D"/>
    <w:rsid w:val="00DB6F5C"/>
    <w:rsid w:val="00DC1764"/>
    <w:rsid w:val="00DC2C1E"/>
    <w:rsid w:val="00DC2EE6"/>
    <w:rsid w:val="00DC5B37"/>
    <w:rsid w:val="00DC629A"/>
    <w:rsid w:val="00DC7E53"/>
    <w:rsid w:val="00DD18AE"/>
    <w:rsid w:val="00DD434A"/>
    <w:rsid w:val="00DD481D"/>
    <w:rsid w:val="00DE18FC"/>
    <w:rsid w:val="00DF2B4D"/>
    <w:rsid w:val="00DF49D9"/>
    <w:rsid w:val="00DF4E63"/>
    <w:rsid w:val="00E02A39"/>
    <w:rsid w:val="00E122F2"/>
    <w:rsid w:val="00E16241"/>
    <w:rsid w:val="00E25590"/>
    <w:rsid w:val="00E42E45"/>
    <w:rsid w:val="00E45364"/>
    <w:rsid w:val="00E5743E"/>
    <w:rsid w:val="00E67A4B"/>
    <w:rsid w:val="00E71CC5"/>
    <w:rsid w:val="00E84C54"/>
    <w:rsid w:val="00E85210"/>
    <w:rsid w:val="00E8535E"/>
    <w:rsid w:val="00E9295F"/>
    <w:rsid w:val="00EA0062"/>
    <w:rsid w:val="00EA0DA8"/>
    <w:rsid w:val="00EA392E"/>
    <w:rsid w:val="00EA3B66"/>
    <w:rsid w:val="00EB020F"/>
    <w:rsid w:val="00EC4D1C"/>
    <w:rsid w:val="00ED0451"/>
    <w:rsid w:val="00ED7862"/>
    <w:rsid w:val="00EE25B1"/>
    <w:rsid w:val="00EE3F66"/>
    <w:rsid w:val="00EE493A"/>
    <w:rsid w:val="00EF19C7"/>
    <w:rsid w:val="00EF4EE7"/>
    <w:rsid w:val="00EF669D"/>
    <w:rsid w:val="00EF737E"/>
    <w:rsid w:val="00F0389E"/>
    <w:rsid w:val="00F03C2A"/>
    <w:rsid w:val="00F05A29"/>
    <w:rsid w:val="00F11338"/>
    <w:rsid w:val="00F219D6"/>
    <w:rsid w:val="00F31E2C"/>
    <w:rsid w:val="00F36281"/>
    <w:rsid w:val="00F37ECC"/>
    <w:rsid w:val="00F42A49"/>
    <w:rsid w:val="00F4444A"/>
    <w:rsid w:val="00F472B3"/>
    <w:rsid w:val="00F50E94"/>
    <w:rsid w:val="00F51A76"/>
    <w:rsid w:val="00F5663A"/>
    <w:rsid w:val="00F60699"/>
    <w:rsid w:val="00F61370"/>
    <w:rsid w:val="00F628A6"/>
    <w:rsid w:val="00F63E4B"/>
    <w:rsid w:val="00F64913"/>
    <w:rsid w:val="00F67842"/>
    <w:rsid w:val="00F74A98"/>
    <w:rsid w:val="00F86CC6"/>
    <w:rsid w:val="00F87E6C"/>
    <w:rsid w:val="00F903CC"/>
    <w:rsid w:val="00F93992"/>
    <w:rsid w:val="00FA64AD"/>
    <w:rsid w:val="00FB0FA9"/>
    <w:rsid w:val="00FB3F02"/>
    <w:rsid w:val="00FB5110"/>
    <w:rsid w:val="00FB59BA"/>
    <w:rsid w:val="00FB6F91"/>
    <w:rsid w:val="00FC2B4C"/>
    <w:rsid w:val="00FC609F"/>
    <w:rsid w:val="00FD6DF9"/>
    <w:rsid w:val="00FE0F25"/>
    <w:rsid w:val="00FE387A"/>
    <w:rsid w:val="00FE3D48"/>
    <w:rsid w:val="00FF51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77FAFDB"/>
  <w15:docId w15:val="{7EE0BF2B-6048-4453-994E-C7167F45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1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101B9D"/>
  </w:style>
  <w:style w:type="character" w:customStyle="1" w:styleId="FootnoteTextChar">
    <w:name w:val="Footnote Text Char"/>
    <w:basedOn w:val="DefaultParagraphFont"/>
    <w:link w:val="FootnoteText"/>
    <w:uiPriority w:val="99"/>
    <w:locked/>
    <w:rsid w:val="00101B9D"/>
    <w:rPr>
      <w:rFonts w:cs="Times New Roman"/>
      <w:sz w:val="24"/>
      <w:szCs w:val="24"/>
      <w:lang w:eastAsia="it-IT"/>
    </w:rPr>
  </w:style>
  <w:style w:type="character" w:styleId="FootnoteReference">
    <w:name w:val="footnote reference"/>
    <w:basedOn w:val="DefaultParagraphFont"/>
    <w:uiPriority w:val="99"/>
    <w:rsid w:val="00101B9D"/>
    <w:rPr>
      <w:rFonts w:cs="Times New Roman"/>
      <w:vertAlign w:val="superscript"/>
    </w:rPr>
  </w:style>
  <w:style w:type="paragraph" w:styleId="ListParagraph">
    <w:name w:val="List Paragraph"/>
    <w:basedOn w:val="Normal"/>
    <w:uiPriority w:val="99"/>
    <w:qFormat/>
    <w:rsid w:val="00344772"/>
    <w:pPr>
      <w:ind w:left="720"/>
      <w:contextualSpacing/>
    </w:pPr>
  </w:style>
  <w:style w:type="paragraph" w:styleId="Header">
    <w:name w:val="header"/>
    <w:basedOn w:val="Normal"/>
    <w:link w:val="HeaderChar"/>
    <w:uiPriority w:val="99"/>
    <w:rsid w:val="007F435D"/>
    <w:pPr>
      <w:tabs>
        <w:tab w:val="center" w:pos="4819"/>
        <w:tab w:val="right" w:pos="9638"/>
      </w:tabs>
    </w:pPr>
  </w:style>
  <w:style w:type="character" w:customStyle="1" w:styleId="HeaderChar">
    <w:name w:val="Header Char"/>
    <w:basedOn w:val="DefaultParagraphFont"/>
    <w:link w:val="Header"/>
    <w:uiPriority w:val="99"/>
    <w:locked/>
    <w:rsid w:val="007F435D"/>
    <w:rPr>
      <w:rFonts w:cs="Times New Roman"/>
      <w:sz w:val="24"/>
      <w:szCs w:val="24"/>
      <w:lang w:eastAsia="it-IT"/>
    </w:rPr>
  </w:style>
  <w:style w:type="paragraph" w:styleId="Footer">
    <w:name w:val="footer"/>
    <w:basedOn w:val="Normal"/>
    <w:link w:val="FooterChar"/>
    <w:uiPriority w:val="99"/>
    <w:rsid w:val="007F435D"/>
    <w:pPr>
      <w:tabs>
        <w:tab w:val="center" w:pos="4819"/>
        <w:tab w:val="right" w:pos="9638"/>
      </w:tabs>
    </w:pPr>
  </w:style>
  <w:style w:type="character" w:customStyle="1" w:styleId="FooterChar">
    <w:name w:val="Footer Char"/>
    <w:basedOn w:val="DefaultParagraphFont"/>
    <w:link w:val="Footer"/>
    <w:uiPriority w:val="99"/>
    <w:locked/>
    <w:rsid w:val="007F435D"/>
    <w:rPr>
      <w:rFonts w:cs="Times New Roman"/>
      <w:sz w:val="24"/>
      <w:szCs w:val="24"/>
      <w:lang w:eastAsia="it-IT"/>
    </w:rPr>
  </w:style>
  <w:style w:type="character" w:styleId="PageNumber">
    <w:name w:val="page number"/>
    <w:basedOn w:val="DefaultParagraphFont"/>
    <w:uiPriority w:val="99"/>
    <w:semiHidden/>
    <w:rsid w:val="00324048"/>
    <w:rPr>
      <w:rFonts w:cs="Times New Roman"/>
    </w:rPr>
  </w:style>
  <w:style w:type="paragraph" w:styleId="DocumentMap">
    <w:name w:val="Document Map"/>
    <w:basedOn w:val="Normal"/>
    <w:link w:val="DocumentMapChar"/>
    <w:uiPriority w:val="99"/>
    <w:semiHidden/>
    <w:rsid w:val="003C7BC7"/>
    <w:rPr>
      <w:rFonts w:ascii="Lucida Grande" w:hAnsi="Lucida Grande" w:cs="Lucida Grande"/>
    </w:rPr>
  </w:style>
  <w:style w:type="character" w:customStyle="1" w:styleId="DocumentMapChar">
    <w:name w:val="Document Map Char"/>
    <w:basedOn w:val="DefaultParagraphFont"/>
    <w:link w:val="DocumentMap"/>
    <w:uiPriority w:val="99"/>
    <w:semiHidden/>
    <w:locked/>
    <w:rsid w:val="003C7BC7"/>
    <w:rPr>
      <w:rFonts w:ascii="Lucida Grande" w:hAnsi="Lucida Grande" w:cs="Lucida Grande"/>
      <w:sz w:val="24"/>
      <w:szCs w:val="24"/>
      <w:lang w:eastAsia="it-IT"/>
    </w:rPr>
  </w:style>
  <w:style w:type="paragraph" w:styleId="BalloonText">
    <w:name w:val="Balloon Text"/>
    <w:basedOn w:val="Normal"/>
    <w:link w:val="BalloonTextChar"/>
    <w:uiPriority w:val="99"/>
    <w:semiHidden/>
    <w:rsid w:val="00D949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949C0"/>
    <w:rPr>
      <w:rFonts w:ascii="Lucida Grande" w:hAnsi="Lucida Grande" w:cs="Lucida Grande"/>
      <w:sz w:val="18"/>
      <w:szCs w:val="18"/>
      <w:lang w:eastAsia="it-IT"/>
    </w:rPr>
  </w:style>
  <w:style w:type="character" w:styleId="Hyperlink">
    <w:name w:val="Hyperlink"/>
    <w:basedOn w:val="DefaultParagraphFont"/>
    <w:uiPriority w:val="99"/>
    <w:rsid w:val="0051219B"/>
    <w:rPr>
      <w:rFonts w:cs="Times New Roman"/>
      <w:color w:val="0000FF"/>
      <w:u w:val="single"/>
    </w:rPr>
  </w:style>
  <w:style w:type="paragraph" w:styleId="Revision">
    <w:name w:val="Revision"/>
    <w:hidden/>
    <w:uiPriority w:val="99"/>
    <w:semiHidden/>
    <w:rsid w:val="002404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4706468">
      <w:marLeft w:val="0"/>
      <w:marRight w:val="0"/>
      <w:marTop w:val="0"/>
      <w:marBottom w:val="0"/>
      <w:divBdr>
        <w:top w:val="none" w:sz="0" w:space="0" w:color="auto"/>
        <w:left w:val="none" w:sz="0" w:space="0" w:color="auto"/>
        <w:bottom w:val="none" w:sz="0" w:space="0" w:color="auto"/>
        <w:right w:val="none" w:sz="0" w:space="0" w:color="auto"/>
      </w:divBdr>
      <w:divsChild>
        <w:div w:id="1574706465">
          <w:marLeft w:val="432"/>
          <w:marRight w:val="0"/>
          <w:marTop w:val="120"/>
          <w:marBottom w:val="0"/>
          <w:divBdr>
            <w:top w:val="none" w:sz="0" w:space="0" w:color="auto"/>
            <w:left w:val="none" w:sz="0" w:space="0" w:color="auto"/>
            <w:bottom w:val="none" w:sz="0" w:space="0" w:color="auto"/>
            <w:right w:val="none" w:sz="0" w:space="0" w:color="auto"/>
          </w:divBdr>
        </w:div>
        <w:div w:id="1574706466">
          <w:marLeft w:val="432"/>
          <w:marRight w:val="0"/>
          <w:marTop w:val="120"/>
          <w:marBottom w:val="0"/>
          <w:divBdr>
            <w:top w:val="none" w:sz="0" w:space="0" w:color="auto"/>
            <w:left w:val="none" w:sz="0" w:space="0" w:color="auto"/>
            <w:bottom w:val="none" w:sz="0" w:space="0" w:color="auto"/>
            <w:right w:val="none" w:sz="0" w:space="0" w:color="auto"/>
          </w:divBdr>
        </w:div>
        <w:div w:id="1574706467">
          <w:marLeft w:val="432"/>
          <w:marRight w:val="0"/>
          <w:marTop w:val="120"/>
          <w:marBottom w:val="0"/>
          <w:divBdr>
            <w:top w:val="none" w:sz="0" w:space="0" w:color="auto"/>
            <w:left w:val="none" w:sz="0" w:space="0" w:color="auto"/>
            <w:bottom w:val="none" w:sz="0" w:space="0" w:color="auto"/>
            <w:right w:val="none" w:sz="0" w:space="0" w:color="auto"/>
          </w:divBdr>
        </w:div>
        <w:div w:id="1574706469">
          <w:marLeft w:val="432"/>
          <w:marRight w:val="0"/>
          <w:marTop w:val="120"/>
          <w:marBottom w:val="0"/>
          <w:divBdr>
            <w:top w:val="none" w:sz="0" w:space="0" w:color="auto"/>
            <w:left w:val="none" w:sz="0" w:space="0" w:color="auto"/>
            <w:bottom w:val="none" w:sz="0" w:space="0" w:color="auto"/>
            <w:right w:val="none" w:sz="0" w:space="0" w:color="auto"/>
          </w:divBdr>
        </w:div>
        <w:div w:id="1574706470">
          <w:marLeft w:val="432"/>
          <w:marRight w:val="0"/>
          <w:marTop w:val="120"/>
          <w:marBottom w:val="0"/>
          <w:divBdr>
            <w:top w:val="none" w:sz="0" w:space="0" w:color="auto"/>
            <w:left w:val="none" w:sz="0" w:space="0" w:color="auto"/>
            <w:bottom w:val="none" w:sz="0" w:space="0" w:color="auto"/>
            <w:right w:val="none" w:sz="0" w:space="0" w:color="auto"/>
          </w:divBdr>
        </w:div>
        <w:div w:id="1574706471">
          <w:marLeft w:val="432"/>
          <w:marRight w:val="0"/>
          <w:marTop w:val="120"/>
          <w:marBottom w:val="0"/>
          <w:divBdr>
            <w:top w:val="none" w:sz="0" w:space="0" w:color="auto"/>
            <w:left w:val="none" w:sz="0" w:space="0" w:color="auto"/>
            <w:bottom w:val="none" w:sz="0" w:space="0" w:color="auto"/>
            <w:right w:val="none" w:sz="0" w:space="0" w:color="auto"/>
          </w:divBdr>
        </w:div>
        <w:div w:id="1574706472">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archespublics-uemoa.org/index.php?option=com_contentieux&amp;view=list&amp;Itemid=93&amp;lang=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5490</Words>
  <Characters>29658</Characters>
  <Application>Microsoft Office Word</Application>
  <DocSecurity>4</DocSecurity>
  <Lines>247</Lines>
  <Paragraphs>70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REMEDIES AND ADMINISTRATIVE REVIEW IN AWARD PROCEDURES FOR PUBLIC PROCUREMENTS IN SELECTED AFRICAN COUNTRIES</vt:lpstr>
      <vt:lpstr>REMEDIES AND ADMINISTRATIVE REVIEW IN AWARD PROCEDURES FOR PUBLIC PROCUREMENTS IN SELECTED AFRICAN COUNTRIES</vt:lpstr>
    </vt:vector>
  </TitlesOfParts>
  <Company>ITC of the ILO</Company>
  <LinksUpToDate>false</LinksUpToDate>
  <CharactersWithSpaces>35078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REMEDIES AND ADMINISTRATIVE REVIEW IN AWARD PROCEDURES FOR PUBLIC PROCUREMENTS IN SELECTED AFRICAN COUNTRIES</dc:title>
  <dc:subject/>
  <dc:creator>Mario Comba</dc:creator>
  <cp:keywords/>
  <dc:description/>
  <cp:lastModifiedBy>Yukins, Christopher R.</cp:lastModifiedBy>
  <cp:revision>2</cp:revision>
  <cp:lastPrinted>2017-05-09T14:46:00Z</cp:lastPrinted>
  <dcterms:created xsi:type="dcterms:W3CDTF">2021-05-05T10:45:00Z</dcterms:created>
  <dcterms:modified xsi:type="dcterms:W3CDTF">2021-05-05T10:45:00Z</dcterms:modified>
</cp:coreProperties>
</file>