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D98E" w14:textId="1C050628" w:rsidR="00014279" w:rsidRPr="0074031E" w:rsidRDefault="00014279" w:rsidP="0074031E">
      <w:pPr>
        <w:jc w:val="center"/>
        <w:rPr>
          <w:rFonts w:ascii="Times New Roman" w:hAnsi="Times New Roman" w:cs="Times New Roman"/>
          <w:b/>
          <w:caps/>
          <w:sz w:val="24"/>
          <w:szCs w:val="24"/>
          <w:lang w:val="en-US"/>
        </w:rPr>
      </w:pPr>
      <w:r w:rsidRPr="0074031E">
        <w:rPr>
          <w:rFonts w:ascii="Times New Roman" w:hAnsi="Times New Roman" w:cs="Times New Roman"/>
          <w:b/>
          <w:caps/>
          <w:sz w:val="24"/>
          <w:szCs w:val="24"/>
          <w:lang w:val="en-US"/>
        </w:rPr>
        <w:t>Challenges and review mechanisms for I</w:t>
      </w:r>
      <w:r w:rsidR="003C77A1" w:rsidRPr="0074031E">
        <w:rPr>
          <w:rFonts w:ascii="Times New Roman" w:hAnsi="Times New Roman" w:cs="Times New Roman"/>
          <w:b/>
          <w:caps/>
          <w:sz w:val="24"/>
          <w:szCs w:val="24"/>
          <w:lang w:val="en-US"/>
        </w:rPr>
        <w:t xml:space="preserve">nternational </w:t>
      </w:r>
      <w:r w:rsidRPr="0074031E">
        <w:rPr>
          <w:rFonts w:ascii="Times New Roman" w:hAnsi="Times New Roman" w:cs="Times New Roman"/>
          <w:b/>
          <w:caps/>
          <w:sz w:val="24"/>
          <w:szCs w:val="24"/>
          <w:lang w:val="en-US"/>
        </w:rPr>
        <w:t>O</w:t>
      </w:r>
      <w:r w:rsidR="003C77A1" w:rsidRPr="0074031E">
        <w:rPr>
          <w:rFonts w:ascii="Times New Roman" w:hAnsi="Times New Roman" w:cs="Times New Roman"/>
          <w:b/>
          <w:caps/>
          <w:sz w:val="24"/>
          <w:szCs w:val="24"/>
          <w:lang w:val="en-US"/>
        </w:rPr>
        <w:t>rganization</w:t>
      </w:r>
      <w:r w:rsidR="0074031E" w:rsidRPr="0074031E">
        <w:rPr>
          <w:rFonts w:ascii="Times New Roman" w:hAnsi="Times New Roman" w:cs="Times New Roman"/>
          <w:b/>
          <w:caps/>
          <w:sz w:val="24"/>
          <w:szCs w:val="24"/>
          <w:lang w:val="en-US"/>
        </w:rPr>
        <w:t>s’</w:t>
      </w:r>
      <w:r w:rsidR="00886F11">
        <w:rPr>
          <w:rFonts w:ascii="Times New Roman" w:hAnsi="Times New Roman" w:cs="Times New Roman"/>
          <w:b/>
          <w:caps/>
          <w:sz w:val="24"/>
          <w:szCs w:val="24"/>
          <w:lang w:val="en-US"/>
        </w:rPr>
        <w:t xml:space="preserve"> </w:t>
      </w:r>
      <w:r w:rsidR="0074031E" w:rsidRPr="0074031E">
        <w:rPr>
          <w:rFonts w:ascii="Times New Roman" w:hAnsi="Times New Roman" w:cs="Times New Roman"/>
          <w:b/>
          <w:caps/>
          <w:sz w:val="24"/>
          <w:szCs w:val="24"/>
          <w:lang w:val="en-US"/>
        </w:rPr>
        <w:t>contracts</w:t>
      </w:r>
    </w:p>
    <w:p w14:paraId="42482576" w14:textId="77777777" w:rsidR="0074031E" w:rsidRPr="0074031E" w:rsidRDefault="0074031E" w:rsidP="0074031E">
      <w:pPr>
        <w:jc w:val="center"/>
        <w:rPr>
          <w:rFonts w:ascii="Times New Roman" w:hAnsi="Times New Roman" w:cs="Times New Roman"/>
          <w:b/>
          <w:caps/>
          <w:sz w:val="24"/>
          <w:szCs w:val="24"/>
          <w:lang w:val="en-US"/>
        </w:rPr>
      </w:pPr>
    </w:p>
    <w:p w14:paraId="68230962" w14:textId="6C3F92E9" w:rsidR="0074031E" w:rsidRPr="0074031E" w:rsidRDefault="0074031E" w:rsidP="0074031E">
      <w:pPr>
        <w:jc w:val="center"/>
        <w:rPr>
          <w:rFonts w:ascii="Times New Roman" w:hAnsi="Times New Roman" w:cs="Times New Roman"/>
          <w:caps/>
          <w:sz w:val="24"/>
          <w:szCs w:val="24"/>
          <w:lang w:val="en-US"/>
        </w:rPr>
      </w:pPr>
      <w:r w:rsidRPr="0074031E">
        <w:rPr>
          <w:rFonts w:ascii="Times New Roman" w:hAnsi="Times New Roman" w:cs="Times New Roman"/>
          <w:caps/>
          <w:sz w:val="24"/>
          <w:szCs w:val="24"/>
          <w:lang w:val="en-US"/>
        </w:rPr>
        <w:t>By</w:t>
      </w:r>
    </w:p>
    <w:p w14:paraId="5D9A0808" w14:textId="7FC20975" w:rsidR="00014279" w:rsidRPr="0074031E" w:rsidRDefault="0074031E" w:rsidP="0074031E">
      <w:pPr>
        <w:jc w:val="center"/>
        <w:rPr>
          <w:rFonts w:ascii="Times New Roman" w:hAnsi="Times New Roman" w:cs="Times New Roman"/>
          <w:caps/>
          <w:sz w:val="24"/>
          <w:szCs w:val="24"/>
          <w:lang w:val="en-US"/>
        </w:rPr>
      </w:pPr>
      <w:r w:rsidRPr="0074031E">
        <w:rPr>
          <w:rFonts w:ascii="Times New Roman" w:hAnsi="Times New Roman" w:cs="Times New Roman"/>
          <w:caps/>
          <w:sz w:val="24"/>
          <w:szCs w:val="24"/>
          <w:lang w:val="en-US"/>
        </w:rPr>
        <w:t>Laurence Folliot Lalliot</w:t>
      </w:r>
    </w:p>
    <w:p w14:paraId="51F1DB6B" w14:textId="08F422B9" w:rsidR="0074031E" w:rsidRPr="0074031E" w:rsidRDefault="0074031E" w:rsidP="0074031E">
      <w:pPr>
        <w:jc w:val="center"/>
        <w:rPr>
          <w:rFonts w:ascii="Times New Roman" w:hAnsi="Times New Roman" w:cs="Times New Roman"/>
          <w:smallCaps/>
          <w:sz w:val="24"/>
          <w:szCs w:val="24"/>
          <w:lang w:val="en-US"/>
        </w:rPr>
      </w:pPr>
      <w:r w:rsidRPr="0074031E">
        <w:rPr>
          <w:rFonts w:ascii="Times New Roman" w:hAnsi="Times New Roman" w:cs="Times New Roman"/>
          <w:smallCaps/>
          <w:sz w:val="24"/>
          <w:szCs w:val="24"/>
          <w:lang w:val="en-US"/>
        </w:rPr>
        <w:t>Professor of PUBLIC LAW, (CRDP) UNIVERSITY PARIS NANTERRE</w:t>
      </w:r>
    </w:p>
    <w:p w14:paraId="793306E0" w14:textId="77777777" w:rsidR="000605B3" w:rsidRPr="0074031E" w:rsidRDefault="000605B3" w:rsidP="0074031E">
      <w:pPr>
        <w:jc w:val="both"/>
        <w:rPr>
          <w:rFonts w:ascii="Times New Roman" w:hAnsi="Times New Roman" w:cs="Times New Roman"/>
          <w:sz w:val="24"/>
          <w:szCs w:val="24"/>
          <w:lang w:val="en-US"/>
        </w:rPr>
      </w:pPr>
    </w:p>
    <w:p w14:paraId="359BB5C3" w14:textId="77777777" w:rsidR="00CB7A93" w:rsidRPr="0074031E" w:rsidRDefault="000F4A4E" w:rsidP="0074031E">
      <w:pPr>
        <w:pStyle w:val="Heading3"/>
        <w:spacing w:line="276" w:lineRule="auto"/>
        <w:jc w:val="center"/>
        <w:rPr>
          <w:b w:val="0"/>
          <w:smallCaps/>
          <w:sz w:val="24"/>
          <w:szCs w:val="24"/>
          <w:lang w:val="en-US"/>
        </w:rPr>
      </w:pPr>
      <w:r w:rsidRPr="0074031E">
        <w:rPr>
          <w:b w:val="0"/>
          <w:smallCaps/>
          <w:sz w:val="24"/>
          <w:szCs w:val="24"/>
          <w:lang w:val="en-US"/>
        </w:rPr>
        <w:t xml:space="preserve">I.- </w:t>
      </w:r>
      <w:r w:rsidR="00CB7A93" w:rsidRPr="0074031E">
        <w:rPr>
          <w:b w:val="0"/>
          <w:smallCaps/>
          <w:sz w:val="24"/>
          <w:szCs w:val="24"/>
          <w:lang w:val="en-US"/>
        </w:rPr>
        <w:t>Introduction</w:t>
      </w:r>
    </w:p>
    <w:p w14:paraId="01B334A8" w14:textId="77777777" w:rsidR="0074031E" w:rsidRPr="0074031E" w:rsidRDefault="0074031E" w:rsidP="0074031E">
      <w:pPr>
        <w:pStyle w:val="Heading3"/>
        <w:spacing w:line="276" w:lineRule="auto"/>
        <w:jc w:val="center"/>
        <w:rPr>
          <w:b w:val="0"/>
          <w:smallCaps/>
          <w:sz w:val="24"/>
          <w:szCs w:val="24"/>
          <w:lang w:val="en-US"/>
        </w:rPr>
      </w:pPr>
    </w:p>
    <w:p w14:paraId="3198D361" w14:textId="7465A8F5" w:rsidR="0068424D" w:rsidRPr="0074031E" w:rsidRDefault="003B7AAC" w:rsidP="0074031E">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This chapter </w:t>
      </w:r>
      <w:r w:rsidR="009374C1" w:rsidRPr="0074031E">
        <w:rPr>
          <w:rFonts w:ascii="Times New Roman" w:hAnsi="Times New Roman" w:cs="Times New Roman"/>
          <w:sz w:val="24"/>
          <w:szCs w:val="24"/>
          <w:lang w:val="en-US"/>
        </w:rPr>
        <w:t>looks at challenge and review mechanisms</w:t>
      </w:r>
      <w:r w:rsidRPr="0074031E">
        <w:rPr>
          <w:rFonts w:ascii="Times New Roman" w:hAnsi="Times New Roman" w:cs="Times New Roman"/>
          <w:sz w:val="24"/>
          <w:szCs w:val="24"/>
          <w:lang w:val="en-US"/>
        </w:rPr>
        <w:t xml:space="preserve"> of public contracts entered into by International Organizations (I.Os). </w:t>
      </w:r>
      <w:r w:rsidR="00F5193D" w:rsidRPr="0074031E">
        <w:rPr>
          <w:rFonts w:ascii="Times New Roman" w:hAnsi="Times New Roman" w:cs="Times New Roman"/>
          <w:sz w:val="24"/>
          <w:szCs w:val="24"/>
          <w:lang w:val="en-US"/>
        </w:rPr>
        <w:t xml:space="preserve">Globalization </w:t>
      </w:r>
      <w:r w:rsidRPr="0074031E">
        <w:rPr>
          <w:rFonts w:ascii="Times New Roman" w:hAnsi="Times New Roman" w:cs="Times New Roman"/>
          <w:sz w:val="24"/>
          <w:szCs w:val="24"/>
          <w:lang w:val="en-US"/>
        </w:rPr>
        <w:t xml:space="preserve">indeed </w:t>
      </w:r>
      <w:r w:rsidR="00F5193D" w:rsidRPr="0074031E">
        <w:rPr>
          <w:rFonts w:ascii="Times New Roman" w:hAnsi="Times New Roman" w:cs="Times New Roman"/>
          <w:sz w:val="24"/>
          <w:szCs w:val="24"/>
          <w:lang w:val="en-US"/>
        </w:rPr>
        <w:t>affects the internationalization of public contracts</w:t>
      </w:r>
      <w:r w:rsidR="00F5193D" w:rsidRPr="0074031E">
        <w:rPr>
          <w:rStyle w:val="FootnoteReference"/>
          <w:rFonts w:ascii="Times New Roman" w:hAnsi="Times New Roman" w:cs="Times New Roman"/>
          <w:sz w:val="24"/>
          <w:szCs w:val="24"/>
          <w:lang w:val="en-US"/>
        </w:rPr>
        <w:footnoteReference w:id="1"/>
      </w:r>
      <w:r w:rsidR="00F5193D" w:rsidRPr="0074031E">
        <w:rPr>
          <w:rFonts w:ascii="Times New Roman" w:hAnsi="Times New Roman" w:cs="Times New Roman"/>
          <w:sz w:val="24"/>
          <w:szCs w:val="24"/>
          <w:lang w:val="en-US"/>
        </w:rPr>
        <w:t xml:space="preserve">, not only by bringing more foreign companies on domestic procurement markets but also by multiplying the projects with </w:t>
      </w:r>
      <w:proofErr w:type="spellStart"/>
      <w:r w:rsidR="00F5193D" w:rsidRPr="0074031E">
        <w:rPr>
          <w:rFonts w:ascii="Times New Roman" w:hAnsi="Times New Roman" w:cs="Times New Roman"/>
          <w:sz w:val="24"/>
          <w:szCs w:val="24"/>
          <w:lang w:val="en-US"/>
        </w:rPr>
        <w:t>crossborder</w:t>
      </w:r>
      <w:proofErr w:type="spellEnd"/>
      <w:r w:rsidR="00F5193D" w:rsidRPr="0074031E">
        <w:rPr>
          <w:rFonts w:ascii="Times New Roman" w:hAnsi="Times New Roman" w:cs="Times New Roman"/>
          <w:sz w:val="24"/>
          <w:szCs w:val="24"/>
          <w:lang w:val="en-US"/>
        </w:rPr>
        <w:t xml:space="preserve"> effects conduc</w:t>
      </w:r>
      <w:r w:rsidR="00224221" w:rsidRPr="0074031E">
        <w:rPr>
          <w:rFonts w:ascii="Times New Roman" w:hAnsi="Times New Roman" w:cs="Times New Roman"/>
          <w:sz w:val="24"/>
          <w:szCs w:val="24"/>
          <w:lang w:val="en-US"/>
        </w:rPr>
        <w:t>ted by I</w:t>
      </w:r>
      <w:r w:rsidR="0074031E" w:rsidRPr="0074031E">
        <w:rPr>
          <w:rFonts w:ascii="Times New Roman" w:hAnsi="Times New Roman" w:cs="Times New Roman"/>
          <w:sz w:val="24"/>
          <w:szCs w:val="24"/>
          <w:lang w:val="en-US"/>
        </w:rPr>
        <w:t>.</w:t>
      </w:r>
      <w:r w:rsidR="00224221" w:rsidRPr="0074031E">
        <w:rPr>
          <w:rFonts w:ascii="Times New Roman" w:hAnsi="Times New Roman" w:cs="Times New Roman"/>
          <w:sz w:val="24"/>
          <w:szCs w:val="24"/>
          <w:lang w:val="en-US"/>
        </w:rPr>
        <w:t>Os</w:t>
      </w:r>
      <w:r w:rsidR="004B3832" w:rsidRPr="0074031E">
        <w:rPr>
          <w:rFonts w:ascii="Times New Roman" w:hAnsi="Times New Roman" w:cs="Times New Roman"/>
          <w:sz w:val="24"/>
          <w:szCs w:val="24"/>
          <w:lang w:val="en-US"/>
        </w:rPr>
        <w:t>. Most of th</w:t>
      </w:r>
      <w:r w:rsidR="0068424D" w:rsidRPr="0074031E">
        <w:rPr>
          <w:rFonts w:ascii="Times New Roman" w:hAnsi="Times New Roman" w:cs="Times New Roman"/>
          <w:sz w:val="24"/>
          <w:szCs w:val="24"/>
          <w:lang w:val="en-US"/>
        </w:rPr>
        <w:t xml:space="preserve">ese contracts are </w:t>
      </w:r>
      <w:r w:rsidR="00224221" w:rsidRPr="0074031E">
        <w:rPr>
          <w:rFonts w:ascii="Times New Roman" w:hAnsi="Times New Roman" w:cs="Times New Roman"/>
          <w:sz w:val="24"/>
          <w:szCs w:val="24"/>
          <w:lang w:val="en-US"/>
        </w:rPr>
        <w:t xml:space="preserve">financed by </w:t>
      </w:r>
      <w:r w:rsidR="00F5193D" w:rsidRPr="0074031E">
        <w:rPr>
          <w:rFonts w:ascii="Times New Roman" w:hAnsi="Times New Roman" w:cs="Times New Roman"/>
          <w:sz w:val="24"/>
          <w:szCs w:val="24"/>
          <w:lang w:val="en-US"/>
        </w:rPr>
        <w:t>I</w:t>
      </w:r>
      <w:r w:rsidR="0074031E" w:rsidRPr="0074031E">
        <w:rPr>
          <w:rFonts w:ascii="Times New Roman" w:hAnsi="Times New Roman" w:cs="Times New Roman"/>
          <w:sz w:val="24"/>
          <w:szCs w:val="24"/>
          <w:lang w:val="en-US"/>
        </w:rPr>
        <w:t>.</w:t>
      </w:r>
      <w:r w:rsidR="00224221" w:rsidRPr="0074031E">
        <w:rPr>
          <w:rFonts w:ascii="Times New Roman" w:hAnsi="Times New Roman" w:cs="Times New Roman"/>
          <w:sz w:val="24"/>
          <w:szCs w:val="24"/>
          <w:lang w:val="en-US"/>
        </w:rPr>
        <w:t>O</w:t>
      </w:r>
      <w:r w:rsidR="00F5193D" w:rsidRPr="0074031E">
        <w:rPr>
          <w:rFonts w:ascii="Times New Roman" w:hAnsi="Times New Roman" w:cs="Times New Roman"/>
          <w:sz w:val="24"/>
          <w:szCs w:val="24"/>
          <w:lang w:val="en-US"/>
        </w:rPr>
        <w:t>s</w:t>
      </w:r>
      <w:r w:rsidR="0068424D" w:rsidRPr="0074031E">
        <w:rPr>
          <w:rFonts w:ascii="Times New Roman" w:hAnsi="Times New Roman" w:cs="Times New Roman"/>
          <w:sz w:val="24"/>
          <w:szCs w:val="24"/>
          <w:lang w:val="en-US"/>
        </w:rPr>
        <w:t xml:space="preserve"> implementing</w:t>
      </w:r>
      <w:r w:rsidR="0074031E" w:rsidRPr="0074031E">
        <w:rPr>
          <w:rFonts w:ascii="Times New Roman" w:hAnsi="Times New Roman" w:cs="Times New Roman"/>
          <w:sz w:val="24"/>
          <w:szCs w:val="24"/>
          <w:lang w:val="en-US"/>
        </w:rPr>
        <w:t xml:space="preserve"> </w:t>
      </w:r>
      <w:r w:rsidR="0068424D" w:rsidRPr="0074031E">
        <w:rPr>
          <w:rFonts w:ascii="Times New Roman" w:hAnsi="Times New Roman" w:cs="Times New Roman"/>
          <w:sz w:val="24"/>
          <w:szCs w:val="24"/>
          <w:lang w:val="en-US"/>
        </w:rPr>
        <w:t>development agendas</w:t>
      </w:r>
      <w:r w:rsidR="009C1B4B" w:rsidRPr="0074031E">
        <w:rPr>
          <w:rFonts w:ascii="Times New Roman" w:hAnsi="Times New Roman" w:cs="Times New Roman"/>
          <w:sz w:val="24"/>
          <w:szCs w:val="24"/>
          <w:lang w:val="en-US"/>
        </w:rPr>
        <w:t xml:space="preserve"> in needing countries</w:t>
      </w:r>
      <w:r w:rsidR="0068424D" w:rsidRPr="0074031E">
        <w:rPr>
          <w:rFonts w:ascii="Times New Roman" w:hAnsi="Times New Roman" w:cs="Times New Roman"/>
          <w:sz w:val="24"/>
          <w:szCs w:val="24"/>
          <w:lang w:val="en-US"/>
        </w:rPr>
        <w:t xml:space="preserve">, but they </w:t>
      </w:r>
      <w:r w:rsidR="00F5193D" w:rsidRPr="0074031E">
        <w:rPr>
          <w:rFonts w:ascii="Times New Roman" w:hAnsi="Times New Roman" w:cs="Times New Roman"/>
          <w:sz w:val="24"/>
          <w:szCs w:val="24"/>
          <w:lang w:val="en-US"/>
        </w:rPr>
        <w:t xml:space="preserve">are </w:t>
      </w:r>
      <w:r w:rsidR="0068424D" w:rsidRPr="0074031E">
        <w:rPr>
          <w:rFonts w:ascii="Times New Roman" w:hAnsi="Times New Roman" w:cs="Times New Roman"/>
          <w:sz w:val="24"/>
          <w:szCs w:val="24"/>
          <w:lang w:val="en-US"/>
        </w:rPr>
        <w:t xml:space="preserve">actually </w:t>
      </w:r>
      <w:r w:rsidR="009C1B4B" w:rsidRPr="0074031E">
        <w:rPr>
          <w:rFonts w:ascii="Times New Roman" w:hAnsi="Times New Roman" w:cs="Times New Roman"/>
          <w:sz w:val="24"/>
          <w:szCs w:val="24"/>
          <w:lang w:val="en-US"/>
        </w:rPr>
        <w:t>awarded by the governments</w:t>
      </w:r>
      <w:r w:rsidR="00F5193D" w:rsidRPr="0074031E">
        <w:rPr>
          <w:rFonts w:ascii="Times New Roman" w:hAnsi="Times New Roman" w:cs="Times New Roman"/>
          <w:sz w:val="24"/>
          <w:szCs w:val="24"/>
          <w:lang w:val="en-US"/>
        </w:rPr>
        <w:t xml:space="preserve"> and national agencies borrowing money and using </w:t>
      </w:r>
      <w:r w:rsidR="009C1B4B" w:rsidRPr="0074031E">
        <w:rPr>
          <w:rFonts w:ascii="Times New Roman" w:hAnsi="Times New Roman" w:cs="Times New Roman"/>
          <w:sz w:val="24"/>
          <w:szCs w:val="24"/>
          <w:lang w:val="en-US"/>
        </w:rPr>
        <w:t xml:space="preserve">development </w:t>
      </w:r>
      <w:r w:rsidR="00F5193D" w:rsidRPr="0074031E">
        <w:rPr>
          <w:rFonts w:ascii="Times New Roman" w:hAnsi="Times New Roman" w:cs="Times New Roman"/>
          <w:sz w:val="24"/>
          <w:szCs w:val="24"/>
          <w:lang w:val="en-US"/>
        </w:rPr>
        <w:t>grants.</w:t>
      </w:r>
      <w:r w:rsidR="0068424D" w:rsidRPr="0074031E">
        <w:rPr>
          <w:rFonts w:ascii="Times New Roman" w:hAnsi="Times New Roman" w:cs="Times New Roman"/>
          <w:sz w:val="24"/>
          <w:szCs w:val="24"/>
          <w:lang w:val="en-US"/>
        </w:rPr>
        <w:t xml:space="preserve"> </w:t>
      </w:r>
      <w:r w:rsidR="0014099E" w:rsidRPr="0074031E">
        <w:rPr>
          <w:rFonts w:ascii="Times New Roman" w:hAnsi="Times New Roman" w:cs="Times New Roman"/>
          <w:sz w:val="24"/>
          <w:szCs w:val="24"/>
          <w:lang w:val="en-US"/>
        </w:rPr>
        <w:t xml:space="preserve">Although claims for these </w:t>
      </w:r>
      <w:r w:rsidRPr="0074031E">
        <w:rPr>
          <w:rFonts w:ascii="Times New Roman" w:hAnsi="Times New Roman" w:cs="Times New Roman"/>
          <w:sz w:val="24"/>
          <w:szCs w:val="24"/>
          <w:lang w:val="en-US"/>
        </w:rPr>
        <w:t>contract</w:t>
      </w:r>
      <w:r w:rsidR="009C1B4B" w:rsidRPr="0074031E">
        <w:rPr>
          <w:rFonts w:ascii="Times New Roman" w:hAnsi="Times New Roman" w:cs="Times New Roman"/>
          <w:sz w:val="24"/>
          <w:szCs w:val="24"/>
          <w:lang w:val="en-US"/>
        </w:rPr>
        <w:t>s</w:t>
      </w:r>
      <w:r w:rsidRPr="0074031E">
        <w:rPr>
          <w:rFonts w:ascii="Times New Roman" w:hAnsi="Times New Roman" w:cs="Times New Roman"/>
          <w:sz w:val="24"/>
          <w:szCs w:val="24"/>
          <w:lang w:val="en-US"/>
        </w:rPr>
        <w:t xml:space="preserve"> often fall outside the sc</w:t>
      </w:r>
      <w:r w:rsidR="0014099E" w:rsidRPr="0074031E">
        <w:rPr>
          <w:rFonts w:ascii="Times New Roman" w:hAnsi="Times New Roman" w:cs="Times New Roman"/>
          <w:sz w:val="24"/>
          <w:szCs w:val="24"/>
          <w:lang w:val="en-US"/>
        </w:rPr>
        <w:t xml:space="preserve">ope of the domestic </w:t>
      </w:r>
      <w:r w:rsidRPr="0074031E">
        <w:rPr>
          <w:rFonts w:ascii="Times New Roman" w:hAnsi="Times New Roman" w:cs="Times New Roman"/>
          <w:sz w:val="24"/>
          <w:szCs w:val="24"/>
          <w:lang w:val="en-US"/>
        </w:rPr>
        <w:t>law, thr</w:t>
      </w:r>
      <w:r w:rsidR="003003B0" w:rsidRPr="0074031E">
        <w:rPr>
          <w:rFonts w:ascii="Times New Roman" w:hAnsi="Times New Roman" w:cs="Times New Roman"/>
          <w:sz w:val="24"/>
          <w:szCs w:val="24"/>
          <w:lang w:val="en-US"/>
        </w:rPr>
        <w:t>ough exemption provisions</w:t>
      </w:r>
      <w:r w:rsidR="0014099E" w:rsidRPr="0074031E">
        <w:rPr>
          <w:rFonts w:ascii="Times New Roman" w:hAnsi="Times New Roman" w:cs="Times New Roman"/>
          <w:sz w:val="24"/>
          <w:szCs w:val="24"/>
          <w:lang w:val="en-US"/>
        </w:rPr>
        <w:t xml:space="preserve"> and arbitration clause for their disputes</w:t>
      </w:r>
      <w:r w:rsidR="003003B0" w:rsidRPr="0074031E">
        <w:rPr>
          <w:rFonts w:ascii="Times New Roman" w:hAnsi="Times New Roman" w:cs="Times New Roman"/>
          <w:sz w:val="24"/>
          <w:szCs w:val="24"/>
          <w:lang w:val="en-US"/>
        </w:rPr>
        <w:t>, issues arising about their award process</w:t>
      </w:r>
      <w:r w:rsidR="0014099E" w:rsidRPr="0074031E">
        <w:rPr>
          <w:rFonts w:ascii="Times New Roman" w:hAnsi="Times New Roman" w:cs="Times New Roman"/>
          <w:sz w:val="24"/>
          <w:szCs w:val="24"/>
          <w:lang w:val="en-US"/>
        </w:rPr>
        <w:t xml:space="preserve"> are usually</w:t>
      </w:r>
      <w:r w:rsidRPr="0074031E">
        <w:rPr>
          <w:rFonts w:ascii="Times New Roman" w:hAnsi="Times New Roman" w:cs="Times New Roman"/>
          <w:sz w:val="24"/>
          <w:szCs w:val="24"/>
          <w:lang w:val="en-US"/>
        </w:rPr>
        <w:t xml:space="preserve"> governed by the domestic laws and national challenge mechanisms. </w:t>
      </w:r>
      <w:r w:rsidR="00F5193D" w:rsidRPr="0074031E">
        <w:rPr>
          <w:rFonts w:ascii="Times New Roman" w:hAnsi="Times New Roman" w:cs="Times New Roman"/>
          <w:sz w:val="24"/>
          <w:szCs w:val="24"/>
          <w:lang w:val="en-US"/>
        </w:rPr>
        <w:t xml:space="preserve"> </w:t>
      </w:r>
    </w:p>
    <w:p w14:paraId="4EF20C66" w14:textId="05644986" w:rsidR="008E0FBE" w:rsidRPr="0074031E" w:rsidRDefault="00F5193D" w:rsidP="0074031E">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However, I.Os need also to purchase goods and services </w:t>
      </w:r>
      <w:r w:rsidR="003B7AAC" w:rsidRPr="0074031E">
        <w:rPr>
          <w:rFonts w:ascii="Times New Roman" w:hAnsi="Times New Roman" w:cs="Times New Roman"/>
          <w:sz w:val="24"/>
          <w:szCs w:val="24"/>
          <w:lang w:val="en-US"/>
        </w:rPr>
        <w:t xml:space="preserve">either </w:t>
      </w:r>
      <w:r w:rsidRPr="0074031E">
        <w:rPr>
          <w:rFonts w:ascii="Times New Roman" w:hAnsi="Times New Roman" w:cs="Times New Roman"/>
          <w:sz w:val="24"/>
          <w:szCs w:val="24"/>
          <w:lang w:val="en-US"/>
        </w:rPr>
        <w:t>for their own purpose through what is sometimes called “corporate contracts”</w:t>
      </w:r>
      <w:r w:rsidR="003B7AAC" w:rsidRPr="0074031E">
        <w:rPr>
          <w:rFonts w:ascii="Times New Roman" w:hAnsi="Times New Roman" w:cs="Times New Roman"/>
          <w:sz w:val="24"/>
          <w:szCs w:val="24"/>
          <w:lang w:val="en-US"/>
        </w:rPr>
        <w:t>, or as a way to render public services they are in charge of</w:t>
      </w:r>
      <w:r w:rsidRPr="0074031E">
        <w:rPr>
          <w:rFonts w:ascii="Times New Roman" w:hAnsi="Times New Roman" w:cs="Times New Roman"/>
          <w:sz w:val="24"/>
          <w:szCs w:val="24"/>
          <w:lang w:val="en-US"/>
        </w:rPr>
        <w:t xml:space="preserve">. </w:t>
      </w:r>
      <w:r w:rsidR="003B7AAC" w:rsidRPr="0074031E">
        <w:rPr>
          <w:rFonts w:ascii="Times New Roman" w:hAnsi="Times New Roman" w:cs="Times New Roman"/>
          <w:sz w:val="24"/>
          <w:szCs w:val="24"/>
          <w:lang w:val="en-US"/>
        </w:rPr>
        <w:t>With some of the largest sums spent on pharmaceuticals, medical equipment, food, transportation and construction</w:t>
      </w:r>
      <w:r w:rsidR="003B7AAC" w:rsidRPr="0074031E">
        <w:rPr>
          <w:rStyle w:val="FootnoteReference"/>
          <w:rFonts w:ascii="Times New Roman" w:hAnsi="Times New Roman" w:cs="Times New Roman"/>
          <w:sz w:val="24"/>
          <w:szCs w:val="24"/>
          <w:lang w:val="en-US"/>
        </w:rPr>
        <w:footnoteReference w:id="2"/>
      </w:r>
      <w:r w:rsidR="003B7AAC" w:rsidRPr="0074031E">
        <w:rPr>
          <w:rFonts w:ascii="Times New Roman" w:hAnsi="Times New Roman" w:cs="Times New Roman"/>
          <w:sz w:val="24"/>
          <w:szCs w:val="24"/>
          <w:lang w:val="en-US"/>
        </w:rPr>
        <w:t>, t</w:t>
      </w:r>
      <w:r w:rsidR="0068424D" w:rsidRPr="0074031E">
        <w:rPr>
          <w:rFonts w:ascii="Times New Roman" w:hAnsi="Times New Roman" w:cs="Times New Roman"/>
          <w:sz w:val="24"/>
          <w:szCs w:val="24"/>
          <w:lang w:val="en-US"/>
        </w:rPr>
        <w:t>he value of procurement of goods and services by the United Nation</w:t>
      </w:r>
      <w:r w:rsidR="00F63102" w:rsidRPr="0074031E">
        <w:rPr>
          <w:rFonts w:ascii="Times New Roman" w:hAnsi="Times New Roman" w:cs="Times New Roman"/>
          <w:sz w:val="24"/>
          <w:szCs w:val="24"/>
          <w:lang w:val="en-US"/>
        </w:rPr>
        <w:t>s was $17</w:t>
      </w:r>
      <w:r w:rsidR="0068424D" w:rsidRPr="0074031E">
        <w:rPr>
          <w:rFonts w:ascii="Times New Roman" w:hAnsi="Times New Roman" w:cs="Times New Roman"/>
          <w:sz w:val="24"/>
          <w:szCs w:val="24"/>
          <w:lang w:val="en-US"/>
        </w:rPr>
        <w:t xml:space="preserve"> billion</w:t>
      </w:r>
      <w:r w:rsidR="00F63102" w:rsidRPr="0074031E">
        <w:rPr>
          <w:rFonts w:ascii="Times New Roman" w:hAnsi="Times New Roman" w:cs="Times New Roman"/>
          <w:sz w:val="24"/>
          <w:szCs w:val="24"/>
          <w:lang w:val="en-US"/>
        </w:rPr>
        <w:t xml:space="preserve"> in 2016</w:t>
      </w:r>
      <w:r w:rsidR="003003B0" w:rsidRPr="0074031E">
        <w:rPr>
          <w:rFonts w:ascii="Times New Roman" w:hAnsi="Times New Roman" w:cs="Times New Roman"/>
          <w:sz w:val="24"/>
          <w:szCs w:val="24"/>
          <w:lang w:val="en-US"/>
        </w:rPr>
        <w:t xml:space="preserve"> (10 billion in 2008), with the</w:t>
      </w:r>
      <w:r w:rsidR="0068424D" w:rsidRPr="0074031E">
        <w:rPr>
          <w:rFonts w:ascii="Times New Roman" w:hAnsi="Times New Roman" w:cs="Times New Roman"/>
          <w:sz w:val="24"/>
          <w:szCs w:val="24"/>
          <w:lang w:val="en-US"/>
        </w:rPr>
        <w:t xml:space="preserve"> </w:t>
      </w:r>
      <w:r w:rsidR="003003B0" w:rsidRPr="0074031E">
        <w:rPr>
          <w:rFonts w:ascii="Times New Roman" w:hAnsi="Times New Roman" w:cs="Times New Roman"/>
          <w:sz w:val="24"/>
          <w:szCs w:val="24"/>
          <w:lang w:val="en-US"/>
        </w:rPr>
        <w:t xml:space="preserve">largest purchasers overall being </w:t>
      </w:r>
      <w:r w:rsidR="0068424D" w:rsidRPr="0074031E">
        <w:rPr>
          <w:rFonts w:ascii="Times New Roman" w:hAnsi="Times New Roman" w:cs="Times New Roman"/>
          <w:sz w:val="24"/>
          <w:szCs w:val="24"/>
          <w:lang w:val="en-US"/>
        </w:rPr>
        <w:t>the Unit</w:t>
      </w:r>
      <w:r w:rsidR="005D37A1" w:rsidRPr="0074031E">
        <w:rPr>
          <w:rFonts w:ascii="Times New Roman" w:hAnsi="Times New Roman" w:cs="Times New Roman"/>
          <w:sz w:val="24"/>
          <w:szCs w:val="24"/>
          <w:lang w:val="en-US"/>
        </w:rPr>
        <w:t>ed Nations Development Program</w:t>
      </w:r>
      <w:r w:rsidR="0068424D" w:rsidRPr="0074031E">
        <w:rPr>
          <w:rFonts w:ascii="Times New Roman" w:hAnsi="Times New Roman" w:cs="Times New Roman"/>
          <w:sz w:val="24"/>
          <w:szCs w:val="24"/>
          <w:lang w:val="en-US"/>
        </w:rPr>
        <w:t xml:space="preserve"> (UNDP), the United Nations Procurement Division (</w:t>
      </w:r>
      <w:r w:rsidR="005D37A1" w:rsidRPr="0074031E">
        <w:rPr>
          <w:rFonts w:ascii="Times New Roman" w:hAnsi="Times New Roman" w:cs="Times New Roman"/>
          <w:sz w:val="24"/>
          <w:szCs w:val="24"/>
          <w:lang w:val="en-US"/>
        </w:rPr>
        <w:t>UN/PD), the World Food Program</w:t>
      </w:r>
      <w:r w:rsidR="0068424D" w:rsidRPr="0074031E">
        <w:rPr>
          <w:rFonts w:ascii="Times New Roman" w:hAnsi="Times New Roman" w:cs="Times New Roman"/>
          <w:sz w:val="24"/>
          <w:szCs w:val="24"/>
          <w:lang w:val="en-US"/>
        </w:rPr>
        <w:t xml:space="preserve"> (WFP), the United Nations Children's Fund (UNICEF) and the United Nations Office for Project Services (UNOPS), in descending order. </w:t>
      </w:r>
      <w:r w:rsidR="003003B0" w:rsidRPr="0074031E">
        <w:rPr>
          <w:rFonts w:ascii="Times New Roman" w:hAnsi="Times New Roman" w:cs="Times New Roman"/>
          <w:sz w:val="24"/>
          <w:szCs w:val="24"/>
          <w:lang w:val="en-US"/>
        </w:rPr>
        <w:t>Of course, this volume</w:t>
      </w:r>
      <w:r w:rsidR="0068424D" w:rsidRPr="0074031E">
        <w:rPr>
          <w:rFonts w:ascii="Times New Roman" w:hAnsi="Times New Roman" w:cs="Times New Roman"/>
          <w:sz w:val="24"/>
          <w:szCs w:val="24"/>
          <w:lang w:val="en-US"/>
        </w:rPr>
        <w:t xml:space="preserve"> depend</w:t>
      </w:r>
      <w:r w:rsidR="003003B0" w:rsidRPr="0074031E">
        <w:rPr>
          <w:rFonts w:ascii="Times New Roman" w:hAnsi="Times New Roman" w:cs="Times New Roman"/>
          <w:sz w:val="24"/>
          <w:szCs w:val="24"/>
          <w:lang w:val="en-US"/>
        </w:rPr>
        <w:t>s</w:t>
      </w:r>
      <w:r w:rsidR="0068424D" w:rsidRPr="0074031E">
        <w:rPr>
          <w:rFonts w:ascii="Times New Roman" w:hAnsi="Times New Roman" w:cs="Times New Roman"/>
          <w:sz w:val="24"/>
          <w:szCs w:val="24"/>
          <w:lang w:val="en-US"/>
        </w:rPr>
        <w:t xml:space="preserve"> on the activities entrusted to the i</w:t>
      </w:r>
      <w:r w:rsidR="00650ACF" w:rsidRPr="0074031E">
        <w:rPr>
          <w:rFonts w:ascii="Times New Roman" w:hAnsi="Times New Roman" w:cs="Times New Roman"/>
          <w:sz w:val="24"/>
          <w:szCs w:val="24"/>
          <w:lang w:val="en-US"/>
        </w:rPr>
        <w:t>nternational organization. A</w:t>
      </w:r>
      <w:r w:rsidR="00512B1F" w:rsidRPr="0074031E">
        <w:rPr>
          <w:rFonts w:ascii="Times New Roman" w:hAnsi="Times New Roman" w:cs="Times New Roman"/>
          <w:sz w:val="24"/>
          <w:szCs w:val="24"/>
          <w:lang w:val="en-US"/>
        </w:rPr>
        <w:t xml:space="preserve"> UN agency</w:t>
      </w:r>
      <w:r w:rsidR="0068424D" w:rsidRPr="0074031E">
        <w:rPr>
          <w:rFonts w:ascii="Times New Roman" w:hAnsi="Times New Roman" w:cs="Times New Roman"/>
          <w:sz w:val="24"/>
          <w:szCs w:val="24"/>
          <w:lang w:val="en-US"/>
        </w:rPr>
        <w:t xml:space="preserve"> which has to provide reconstruction or infrastructure improvement missions</w:t>
      </w:r>
      <w:r w:rsidR="002B526D" w:rsidRPr="0074031E">
        <w:rPr>
          <w:rStyle w:val="FootnoteReference"/>
          <w:rFonts w:ascii="Times New Roman" w:hAnsi="Times New Roman" w:cs="Times New Roman"/>
          <w:sz w:val="24"/>
          <w:szCs w:val="24"/>
          <w:lang w:val="en-US"/>
        </w:rPr>
        <w:footnoteReference w:id="3"/>
      </w:r>
      <w:r w:rsidR="0068424D" w:rsidRPr="0074031E">
        <w:rPr>
          <w:rFonts w:ascii="Times New Roman" w:hAnsi="Times New Roman" w:cs="Times New Roman"/>
          <w:sz w:val="24"/>
          <w:szCs w:val="24"/>
          <w:lang w:val="en-US"/>
        </w:rPr>
        <w:t>, such as the United Nations Development Program (UNDP), will have financially more significant procurement activities than an I</w:t>
      </w:r>
      <w:r w:rsidR="0074031E" w:rsidRPr="0074031E">
        <w:rPr>
          <w:rFonts w:ascii="Times New Roman" w:hAnsi="Times New Roman" w:cs="Times New Roman"/>
          <w:sz w:val="24"/>
          <w:szCs w:val="24"/>
          <w:lang w:val="en-US"/>
        </w:rPr>
        <w:t>.</w:t>
      </w:r>
      <w:r w:rsidR="0068424D" w:rsidRPr="0074031E">
        <w:rPr>
          <w:rFonts w:ascii="Times New Roman" w:hAnsi="Times New Roman" w:cs="Times New Roman"/>
          <w:sz w:val="24"/>
          <w:szCs w:val="24"/>
          <w:lang w:val="en-US"/>
        </w:rPr>
        <w:t xml:space="preserve">O whose role is mainly to guide a particular </w:t>
      </w:r>
      <w:r w:rsidR="0068424D" w:rsidRPr="0074031E">
        <w:rPr>
          <w:rFonts w:ascii="Times New Roman" w:hAnsi="Times New Roman" w:cs="Times New Roman"/>
          <w:sz w:val="24"/>
          <w:szCs w:val="24"/>
          <w:lang w:val="en-US"/>
        </w:rPr>
        <w:lastRenderedPageBreak/>
        <w:t>sector and which will therefore have essentially needs of intellectual services contracts. In order to frame the analysis, we will only consider contracts directly entered into by I</w:t>
      </w:r>
      <w:r w:rsidR="0074031E" w:rsidRPr="0074031E">
        <w:rPr>
          <w:rFonts w:ascii="Times New Roman" w:hAnsi="Times New Roman" w:cs="Times New Roman"/>
          <w:sz w:val="24"/>
          <w:szCs w:val="24"/>
          <w:lang w:val="en-US"/>
        </w:rPr>
        <w:t>.</w:t>
      </w:r>
      <w:r w:rsidR="0068424D" w:rsidRPr="0074031E">
        <w:rPr>
          <w:rFonts w:ascii="Times New Roman" w:hAnsi="Times New Roman" w:cs="Times New Roman"/>
          <w:sz w:val="24"/>
          <w:szCs w:val="24"/>
          <w:lang w:val="en-US"/>
        </w:rPr>
        <w:t>Os.</w:t>
      </w:r>
      <w:r w:rsidR="000844A1" w:rsidRPr="0074031E">
        <w:rPr>
          <w:rFonts w:ascii="Times New Roman" w:hAnsi="Times New Roman" w:cs="Times New Roman"/>
          <w:sz w:val="24"/>
          <w:szCs w:val="24"/>
          <w:lang w:val="en-US"/>
        </w:rPr>
        <w:t xml:space="preserve"> </w:t>
      </w:r>
    </w:p>
    <w:p w14:paraId="36D28EEE" w14:textId="73654D74" w:rsidR="007F0113" w:rsidRPr="0074031E" w:rsidRDefault="00014279" w:rsidP="0074031E">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While many studies have been published on the question of precontractual challenges and appeals, th</w:t>
      </w:r>
      <w:r w:rsidR="007B7EE8" w:rsidRPr="0074031E">
        <w:rPr>
          <w:rFonts w:ascii="Times New Roman" w:hAnsi="Times New Roman" w:cs="Times New Roman"/>
          <w:sz w:val="24"/>
          <w:szCs w:val="24"/>
          <w:lang w:val="en-US"/>
        </w:rPr>
        <w:t xml:space="preserve">ey have been carried out </w:t>
      </w:r>
      <w:r w:rsidRPr="0074031E">
        <w:rPr>
          <w:rFonts w:ascii="Times New Roman" w:hAnsi="Times New Roman" w:cs="Times New Roman"/>
          <w:sz w:val="24"/>
          <w:szCs w:val="24"/>
          <w:lang w:val="en-US"/>
        </w:rPr>
        <w:t xml:space="preserve">at the national or regional level (in the </w:t>
      </w:r>
      <w:r w:rsidR="009C1B4B" w:rsidRPr="0074031E">
        <w:rPr>
          <w:rFonts w:ascii="Times New Roman" w:hAnsi="Times New Roman" w:cs="Times New Roman"/>
          <w:sz w:val="24"/>
          <w:szCs w:val="24"/>
          <w:lang w:val="en-US"/>
        </w:rPr>
        <w:t>global sense)</w:t>
      </w:r>
      <w:r w:rsidRPr="0074031E">
        <w:rPr>
          <w:rFonts w:ascii="Times New Roman" w:hAnsi="Times New Roman" w:cs="Times New Roman"/>
          <w:sz w:val="24"/>
          <w:szCs w:val="24"/>
          <w:lang w:val="en-US"/>
        </w:rPr>
        <w:t>. The</w:t>
      </w:r>
      <w:r w:rsidR="00D87173" w:rsidRPr="0074031E">
        <w:rPr>
          <w:rFonts w:ascii="Times New Roman" w:hAnsi="Times New Roman" w:cs="Times New Roman"/>
          <w:sz w:val="24"/>
          <w:szCs w:val="24"/>
          <w:lang w:val="en-US"/>
        </w:rPr>
        <w:t>se studies, however, rarely</w:t>
      </w:r>
      <w:r w:rsidR="007B7EE8" w:rsidRPr="0074031E">
        <w:rPr>
          <w:rFonts w:ascii="Times New Roman" w:hAnsi="Times New Roman" w:cs="Times New Roman"/>
          <w:sz w:val="24"/>
          <w:szCs w:val="24"/>
          <w:lang w:val="en-US"/>
        </w:rPr>
        <w:t xml:space="preserve"> address </w:t>
      </w:r>
      <w:r w:rsidRPr="0074031E">
        <w:rPr>
          <w:rFonts w:ascii="Times New Roman" w:hAnsi="Times New Roman" w:cs="Times New Roman"/>
          <w:sz w:val="24"/>
          <w:szCs w:val="24"/>
          <w:lang w:val="en-US"/>
        </w:rPr>
        <w:t>t</w:t>
      </w:r>
      <w:r w:rsidR="00D87173" w:rsidRPr="0074031E">
        <w:rPr>
          <w:rFonts w:ascii="Times New Roman" w:hAnsi="Times New Roman" w:cs="Times New Roman"/>
          <w:sz w:val="24"/>
          <w:szCs w:val="24"/>
          <w:lang w:val="en-US"/>
        </w:rPr>
        <w:t>he international organizations’ pre</w:t>
      </w:r>
      <w:r w:rsidRPr="0074031E">
        <w:rPr>
          <w:rFonts w:ascii="Times New Roman" w:hAnsi="Times New Roman" w:cs="Times New Roman"/>
          <w:sz w:val="24"/>
          <w:szCs w:val="24"/>
          <w:lang w:val="en-US"/>
        </w:rPr>
        <w:t>contractual procedures.</w:t>
      </w:r>
      <w:r w:rsidR="0068424D" w:rsidRPr="0074031E">
        <w:rPr>
          <w:rFonts w:ascii="Times New Roman" w:hAnsi="Times New Roman" w:cs="Times New Roman"/>
          <w:sz w:val="24"/>
          <w:szCs w:val="24"/>
          <w:lang w:val="en-US"/>
        </w:rPr>
        <w:t xml:space="preserve"> </w:t>
      </w:r>
      <w:r w:rsidR="000F4A4E" w:rsidRPr="0074031E">
        <w:rPr>
          <w:rFonts w:ascii="Times New Roman" w:hAnsi="Times New Roman" w:cs="Times New Roman"/>
          <w:sz w:val="24"/>
          <w:szCs w:val="24"/>
          <w:lang w:val="en-US"/>
        </w:rPr>
        <w:t>Thus, it is worth looking at how</w:t>
      </w:r>
      <w:r w:rsidR="00DF4DDE" w:rsidRPr="0074031E">
        <w:rPr>
          <w:rFonts w:ascii="Times New Roman" w:hAnsi="Times New Roman" w:cs="Times New Roman"/>
          <w:sz w:val="24"/>
          <w:szCs w:val="24"/>
          <w:lang w:val="en-US"/>
        </w:rPr>
        <w:t xml:space="preserve"> </w:t>
      </w:r>
      <w:r w:rsidRPr="0074031E">
        <w:rPr>
          <w:rFonts w:ascii="Times New Roman" w:hAnsi="Times New Roman" w:cs="Times New Roman"/>
          <w:sz w:val="24"/>
          <w:szCs w:val="24"/>
          <w:lang w:val="en-US"/>
        </w:rPr>
        <w:t>international organizatio</w:t>
      </w:r>
      <w:r w:rsidR="008602E0" w:rsidRPr="0074031E">
        <w:rPr>
          <w:rFonts w:ascii="Times New Roman" w:hAnsi="Times New Roman" w:cs="Times New Roman"/>
          <w:sz w:val="24"/>
          <w:szCs w:val="24"/>
          <w:lang w:val="en-US"/>
        </w:rPr>
        <w:t>ns</w:t>
      </w:r>
      <w:r w:rsidR="000605B3" w:rsidRPr="0074031E">
        <w:rPr>
          <w:rFonts w:ascii="Times New Roman" w:hAnsi="Times New Roman" w:cs="Times New Roman"/>
          <w:sz w:val="24"/>
          <w:szCs w:val="24"/>
          <w:lang w:val="en-US"/>
        </w:rPr>
        <w:t xml:space="preserve"> (I</w:t>
      </w:r>
      <w:r w:rsidR="0074031E" w:rsidRPr="0074031E">
        <w:rPr>
          <w:rFonts w:ascii="Times New Roman" w:hAnsi="Times New Roman" w:cs="Times New Roman"/>
          <w:sz w:val="24"/>
          <w:szCs w:val="24"/>
          <w:lang w:val="en-US"/>
        </w:rPr>
        <w:t>.</w:t>
      </w:r>
      <w:r w:rsidR="000605B3" w:rsidRPr="0074031E">
        <w:rPr>
          <w:rFonts w:ascii="Times New Roman" w:hAnsi="Times New Roman" w:cs="Times New Roman"/>
          <w:sz w:val="24"/>
          <w:szCs w:val="24"/>
          <w:lang w:val="en-US"/>
        </w:rPr>
        <w:t>Os)</w:t>
      </w:r>
      <w:r w:rsidR="008602E0" w:rsidRPr="0074031E">
        <w:rPr>
          <w:rFonts w:ascii="Times New Roman" w:hAnsi="Times New Roman" w:cs="Times New Roman"/>
          <w:sz w:val="24"/>
          <w:szCs w:val="24"/>
          <w:lang w:val="en-US"/>
        </w:rPr>
        <w:t xml:space="preserve"> deal with protest</w:t>
      </w:r>
      <w:r w:rsidR="000605B3" w:rsidRPr="0074031E">
        <w:rPr>
          <w:rFonts w:ascii="Times New Roman" w:hAnsi="Times New Roman" w:cs="Times New Roman"/>
          <w:sz w:val="24"/>
          <w:szCs w:val="24"/>
          <w:lang w:val="en-US"/>
        </w:rPr>
        <w:t>s from companie</w:t>
      </w:r>
      <w:r w:rsidRPr="0074031E">
        <w:rPr>
          <w:rFonts w:ascii="Times New Roman" w:hAnsi="Times New Roman" w:cs="Times New Roman"/>
          <w:sz w:val="24"/>
          <w:szCs w:val="24"/>
          <w:lang w:val="en-US"/>
        </w:rPr>
        <w:t>s</w:t>
      </w:r>
      <w:r w:rsidR="008F63BB" w:rsidRPr="0074031E">
        <w:rPr>
          <w:rFonts w:ascii="Times New Roman" w:hAnsi="Times New Roman" w:cs="Times New Roman"/>
          <w:sz w:val="24"/>
          <w:szCs w:val="24"/>
          <w:lang w:val="en-US"/>
        </w:rPr>
        <w:t xml:space="preserve"> dissatisfied with the conduct of the</w:t>
      </w:r>
      <w:r w:rsidR="0068424D" w:rsidRPr="0074031E">
        <w:rPr>
          <w:rFonts w:ascii="Times New Roman" w:hAnsi="Times New Roman" w:cs="Times New Roman"/>
          <w:sz w:val="24"/>
          <w:szCs w:val="24"/>
          <w:lang w:val="en-US"/>
        </w:rPr>
        <w:t>ir</w:t>
      </w:r>
      <w:r w:rsidR="008F63BB" w:rsidRPr="0074031E">
        <w:rPr>
          <w:rFonts w:ascii="Times New Roman" w:hAnsi="Times New Roman" w:cs="Times New Roman"/>
          <w:sz w:val="24"/>
          <w:szCs w:val="24"/>
          <w:lang w:val="en-US"/>
        </w:rPr>
        <w:t xml:space="preserve"> procurement proceedings</w:t>
      </w:r>
      <w:r w:rsidR="009C1B4B" w:rsidRPr="0074031E">
        <w:rPr>
          <w:rFonts w:ascii="Times New Roman" w:hAnsi="Times New Roman" w:cs="Times New Roman"/>
          <w:sz w:val="24"/>
          <w:szCs w:val="24"/>
          <w:lang w:val="en-US"/>
        </w:rPr>
        <w:t xml:space="preserve"> prefiguring truly “international contracts”</w:t>
      </w:r>
      <w:r w:rsidR="006A2297" w:rsidRPr="0074031E">
        <w:rPr>
          <w:rStyle w:val="FootnoteReference"/>
          <w:rFonts w:ascii="Times New Roman" w:hAnsi="Times New Roman" w:cs="Times New Roman"/>
          <w:sz w:val="24"/>
          <w:szCs w:val="24"/>
          <w:lang w:val="en-US"/>
        </w:rPr>
        <w:footnoteReference w:id="4"/>
      </w:r>
      <w:r w:rsidR="009C1B4B" w:rsidRPr="0074031E">
        <w:rPr>
          <w:rFonts w:ascii="Times New Roman" w:hAnsi="Times New Roman" w:cs="Times New Roman"/>
          <w:sz w:val="24"/>
          <w:szCs w:val="24"/>
          <w:lang w:val="en-US"/>
        </w:rPr>
        <w:t>.</w:t>
      </w:r>
      <w:r w:rsidR="006A2297" w:rsidRPr="0074031E">
        <w:rPr>
          <w:rFonts w:ascii="Times New Roman" w:hAnsi="Times New Roman" w:cs="Times New Roman"/>
          <w:sz w:val="24"/>
          <w:szCs w:val="24"/>
          <w:lang w:val="en-US"/>
        </w:rPr>
        <w:t xml:space="preserve"> Therefore, this chapter will look at the review/protest/challenge internal mechanisms and controls that I.Os’ corporate contracts can be subject to.</w:t>
      </w:r>
    </w:p>
    <w:p w14:paraId="46C20D30" w14:textId="0823959D" w:rsidR="007B7EE8" w:rsidRPr="0074031E" w:rsidRDefault="000605B3" w:rsidP="0074031E">
      <w:pPr>
        <w:ind w:firstLine="708"/>
        <w:jc w:val="both"/>
        <w:rPr>
          <w:rFonts w:ascii="Times New Roman" w:hAnsi="Times New Roman" w:cs="Times New Roman"/>
          <w:b/>
          <w:sz w:val="24"/>
          <w:szCs w:val="24"/>
          <w:lang w:val="en-US"/>
        </w:rPr>
      </w:pPr>
      <w:r w:rsidRPr="0074031E">
        <w:rPr>
          <w:rFonts w:ascii="Times New Roman" w:hAnsi="Times New Roman" w:cs="Times New Roman"/>
          <w:sz w:val="24"/>
          <w:szCs w:val="24"/>
          <w:lang w:val="en-US"/>
        </w:rPr>
        <w:t>To this end, this chapter</w:t>
      </w:r>
      <w:r w:rsidR="00014279" w:rsidRPr="0074031E">
        <w:rPr>
          <w:rFonts w:ascii="Times New Roman" w:hAnsi="Times New Roman" w:cs="Times New Roman"/>
          <w:sz w:val="24"/>
          <w:szCs w:val="24"/>
          <w:lang w:val="en-US"/>
        </w:rPr>
        <w:t xml:space="preserve"> is </w:t>
      </w:r>
      <w:r w:rsidR="008F63BB" w:rsidRPr="0074031E">
        <w:rPr>
          <w:rFonts w:ascii="Times New Roman" w:hAnsi="Times New Roman" w:cs="Times New Roman"/>
          <w:sz w:val="24"/>
          <w:szCs w:val="24"/>
          <w:lang w:val="en-US"/>
        </w:rPr>
        <w:t xml:space="preserve">actually an update, </w:t>
      </w:r>
      <w:r w:rsidR="003003B0" w:rsidRPr="0074031E">
        <w:rPr>
          <w:rFonts w:ascii="Times New Roman" w:hAnsi="Times New Roman" w:cs="Times New Roman"/>
          <w:sz w:val="24"/>
          <w:szCs w:val="24"/>
          <w:lang w:val="en-US"/>
        </w:rPr>
        <w:t xml:space="preserve">almost </w:t>
      </w:r>
      <w:r w:rsidR="008F63BB" w:rsidRPr="0074031E">
        <w:rPr>
          <w:rFonts w:ascii="Times New Roman" w:hAnsi="Times New Roman" w:cs="Times New Roman"/>
          <w:sz w:val="24"/>
          <w:szCs w:val="24"/>
          <w:lang w:val="en-US"/>
        </w:rPr>
        <w:t>10</w:t>
      </w:r>
      <w:r w:rsidR="00014279" w:rsidRPr="0074031E">
        <w:rPr>
          <w:rFonts w:ascii="Times New Roman" w:hAnsi="Times New Roman" w:cs="Times New Roman"/>
          <w:sz w:val="24"/>
          <w:szCs w:val="24"/>
          <w:lang w:val="en-US"/>
        </w:rPr>
        <w:t xml:space="preserve"> years after, of a report</w:t>
      </w:r>
      <w:r w:rsidRPr="0074031E">
        <w:rPr>
          <w:rFonts w:ascii="Times New Roman" w:hAnsi="Times New Roman" w:cs="Times New Roman"/>
          <w:sz w:val="24"/>
          <w:szCs w:val="24"/>
          <w:lang w:val="en-US"/>
        </w:rPr>
        <w:t xml:space="preserve"> which</w:t>
      </w:r>
      <w:r w:rsidR="00014279" w:rsidRPr="0074031E">
        <w:rPr>
          <w:rStyle w:val="FootnoteReference"/>
          <w:rFonts w:ascii="Times New Roman" w:hAnsi="Times New Roman" w:cs="Times New Roman"/>
          <w:sz w:val="24"/>
          <w:szCs w:val="24"/>
          <w:lang w:val="en-US"/>
        </w:rPr>
        <w:footnoteReference w:id="5"/>
      </w:r>
      <w:r w:rsidR="00014279" w:rsidRPr="0074031E">
        <w:rPr>
          <w:rFonts w:ascii="Times New Roman" w:hAnsi="Times New Roman" w:cs="Times New Roman"/>
          <w:sz w:val="24"/>
          <w:szCs w:val="24"/>
          <w:lang w:val="en-US"/>
        </w:rPr>
        <w:t xml:space="preserve"> made use of the results of a questionnaire circulated to a number of I</w:t>
      </w:r>
      <w:r w:rsidR="0074031E" w:rsidRPr="0074031E">
        <w:rPr>
          <w:rFonts w:ascii="Times New Roman" w:hAnsi="Times New Roman" w:cs="Times New Roman"/>
          <w:sz w:val="24"/>
          <w:szCs w:val="24"/>
          <w:lang w:val="en-US"/>
        </w:rPr>
        <w:t>.</w:t>
      </w:r>
      <w:r w:rsidR="00014279" w:rsidRPr="0074031E">
        <w:rPr>
          <w:rFonts w:ascii="Times New Roman" w:hAnsi="Times New Roman" w:cs="Times New Roman"/>
          <w:sz w:val="24"/>
          <w:szCs w:val="24"/>
          <w:lang w:val="en-US"/>
        </w:rPr>
        <w:t>Os</w:t>
      </w:r>
      <w:r w:rsidR="00014279" w:rsidRPr="0074031E">
        <w:rPr>
          <w:rStyle w:val="FootnoteReference"/>
          <w:rFonts w:ascii="Times New Roman" w:hAnsi="Times New Roman" w:cs="Times New Roman"/>
          <w:sz w:val="24"/>
          <w:szCs w:val="24"/>
        </w:rPr>
        <w:footnoteReference w:id="6"/>
      </w:r>
      <w:r w:rsidR="007B7EE8" w:rsidRPr="0074031E">
        <w:rPr>
          <w:rFonts w:ascii="Times New Roman" w:hAnsi="Times New Roman" w:cs="Times New Roman"/>
          <w:sz w:val="24"/>
          <w:szCs w:val="24"/>
          <w:lang w:val="en-US"/>
        </w:rPr>
        <w:t>. At that time, the report conclude</w:t>
      </w:r>
      <w:r w:rsidR="00014279" w:rsidRPr="0074031E">
        <w:rPr>
          <w:rFonts w:ascii="Times New Roman" w:hAnsi="Times New Roman" w:cs="Times New Roman"/>
          <w:sz w:val="24"/>
          <w:szCs w:val="24"/>
          <w:lang w:val="en-US"/>
        </w:rPr>
        <w:t>d that</w:t>
      </w:r>
      <w:r w:rsidRPr="0074031E">
        <w:rPr>
          <w:rFonts w:ascii="Times New Roman" w:hAnsi="Times New Roman" w:cs="Times New Roman"/>
          <w:sz w:val="24"/>
          <w:szCs w:val="24"/>
          <w:lang w:val="en-US"/>
        </w:rPr>
        <w:t xml:space="preserve"> most I</w:t>
      </w:r>
      <w:r w:rsidR="0074031E" w:rsidRPr="0074031E">
        <w:rPr>
          <w:rFonts w:ascii="Times New Roman" w:hAnsi="Times New Roman" w:cs="Times New Roman"/>
          <w:sz w:val="24"/>
          <w:szCs w:val="24"/>
          <w:lang w:val="en-US"/>
        </w:rPr>
        <w:t>.</w:t>
      </w:r>
      <w:r w:rsidRPr="0074031E">
        <w:rPr>
          <w:rFonts w:ascii="Times New Roman" w:hAnsi="Times New Roman" w:cs="Times New Roman"/>
          <w:sz w:val="24"/>
          <w:szCs w:val="24"/>
          <w:lang w:val="en-US"/>
        </w:rPr>
        <w:t>O</w:t>
      </w:r>
      <w:r w:rsidR="00014279" w:rsidRPr="0074031E">
        <w:rPr>
          <w:rFonts w:ascii="Times New Roman" w:hAnsi="Times New Roman" w:cs="Times New Roman"/>
          <w:sz w:val="24"/>
          <w:szCs w:val="24"/>
          <w:lang w:val="en-US"/>
        </w:rPr>
        <w:t>s either had no formal mechanism, or, whe</w:t>
      </w:r>
      <w:r w:rsidRPr="0074031E">
        <w:rPr>
          <w:rFonts w:ascii="Times New Roman" w:hAnsi="Times New Roman" w:cs="Times New Roman"/>
          <w:sz w:val="24"/>
          <w:szCs w:val="24"/>
          <w:lang w:val="en-US"/>
        </w:rPr>
        <w:t xml:space="preserve">n it did exist, it hardly went </w:t>
      </w:r>
      <w:r w:rsidR="00014279" w:rsidRPr="0074031E">
        <w:rPr>
          <w:rFonts w:ascii="Times New Roman" w:hAnsi="Times New Roman" w:cs="Times New Roman"/>
          <w:sz w:val="24"/>
          <w:szCs w:val="24"/>
          <w:lang w:val="en-US"/>
        </w:rPr>
        <w:t>beyond the obli</w:t>
      </w:r>
      <w:r w:rsidR="005D37A1" w:rsidRPr="0074031E">
        <w:rPr>
          <w:rFonts w:ascii="Times New Roman" w:hAnsi="Times New Roman" w:cs="Times New Roman"/>
          <w:sz w:val="24"/>
          <w:szCs w:val="24"/>
          <w:lang w:val="en-US"/>
        </w:rPr>
        <w:t>gation to inform the bidders</w:t>
      </w:r>
      <w:r w:rsidR="00014279" w:rsidRPr="0074031E">
        <w:rPr>
          <w:rFonts w:ascii="Times New Roman" w:hAnsi="Times New Roman" w:cs="Times New Roman"/>
          <w:sz w:val="24"/>
          <w:szCs w:val="24"/>
          <w:lang w:val="en-US"/>
        </w:rPr>
        <w:t xml:space="preserve"> that their offer had been rejected. </w:t>
      </w:r>
      <w:r w:rsidR="005D37A1" w:rsidRPr="0074031E">
        <w:rPr>
          <w:rFonts w:ascii="Times New Roman" w:hAnsi="Times New Roman" w:cs="Times New Roman"/>
          <w:sz w:val="24"/>
          <w:szCs w:val="24"/>
          <w:lang w:val="en-US"/>
        </w:rPr>
        <w:t xml:space="preserve">The lack of specific </w:t>
      </w:r>
      <w:r w:rsidR="007B7EE8" w:rsidRPr="0074031E">
        <w:rPr>
          <w:rFonts w:ascii="Times New Roman" w:hAnsi="Times New Roman" w:cs="Times New Roman"/>
          <w:sz w:val="24"/>
          <w:szCs w:val="24"/>
          <w:lang w:val="en-US"/>
        </w:rPr>
        <w:t>complaint mechanism was obvious</w:t>
      </w:r>
      <w:r w:rsidR="005D37A1" w:rsidRPr="0074031E">
        <w:rPr>
          <w:rFonts w:ascii="Times New Roman" w:hAnsi="Times New Roman" w:cs="Times New Roman"/>
          <w:sz w:val="24"/>
          <w:szCs w:val="24"/>
          <w:lang w:val="en-US"/>
        </w:rPr>
        <w:t xml:space="preserve">. </w:t>
      </w:r>
      <w:r w:rsidR="0095734B" w:rsidRPr="0074031E">
        <w:rPr>
          <w:rFonts w:ascii="Times New Roman" w:hAnsi="Times New Roman" w:cs="Times New Roman"/>
          <w:sz w:val="24"/>
          <w:szCs w:val="24"/>
          <w:lang w:val="en-US"/>
        </w:rPr>
        <w:t>Considering that several</w:t>
      </w:r>
      <w:r w:rsidR="001B6F72" w:rsidRPr="0074031E">
        <w:rPr>
          <w:rFonts w:ascii="Times New Roman" w:hAnsi="Times New Roman" w:cs="Times New Roman"/>
          <w:sz w:val="24"/>
          <w:szCs w:val="24"/>
          <w:lang w:val="en-US"/>
        </w:rPr>
        <w:t xml:space="preserve"> of these IOs were in charge of conducting public sector reforms, including the improvement of </w:t>
      </w:r>
      <w:r w:rsidR="005D37A1" w:rsidRPr="0074031E">
        <w:rPr>
          <w:rFonts w:ascii="Times New Roman" w:hAnsi="Times New Roman" w:cs="Times New Roman"/>
          <w:sz w:val="24"/>
          <w:szCs w:val="24"/>
          <w:lang w:val="en-US"/>
        </w:rPr>
        <w:t>transparency in</w:t>
      </w:r>
      <w:r w:rsidR="001B6F72" w:rsidRPr="0074031E">
        <w:rPr>
          <w:rFonts w:ascii="Times New Roman" w:hAnsi="Times New Roman" w:cs="Times New Roman"/>
          <w:sz w:val="24"/>
          <w:szCs w:val="24"/>
          <w:lang w:val="en-US"/>
        </w:rPr>
        <w:t xml:space="preserve"> public affairs,</w:t>
      </w:r>
      <w:r w:rsidR="007B7EE8" w:rsidRPr="0074031E">
        <w:rPr>
          <w:rFonts w:ascii="Times New Roman" w:hAnsi="Times New Roman" w:cs="Times New Roman"/>
          <w:sz w:val="24"/>
          <w:szCs w:val="24"/>
          <w:lang w:val="en-US"/>
        </w:rPr>
        <w:t xml:space="preserve"> this lack </w:t>
      </w:r>
      <w:r w:rsidR="00650ACF" w:rsidRPr="0074031E">
        <w:rPr>
          <w:rFonts w:ascii="Times New Roman" w:hAnsi="Times New Roman" w:cs="Times New Roman"/>
          <w:sz w:val="24"/>
          <w:szCs w:val="24"/>
          <w:lang w:val="en-US"/>
        </w:rPr>
        <w:t xml:space="preserve">of due consideration for candidate companies </w:t>
      </w:r>
      <w:r w:rsidR="0074031E" w:rsidRPr="0074031E">
        <w:rPr>
          <w:rFonts w:ascii="Times New Roman" w:hAnsi="Times New Roman" w:cs="Times New Roman"/>
          <w:sz w:val="24"/>
          <w:szCs w:val="24"/>
          <w:lang w:val="en-US"/>
        </w:rPr>
        <w:t xml:space="preserve">was </w:t>
      </w:r>
      <w:r w:rsidR="007B7EE8" w:rsidRPr="0074031E">
        <w:rPr>
          <w:rFonts w:ascii="Times New Roman" w:hAnsi="Times New Roman" w:cs="Times New Roman"/>
          <w:sz w:val="24"/>
          <w:szCs w:val="24"/>
          <w:lang w:val="en-US"/>
        </w:rPr>
        <w:t>disturbing.</w:t>
      </w:r>
      <w:r w:rsidR="001B6F72" w:rsidRPr="0074031E">
        <w:rPr>
          <w:rFonts w:ascii="Times New Roman" w:hAnsi="Times New Roman" w:cs="Times New Roman"/>
          <w:sz w:val="24"/>
          <w:szCs w:val="24"/>
          <w:lang w:val="en-US"/>
        </w:rPr>
        <w:t xml:space="preserve"> </w:t>
      </w:r>
    </w:p>
    <w:p w14:paraId="3F01A6D5" w14:textId="7697E1B7" w:rsidR="00E53C72" w:rsidRPr="0074031E" w:rsidRDefault="007B7EE8" w:rsidP="0074031E">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Since the last ten years have been characterized by an intensification of </w:t>
      </w:r>
      <w:r w:rsidR="000605B3" w:rsidRPr="0074031E">
        <w:rPr>
          <w:rFonts w:ascii="Times New Roman" w:hAnsi="Times New Roman" w:cs="Times New Roman"/>
          <w:sz w:val="24"/>
          <w:szCs w:val="24"/>
          <w:lang w:val="en-US"/>
        </w:rPr>
        <w:t>international discussions disserting on the best principles and practices that sh</w:t>
      </w:r>
      <w:r w:rsidRPr="0074031E">
        <w:rPr>
          <w:rFonts w:ascii="Times New Roman" w:hAnsi="Times New Roman" w:cs="Times New Roman"/>
          <w:sz w:val="24"/>
          <w:szCs w:val="24"/>
          <w:lang w:val="en-US"/>
        </w:rPr>
        <w:t>ould drive</w:t>
      </w:r>
      <w:r w:rsidR="00315875" w:rsidRPr="0074031E">
        <w:rPr>
          <w:rFonts w:ascii="Times New Roman" w:hAnsi="Times New Roman" w:cs="Times New Roman"/>
          <w:sz w:val="24"/>
          <w:szCs w:val="24"/>
          <w:lang w:val="en-US"/>
        </w:rPr>
        <w:t xml:space="preserve"> national </w:t>
      </w:r>
      <w:r w:rsidR="000605B3" w:rsidRPr="0074031E">
        <w:rPr>
          <w:rFonts w:ascii="Times New Roman" w:hAnsi="Times New Roman" w:cs="Times New Roman"/>
          <w:sz w:val="24"/>
          <w:szCs w:val="24"/>
          <w:lang w:val="en-US"/>
        </w:rPr>
        <w:t>procurement system</w:t>
      </w:r>
      <w:r w:rsidR="00315875" w:rsidRPr="0074031E">
        <w:rPr>
          <w:rFonts w:ascii="Times New Roman" w:hAnsi="Times New Roman" w:cs="Times New Roman"/>
          <w:sz w:val="24"/>
          <w:szCs w:val="24"/>
          <w:lang w:val="en-US"/>
        </w:rPr>
        <w:t>s,</w:t>
      </w:r>
      <w:r w:rsidR="00650ACF" w:rsidRPr="0074031E">
        <w:rPr>
          <w:rFonts w:ascii="Times New Roman" w:hAnsi="Times New Roman" w:cs="Times New Roman"/>
          <w:sz w:val="24"/>
          <w:szCs w:val="24"/>
          <w:lang w:val="en-US"/>
        </w:rPr>
        <w:t xml:space="preserve"> with the adoption of several international instruments such as the revised G</w:t>
      </w:r>
      <w:r w:rsidR="0074031E" w:rsidRPr="0074031E">
        <w:rPr>
          <w:rFonts w:ascii="Times New Roman" w:hAnsi="Times New Roman" w:cs="Times New Roman"/>
          <w:sz w:val="24"/>
          <w:szCs w:val="24"/>
          <w:lang w:val="en-US"/>
        </w:rPr>
        <w:t xml:space="preserve">overnment </w:t>
      </w:r>
      <w:r w:rsidR="00650ACF" w:rsidRPr="0074031E">
        <w:rPr>
          <w:rFonts w:ascii="Times New Roman" w:hAnsi="Times New Roman" w:cs="Times New Roman"/>
          <w:sz w:val="24"/>
          <w:szCs w:val="24"/>
          <w:lang w:val="en-US"/>
        </w:rPr>
        <w:t>P</w:t>
      </w:r>
      <w:r w:rsidR="0074031E" w:rsidRPr="0074031E">
        <w:rPr>
          <w:rFonts w:ascii="Times New Roman" w:hAnsi="Times New Roman" w:cs="Times New Roman"/>
          <w:sz w:val="24"/>
          <w:szCs w:val="24"/>
          <w:lang w:val="en-US"/>
        </w:rPr>
        <w:t xml:space="preserve">rocurement </w:t>
      </w:r>
      <w:r w:rsidR="00650ACF" w:rsidRPr="0074031E">
        <w:rPr>
          <w:rFonts w:ascii="Times New Roman" w:hAnsi="Times New Roman" w:cs="Times New Roman"/>
          <w:sz w:val="24"/>
          <w:szCs w:val="24"/>
          <w:lang w:val="en-US"/>
        </w:rPr>
        <w:t>A</w:t>
      </w:r>
      <w:r w:rsidR="0074031E" w:rsidRPr="0074031E">
        <w:rPr>
          <w:rFonts w:ascii="Times New Roman" w:hAnsi="Times New Roman" w:cs="Times New Roman"/>
          <w:sz w:val="24"/>
          <w:szCs w:val="24"/>
          <w:lang w:val="en-US"/>
        </w:rPr>
        <w:t>greement</w:t>
      </w:r>
      <w:r w:rsidR="00650ACF" w:rsidRPr="0074031E">
        <w:rPr>
          <w:rFonts w:ascii="Times New Roman" w:hAnsi="Times New Roman" w:cs="Times New Roman"/>
          <w:sz w:val="24"/>
          <w:szCs w:val="24"/>
          <w:lang w:val="en-US"/>
        </w:rPr>
        <w:t xml:space="preserve"> entered into force in 2014, </w:t>
      </w:r>
      <w:r w:rsidR="00A90E4B" w:rsidRPr="0074031E">
        <w:rPr>
          <w:rFonts w:ascii="Times New Roman" w:hAnsi="Times New Roman" w:cs="Times New Roman"/>
          <w:sz w:val="24"/>
          <w:szCs w:val="24"/>
          <w:lang w:val="en-US"/>
        </w:rPr>
        <w:t>it may be time to fathom</w:t>
      </w:r>
      <w:r w:rsidR="000605B3" w:rsidRPr="0074031E">
        <w:rPr>
          <w:rFonts w:ascii="Times New Roman" w:hAnsi="Times New Roman" w:cs="Times New Roman"/>
          <w:b/>
          <w:sz w:val="24"/>
          <w:szCs w:val="24"/>
          <w:lang w:val="en-US"/>
        </w:rPr>
        <w:t xml:space="preserve"> </w:t>
      </w:r>
      <w:r w:rsidR="008F63BB" w:rsidRPr="0074031E">
        <w:rPr>
          <w:rFonts w:ascii="Times New Roman" w:hAnsi="Times New Roman" w:cs="Times New Roman"/>
          <w:sz w:val="24"/>
          <w:szCs w:val="24"/>
          <w:lang w:val="en-US"/>
        </w:rPr>
        <w:t>where these I</w:t>
      </w:r>
      <w:r w:rsidR="000F4A4E" w:rsidRPr="0074031E">
        <w:rPr>
          <w:rFonts w:ascii="Times New Roman" w:hAnsi="Times New Roman" w:cs="Times New Roman"/>
          <w:sz w:val="24"/>
          <w:szCs w:val="24"/>
          <w:lang w:val="en-US"/>
        </w:rPr>
        <w:t>.</w:t>
      </w:r>
      <w:r w:rsidR="008F63BB" w:rsidRPr="0074031E">
        <w:rPr>
          <w:rFonts w:ascii="Times New Roman" w:hAnsi="Times New Roman" w:cs="Times New Roman"/>
          <w:sz w:val="24"/>
          <w:szCs w:val="24"/>
          <w:lang w:val="en-US"/>
        </w:rPr>
        <w:t>Os</w:t>
      </w:r>
      <w:r w:rsidR="000605B3" w:rsidRPr="0074031E">
        <w:rPr>
          <w:rFonts w:ascii="Times New Roman" w:hAnsi="Times New Roman" w:cs="Times New Roman"/>
          <w:sz w:val="24"/>
          <w:szCs w:val="24"/>
          <w:lang w:val="en-US"/>
        </w:rPr>
        <w:t xml:space="preserve"> stand now</w:t>
      </w:r>
      <w:r w:rsidR="008F63BB" w:rsidRPr="0074031E">
        <w:rPr>
          <w:rFonts w:ascii="Times New Roman" w:hAnsi="Times New Roman" w:cs="Times New Roman"/>
          <w:sz w:val="24"/>
          <w:szCs w:val="24"/>
          <w:lang w:val="en-US"/>
        </w:rPr>
        <w:t>, and to measure what progress have been made so far</w:t>
      </w:r>
      <w:r w:rsidR="000605B3" w:rsidRPr="0074031E">
        <w:rPr>
          <w:rFonts w:ascii="Times New Roman" w:hAnsi="Times New Roman" w:cs="Times New Roman"/>
          <w:sz w:val="24"/>
          <w:szCs w:val="24"/>
          <w:lang w:val="en-US"/>
        </w:rPr>
        <w:t>.</w:t>
      </w:r>
      <w:r w:rsidRPr="0074031E">
        <w:rPr>
          <w:rFonts w:ascii="Times New Roman" w:hAnsi="Times New Roman" w:cs="Times New Roman"/>
          <w:sz w:val="24"/>
          <w:szCs w:val="24"/>
          <w:lang w:val="en-US"/>
        </w:rPr>
        <w:t xml:space="preserve"> </w:t>
      </w:r>
      <w:r w:rsidR="000605B3" w:rsidRPr="0074031E">
        <w:rPr>
          <w:rFonts w:ascii="Times New Roman" w:hAnsi="Times New Roman" w:cs="Times New Roman"/>
          <w:sz w:val="24"/>
          <w:szCs w:val="24"/>
          <w:lang w:val="en-US"/>
        </w:rPr>
        <w:t>We will first lo</w:t>
      </w:r>
      <w:r w:rsidR="003003B0" w:rsidRPr="0074031E">
        <w:rPr>
          <w:rFonts w:ascii="Times New Roman" w:hAnsi="Times New Roman" w:cs="Times New Roman"/>
          <w:sz w:val="24"/>
          <w:szCs w:val="24"/>
          <w:lang w:val="en-US"/>
        </w:rPr>
        <w:t>ok at the rules governing</w:t>
      </w:r>
      <w:r w:rsidR="00E81B8D" w:rsidRPr="0074031E">
        <w:rPr>
          <w:rFonts w:ascii="Times New Roman" w:hAnsi="Times New Roman" w:cs="Times New Roman"/>
          <w:sz w:val="24"/>
          <w:szCs w:val="24"/>
          <w:lang w:val="en-US"/>
        </w:rPr>
        <w:t xml:space="preserve"> the challenge of</w:t>
      </w:r>
      <w:r w:rsidR="003003B0" w:rsidRPr="0074031E">
        <w:rPr>
          <w:rFonts w:ascii="Times New Roman" w:hAnsi="Times New Roman" w:cs="Times New Roman"/>
          <w:sz w:val="24"/>
          <w:szCs w:val="24"/>
          <w:lang w:val="en-US"/>
        </w:rPr>
        <w:t xml:space="preserve"> I.Os purchasing activities</w:t>
      </w:r>
      <w:r w:rsidR="007F0113" w:rsidRPr="0074031E">
        <w:rPr>
          <w:rFonts w:ascii="Times New Roman" w:hAnsi="Times New Roman" w:cs="Times New Roman"/>
          <w:sz w:val="24"/>
          <w:szCs w:val="24"/>
          <w:lang w:val="en-US"/>
        </w:rPr>
        <w:t xml:space="preserve"> </w:t>
      </w:r>
      <w:r w:rsidR="0074031E" w:rsidRPr="0074031E">
        <w:rPr>
          <w:rFonts w:ascii="Times New Roman" w:hAnsi="Times New Roman" w:cs="Times New Roman"/>
          <w:sz w:val="24"/>
          <w:szCs w:val="24"/>
          <w:lang w:val="en-US"/>
        </w:rPr>
        <w:t>(2</w:t>
      </w:r>
      <w:r w:rsidR="00A90E4B" w:rsidRPr="0074031E">
        <w:rPr>
          <w:rFonts w:ascii="Times New Roman" w:hAnsi="Times New Roman" w:cs="Times New Roman"/>
          <w:sz w:val="24"/>
          <w:szCs w:val="24"/>
          <w:lang w:val="en-US"/>
        </w:rPr>
        <w:t xml:space="preserve">) </w:t>
      </w:r>
      <w:r w:rsidR="009C1B4B" w:rsidRPr="0074031E">
        <w:rPr>
          <w:rFonts w:ascii="Times New Roman" w:hAnsi="Times New Roman" w:cs="Times New Roman"/>
          <w:sz w:val="24"/>
          <w:szCs w:val="24"/>
          <w:lang w:val="en-US"/>
        </w:rPr>
        <w:t>with a focus on the larger</w:t>
      </w:r>
      <w:r w:rsidR="003C77A1" w:rsidRPr="0074031E">
        <w:rPr>
          <w:rFonts w:ascii="Times New Roman" w:hAnsi="Times New Roman" w:cs="Times New Roman"/>
          <w:sz w:val="24"/>
          <w:szCs w:val="24"/>
          <w:lang w:val="en-US"/>
        </w:rPr>
        <w:t xml:space="preserve"> </w:t>
      </w:r>
      <w:r w:rsidR="00947980" w:rsidRPr="0074031E">
        <w:rPr>
          <w:rFonts w:ascii="Times New Roman" w:hAnsi="Times New Roman" w:cs="Times New Roman"/>
          <w:sz w:val="24"/>
          <w:szCs w:val="24"/>
          <w:lang w:val="en-US"/>
        </w:rPr>
        <w:t xml:space="preserve">international </w:t>
      </w:r>
      <w:r w:rsidR="003451AC">
        <w:rPr>
          <w:rFonts w:ascii="Times New Roman" w:hAnsi="Times New Roman" w:cs="Times New Roman"/>
          <w:sz w:val="24"/>
          <w:szCs w:val="24"/>
          <w:lang w:val="en-US"/>
        </w:rPr>
        <w:t>buyers</w:t>
      </w:r>
      <w:r w:rsidR="003003B0" w:rsidRPr="0074031E">
        <w:rPr>
          <w:rFonts w:ascii="Times New Roman" w:hAnsi="Times New Roman" w:cs="Times New Roman"/>
          <w:sz w:val="24"/>
          <w:szCs w:val="24"/>
          <w:lang w:val="en-US"/>
        </w:rPr>
        <w:t>,</w:t>
      </w:r>
      <w:r w:rsidR="007F0113" w:rsidRPr="0074031E">
        <w:rPr>
          <w:rFonts w:ascii="Times New Roman" w:hAnsi="Times New Roman" w:cs="Times New Roman"/>
          <w:sz w:val="24"/>
          <w:szCs w:val="24"/>
          <w:lang w:val="en-US"/>
        </w:rPr>
        <w:t xml:space="preserve"> before getting to t</w:t>
      </w:r>
      <w:r w:rsidR="00E81B8D" w:rsidRPr="0074031E">
        <w:rPr>
          <w:rFonts w:ascii="Times New Roman" w:hAnsi="Times New Roman" w:cs="Times New Roman"/>
          <w:sz w:val="24"/>
          <w:szCs w:val="24"/>
          <w:lang w:val="en-US"/>
        </w:rPr>
        <w:t xml:space="preserve">he </w:t>
      </w:r>
      <w:r w:rsidR="003451AC">
        <w:rPr>
          <w:rFonts w:ascii="Times New Roman" w:hAnsi="Times New Roman" w:cs="Times New Roman"/>
          <w:sz w:val="24"/>
          <w:szCs w:val="24"/>
          <w:lang w:val="en-US"/>
        </w:rPr>
        <w:t>procedure (3</w:t>
      </w:r>
      <w:r w:rsidR="00947980" w:rsidRPr="0074031E">
        <w:rPr>
          <w:rFonts w:ascii="Times New Roman" w:hAnsi="Times New Roman" w:cs="Times New Roman"/>
          <w:sz w:val="24"/>
          <w:szCs w:val="24"/>
          <w:lang w:val="en-US"/>
        </w:rPr>
        <w:t xml:space="preserve">) and </w:t>
      </w:r>
      <w:r w:rsidR="003C1DB2">
        <w:rPr>
          <w:rFonts w:ascii="Times New Roman" w:hAnsi="Times New Roman" w:cs="Times New Roman"/>
          <w:sz w:val="24"/>
          <w:szCs w:val="24"/>
          <w:lang w:val="en-US"/>
        </w:rPr>
        <w:t>the</w:t>
      </w:r>
      <w:r w:rsidR="003451AC">
        <w:rPr>
          <w:rFonts w:ascii="Times New Roman" w:hAnsi="Times New Roman" w:cs="Times New Roman"/>
          <w:sz w:val="24"/>
          <w:szCs w:val="24"/>
          <w:lang w:val="en-US"/>
        </w:rPr>
        <w:t xml:space="preserve"> most </w:t>
      </w:r>
      <w:r w:rsidR="003451AC" w:rsidRPr="00F97AB6">
        <w:rPr>
          <w:rFonts w:ascii="Times New Roman" w:hAnsi="Times New Roman" w:cs="Times New Roman"/>
          <w:sz w:val="24"/>
          <w:szCs w:val="24"/>
          <w:lang w:val="en-US"/>
        </w:rPr>
        <w:t>sal</w:t>
      </w:r>
      <w:r w:rsidR="00F97AB6" w:rsidRPr="00F97AB6">
        <w:rPr>
          <w:rFonts w:ascii="Times New Roman" w:hAnsi="Times New Roman" w:cs="Times New Roman"/>
          <w:sz w:val="24"/>
          <w:szCs w:val="24"/>
          <w:lang w:val="en-US"/>
        </w:rPr>
        <w:t>i</w:t>
      </w:r>
      <w:r w:rsidR="003451AC" w:rsidRPr="00F97AB6">
        <w:rPr>
          <w:rFonts w:ascii="Times New Roman" w:hAnsi="Times New Roman" w:cs="Times New Roman"/>
          <w:sz w:val="24"/>
          <w:szCs w:val="24"/>
          <w:lang w:val="en-US"/>
        </w:rPr>
        <w:t>ent</w:t>
      </w:r>
      <w:r w:rsidR="003451AC">
        <w:rPr>
          <w:rFonts w:ascii="Times New Roman" w:hAnsi="Times New Roman" w:cs="Times New Roman"/>
          <w:sz w:val="24"/>
          <w:szCs w:val="24"/>
          <w:lang w:val="en-US"/>
        </w:rPr>
        <w:t xml:space="preserve"> </w:t>
      </w:r>
      <w:r w:rsidR="00E81B8D" w:rsidRPr="0074031E">
        <w:rPr>
          <w:rFonts w:ascii="Times New Roman" w:hAnsi="Times New Roman" w:cs="Times New Roman"/>
          <w:sz w:val="24"/>
          <w:szCs w:val="24"/>
          <w:lang w:val="en-US"/>
        </w:rPr>
        <w:t xml:space="preserve">issues </w:t>
      </w:r>
      <w:r w:rsidR="0074031E" w:rsidRPr="0074031E">
        <w:rPr>
          <w:rFonts w:ascii="Times New Roman" w:hAnsi="Times New Roman" w:cs="Times New Roman"/>
          <w:sz w:val="24"/>
          <w:szCs w:val="24"/>
          <w:lang w:val="en-US"/>
        </w:rPr>
        <w:t>(5</w:t>
      </w:r>
      <w:r w:rsidR="00947980" w:rsidRPr="0074031E">
        <w:rPr>
          <w:rFonts w:ascii="Times New Roman" w:hAnsi="Times New Roman" w:cs="Times New Roman"/>
          <w:sz w:val="24"/>
          <w:szCs w:val="24"/>
          <w:lang w:val="en-US"/>
        </w:rPr>
        <w:t xml:space="preserve">) </w:t>
      </w:r>
      <w:r w:rsidR="00E81B8D" w:rsidRPr="0074031E">
        <w:rPr>
          <w:rFonts w:ascii="Times New Roman" w:hAnsi="Times New Roman" w:cs="Times New Roman"/>
          <w:sz w:val="24"/>
          <w:szCs w:val="24"/>
          <w:lang w:val="en-US"/>
        </w:rPr>
        <w:t xml:space="preserve">raised by these </w:t>
      </w:r>
      <w:r w:rsidR="00DF4DDE" w:rsidRPr="0074031E">
        <w:rPr>
          <w:rFonts w:ascii="Times New Roman" w:hAnsi="Times New Roman" w:cs="Times New Roman"/>
          <w:sz w:val="24"/>
          <w:szCs w:val="24"/>
          <w:lang w:val="en-US"/>
        </w:rPr>
        <w:t>challenges</w:t>
      </w:r>
      <w:r w:rsidR="009C1B4B" w:rsidRPr="0074031E">
        <w:rPr>
          <w:rFonts w:ascii="Times New Roman" w:hAnsi="Times New Roman" w:cs="Times New Roman"/>
          <w:sz w:val="24"/>
          <w:szCs w:val="24"/>
          <w:lang w:val="en-US"/>
        </w:rPr>
        <w:t xml:space="preserve">. </w:t>
      </w:r>
      <w:r w:rsidR="007F0113" w:rsidRPr="0074031E">
        <w:rPr>
          <w:rFonts w:ascii="Times New Roman" w:hAnsi="Times New Roman" w:cs="Times New Roman"/>
          <w:sz w:val="24"/>
          <w:szCs w:val="24"/>
          <w:lang w:val="en-US"/>
        </w:rPr>
        <w:t>T</w:t>
      </w:r>
      <w:r w:rsidR="003451AC">
        <w:rPr>
          <w:rFonts w:ascii="Times New Roman" w:hAnsi="Times New Roman" w:cs="Times New Roman"/>
          <w:sz w:val="24"/>
          <w:szCs w:val="24"/>
          <w:lang w:val="en-US"/>
        </w:rPr>
        <w:t>hese</w:t>
      </w:r>
      <w:r w:rsidR="00591A09" w:rsidRPr="0074031E">
        <w:rPr>
          <w:rFonts w:ascii="Times New Roman" w:hAnsi="Times New Roman" w:cs="Times New Roman"/>
          <w:sz w:val="24"/>
          <w:szCs w:val="24"/>
          <w:lang w:val="en-US"/>
        </w:rPr>
        <w:t xml:space="preserve"> </w:t>
      </w:r>
      <w:r w:rsidR="000F4A4E" w:rsidRPr="0074031E">
        <w:rPr>
          <w:rFonts w:ascii="Times New Roman" w:hAnsi="Times New Roman" w:cs="Times New Roman"/>
          <w:sz w:val="24"/>
          <w:szCs w:val="24"/>
          <w:lang w:val="en-US"/>
        </w:rPr>
        <w:t>line</w:t>
      </w:r>
      <w:r w:rsidR="003451AC">
        <w:rPr>
          <w:rFonts w:ascii="Times New Roman" w:hAnsi="Times New Roman" w:cs="Times New Roman"/>
          <w:sz w:val="24"/>
          <w:szCs w:val="24"/>
          <w:lang w:val="en-US"/>
        </w:rPr>
        <w:t>s</w:t>
      </w:r>
      <w:r w:rsidR="000F4A4E" w:rsidRPr="0074031E">
        <w:rPr>
          <w:rFonts w:ascii="Times New Roman" w:hAnsi="Times New Roman" w:cs="Times New Roman"/>
          <w:sz w:val="24"/>
          <w:szCs w:val="24"/>
          <w:lang w:val="en-US"/>
        </w:rPr>
        <w:t xml:space="preserve"> </w:t>
      </w:r>
      <w:r w:rsidR="00947980" w:rsidRPr="0074031E">
        <w:rPr>
          <w:rFonts w:ascii="Times New Roman" w:hAnsi="Times New Roman" w:cs="Times New Roman"/>
          <w:sz w:val="24"/>
          <w:szCs w:val="24"/>
          <w:lang w:val="en-US"/>
        </w:rPr>
        <w:t>will be relevant when</w:t>
      </w:r>
      <w:r w:rsidR="00591A09" w:rsidRPr="0074031E">
        <w:rPr>
          <w:rFonts w:ascii="Times New Roman" w:hAnsi="Times New Roman" w:cs="Times New Roman"/>
          <w:sz w:val="24"/>
          <w:szCs w:val="24"/>
          <w:lang w:val="en-US"/>
        </w:rPr>
        <w:t xml:space="preserve"> assessing, from an empirical poin</w:t>
      </w:r>
      <w:r w:rsidR="00E53C72" w:rsidRPr="0074031E">
        <w:rPr>
          <w:rFonts w:ascii="Times New Roman" w:hAnsi="Times New Roman" w:cs="Times New Roman"/>
          <w:sz w:val="24"/>
          <w:szCs w:val="24"/>
          <w:lang w:val="en-US"/>
        </w:rPr>
        <w:t>t of view, to what extent the</w:t>
      </w:r>
      <w:r w:rsidR="0074031E" w:rsidRPr="0074031E">
        <w:rPr>
          <w:rFonts w:ascii="Times New Roman" w:hAnsi="Times New Roman" w:cs="Times New Roman"/>
          <w:sz w:val="24"/>
          <w:szCs w:val="24"/>
          <w:lang w:val="en-US"/>
        </w:rPr>
        <w:t>se</w:t>
      </w:r>
      <w:r w:rsidR="00E53C72" w:rsidRPr="0074031E">
        <w:rPr>
          <w:rFonts w:ascii="Times New Roman" w:hAnsi="Times New Roman" w:cs="Times New Roman"/>
          <w:sz w:val="24"/>
          <w:szCs w:val="24"/>
          <w:lang w:val="en-US"/>
        </w:rPr>
        <w:t xml:space="preserve"> complaint system</w:t>
      </w:r>
      <w:r w:rsidR="0074031E" w:rsidRPr="0074031E">
        <w:rPr>
          <w:rFonts w:ascii="Times New Roman" w:hAnsi="Times New Roman" w:cs="Times New Roman"/>
          <w:sz w:val="24"/>
          <w:szCs w:val="24"/>
          <w:lang w:val="en-US"/>
        </w:rPr>
        <w:t>s</w:t>
      </w:r>
      <w:r w:rsidR="00E53C72" w:rsidRPr="0074031E">
        <w:rPr>
          <w:rFonts w:ascii="Times New Roman" w:hAnsi="Times New Roman" w:cs="Times New Roman"/>
          <w:sz w:val="24"/>
          <w:szCs w:val="24"/>
          <w:lang w:val="en-US"/>
        </w:rPr>
        <w:t xml:space="preserve"> </w:t>
      </w:r>
      <w:r w:rsidR="0074031E" w:rsidRPr="0074031E">
        <w:rPr>
          <w:rFonts w:ascii="Times New Roman" w:hAnsi="Times New Roman" w:cs="Times New Roman"/>
          <w:sz w:val="24"/>
          <w:szCs w:val="24"/>
          <w:lang w:val="en-US"/>
        </w:rPr>
        <w:t>are</w:t>
      </w:r>
      <w:r w:rsidR="00DF4DDE" w:rsidRPr="0074031E">
        <w:rPr>
          <w:rFonts w:ascii="Times New Roman" w:hAnsi="Times New Roman" w:cs="Times New Roman"/>
          <w:sz w:val="24"/>
          <w:szCs w:val="24"/>
          <w:lang w:val="en-US"/>
        </w:rPr>
        <w:t xml:space="preserve"> balanced and c</w:t>
      </w:r>
      <w:r w:rsidR="00E53C72" w:rsidRPr="0074031E">
        <w:rPr>
          <w:rFonts w:ascii="Times New Roman" w:hAnsi="Times New Roman" w:cs="Times New Roman"/>
          <w:sz w:val="24"/>
          <w:szCs w:val="24"/>
          <w:lang w:val="en-US"/>
        </w:rPr>
        <w:t>om</w:t>
      </w:r>
      <w:r w:rsidR="00DF4DDE" w:rsidRPr="0074031E">
        <w:rPr>
          <w:rFonts w:ascii="Times New Roman" w:hAnsi="Times New Roman" w:cs="Times New Roman"/>
          <w:sz w:val="24"/>
          <w:szCs w:val="24"/>
          <w:lang w:val="en-US"/>
        </w:rPr>
        <w:t>pliant</w:t>
      </w:r>
      <w:r w:rsidR="003451AC">
        <w:rPr>
          <w:rFonts w:ascii="Times New Roman" w:hAnsi="Times New Roman" w:cs="Times New Roman"/>
          <w:sz w:val="24"/>
          <w:szCs w:val="24"/>
          <w:lang w:val="en-US"/>
        </w:rPr>
        <w:t xml:space="preserve"> with international standards</w:t>
      </w:r>
      <w:r w:rsidR="00E53C72" w:rsidRPr="0074031E">
        <w:rPr>
          <w:rFonts w:ascii="Times New Roman" w:hAnsi="Times New Roman" w:cs="Times New Roman"/>
          <w:sz w:val="24"/>
          <w:szCs w:val="24"/>
          <w:lang w:val="en-US"/>
        </w:rPr>
        <w:t>.</w:t>
      </w:r>
    </w:p>
    <w:p w14:paraId="7135746C" w14:textId="77777777" w:rsidR="0074031E" w:rsidRPr="0074031E" w:rsidRDefault="0074031E" w:rsidP="0074031E">
      <w:pPr>
        <w:ind w:firstLine="708"/>
        <w:jc w:val="both"/>
        <w:rPr>
          <w:rFonts w:ascii="Times New Roman" w:hAnsi="Times New Roman" w:cs="Times New Roman"/>
          <w:sz w:val="24"/>
          <w:szCs w:val="24"/>
          <w:lang w:val="en-US"/>
        </w:rPr>
      </w:pPr>
    </w:p>
    <w:p w14:paraId="64D0139E" w14:textId="7D267E71" w:rsidR="00843634" w:rsidRPr="0074031E" w:rsidRDefault="0074031E" w:rsidP="0074031E">
      <w:pPr>
        <w:pStyle w:val="Heading3"/>
        <w:spacing w:line="276" w:lineRule="auto"/>
        <w:jc w:val="center"/>
        <w:rPr>
          <w:b w:val="0"/>
          <w:smallCaps/>
          <w:sz w:val="24"/>
          <w:szCs w:val="24"/>
          <w:lang w:val="en-US"/>
        </w:rPr>
      </w:pPr>
      <w:r w:rsidRPr="0074031E">
        <w:rPr>
          <w:b w:val="0"/>
          <w:smallCaps/>
          <w:sz w:val="24"/>
          <w:szCs w:val="24"/>
          <w:lang w:val="en-US"/>
        </w:rPr>
        <w:t>2</w:t>
      </w:r>
      <w:r w:rsidR="007F0113" w:rsidRPr="0074031E">
        <w:rPr>
          <w:b w:val="0"/>
          <w:smallCaps/>
          <w:sz w:val="24"/>
          <w:szCs w:val="24"/>
          <w:lang w:val="en-US"/>
        </w:rPr>
        <w:t>.-</w:t>
      </w:r>
      <w:r w:rsidRPr="0074031E">
        <w:rPr>
          <w:b w:val="0"/>
          <w:smallCaps/>
          <w:sz w:val="24"/>
          <w:szCs w:val="24"/>
          <w:lang w:val="en-US"/>
        </w:rPr>
        <w:t xml:space="preserve">  Overview</w:t>
      </w:r>
      <w:r w:rsidR="00886F11">
        <w:rPr>
          <w:b w:val="0"/>
          <w:smallCaps/>
          <w:sz w:val="24"/>
          <w:szCs w:val="24"/>
          <w:lang w:val="en-US"/>
        </w:rPr>
        <w:t xml:space="preserve"> of I.Os contracts</w:t>
      </w:r>
      <w:r w:rsidR="002D4A76" w:rsidRPr="0074031E">
        <w:rPr>
          <w:b w:val="0"/>
          <w:smallCaps/>
          <w:sz w:val="24"/>
          <w:szCs w:val="24"/>
          <w:lang w:val="en-US"/>
        </w:rPr>
        <w:t xml:space="preserve"> rules</w:t>
      </w:r>
    </w:p>
    <w:p w14:paraId="7B5452D2" w14:textId="77777777" w:rsidR="0074031E" w:rsidRPr="0074031E" w:rsidRDefault="0074031E" w:rsidP="0074031E">
      <w:pPr>
        <w:jc w:val="both"/>
        <w:rPr>
          <w:rFonts w:ascii="Times New Roman" w:hAnsi="Times New Roman" w:cs="Times New Roman"/>
          <w:sz w:val="24"/>
          <w:szCs w:val="24"/>
          <w:lang w:val="en-US"/>
        </w:rPr>
      </w:pPr>
    </w:p>
    <w:p w14:paraId="6823DC23" w14:textId="77777777" w:rsidR="00886F11" w:rsidRDefault="00DF4DDE" w:rsidP="0074031E">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I</w:t>
      </w:r>
      <w:r w:rsidR="00F86948" w:rsidRPr="0074031E">
        <w:rPr>
          <w:rFonts w:ascii="Times New Roman" w:hAnsi="Times New Roman" w:cs="Times New Roman"/>
          <w:sz w:val="24"/>
          <w:szCs w:val="24"/>
          <w:lang w:val="en-US"/>
        </w:rPr>
        <w:t>t is first necessary to cl</w:t>
      </w:r>
      <w:r w:rsidRPr="0074031E">
        <w:rPr>
          <w:rFonts w:ascii="Times New Roman" w:hAnsi="Times New Roman" w:cs="Times New Roman"/>
          <w:sz w:val="24"/>
          <w:szCs w:val="24"/>
          <w:lang w:val="en-US"/>
        </w:rPr>
        <w:t>arify the law applicable to I.Os corporate contracts</w:t>
      </w:r>
      <w:r w:rsidR="008154F6" w:rsidRPr="0074031E">
        <w:rPr>
          <w:rFonts w:ascii="Times New Roman" w:hAnsi="Times New Roman" w:cs="Times New Roman"/>
          <w:sz w:val="24"/>
          <w:szCs w:val="24"/>
          <w:lang w:val="en-US"/>
        </w:rPr>
        <w:t xml:space="preserve"> and how the immunity status may interfere with the rights of the bidders</w:t>
      </w:r>
      <w:r w:rsidR="00886F11">
        <w:rPr>
          <w:rFonts w:ascii="Times New Roman" w:hAnsi="Times New Roman" w:cs="Times New Roman"/>
          <w:sz w:val="24"/>
          <w:szCs w:val="24"/>
          <w:lang w:val="en-US"/>
        </w:rPr>
        <w:t xml:space="preserve"> for challenge</w:t>
      </w:r>
      <w:r w:rsidR="00A90E4B" w:rsidRPr="0074031E">
        <w:rPr>
          <w:rFonts w:ascii="Times New Roman" w:hAnsi="Times New Roman" w:cs="Times New Roman"/>
          <w:sz w:val="24"/>
          <w:szCs w:val="24"/>
          <w:lang w:val="en-US"/>
        </w:rPr>
        <w:t>.</w:t>
      </w:r>
    </w:p>
    <w:p w14:paraId="193FB51F" w14:textId="42C10A40" w:rsidR="00224221" w:rsidRPr="0074031E" w:rsidRDefault="00A90E4B" w:rsidP="0074031E">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lastRenderedPageBreak/>
        <w:t xml:space="preserve"> </w:t>
      </w:r>
    </w:p>
    <w:p w14:paraId="48CDB002" w14:textId="6FC80990" w:rsidR="00886F11" w:rsidRPr="00886F11" w:rsidRDefault="00886F11" w:rsidP="00886F11">
      <w:pPr>
        <w:ind w:firstLine="708"/>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2.1. </w:t>
      </w:r>
      <w:r w:rsidRPr="00886F11">
        <w:rPr>
          <w:rFonts w:ascii="Times New Roman" w:hAnsi="Times New Roman" w:cs="Times New Roman"/>
          <w:i/>
          <w:sz w:val="24"/>
          <w:szCs w:val="24"/>
          <w:lang w:val="en-US"/>
        </w:rPr>
        <w:t>I.Os corporate procurement rules</w:t>
      </w:r>
    </w:p>
    <w:p w14:paraId="3769C56F" w14:textId="77777777" w:rsidR="00886F11" w:rsidRDefault="00886F11" w:rsidP="00886F11">
      <w:pPr>
        <w:ind w:firstLine="708"/>
        <w:jc w:val="both"/>
        <w:rPr>
          <w:rFonts w:ascii="Times New Roman" w:hAnsi="Times New Roman" w:cs="Times New Roman"/>
          <w:sz w:val="24"/>
          <w:szCs w:val="24"/>
          <w:lang w:val="en-US"/>
        </w:rPr>
      </w:pPr>
    </w:p>
    <w:p w14:paraId="1D8D8910" w14:textId="15E6196A" w:rsidR="008E0FBE" w:rsidRPr="0074031E" w:rsidRDefault="00843634" w:rsidP="00886F11">
      <w:pPr>
        <w:ind w:firstLine="708"/>
        <w:jc w:val="both"/>
        <w:rPr>
          <w:rFonts w:ascii="Times New Roman" w:hAnsi="Times New Roman" w:cs="Times New Roman"/>
          <w:sz w:val="24"/>
          <w:szCs w:val="24"/>
          <w:lang w:val="en"/>
        </w:rPr>
      </w:pPr>
      <w:r w:rsidRPr="0074031E">
        <w:rPr>
          <w:rFonts w:ascii="Times New Roman" w:hAnsi="Times New Roman" w:cs="Times New Roman"/>
          <w:sz w:val="24"/>
          <w:szCs w:val="24"/>
          <w:lang w:val="en-US"/>
        </w:rPr>
        <w:t>Usually referred to as “corporate procurement”, the contracts awarded by I</w:t>
      </w:r>
      <w:r w:rsidR="00886F11">
        <w:rPr>
          <w:rFonts w:ascii="Times New Roman" w:hAnsi="Times New Roman" w:cs="Times New Roman"/>
          <w:sz w:val="24"/>
          <w:szCs w:val="24"/>
          <w:lang w:val="en-US"/>
        </w:rPr>
        <w:t>.</w:t>
      </w:r>
      <w:r w:rsidRPr="0074031E">
        <w:rPr>
          <w:rFonts w:ascii="Times New Roman" w:hAnsi="Times New Roman" w:cs="Times New Roman"/>
          <w:sz w:val="24"/>
          <w:szCs w:val="24"/>
          <w:lang w:val="en-US"/>
        </w:rPr>
        <w:t>Os on their own behalf are different from those which they may finance throu</w:t>
      </w:r>
      <w:r w:rsidR="009B25C4" w:rsidRPr="0074031E">
        <w:rPr>
          <w:rFonts w:ascii="Times New Roman" w:hAnsi="Times New Roman" w:cs="Times New Roman"/>
          <w:sz w:val="24"/>
          <w:szCs w:val="24"/>
          <w:lang w:val="en-US"/>
        </w:rPr>
        <w:t>gh loans or grants</w:t>
      </w:r>
      <w:r w:rsidR="003003B0" w:rsidRPr="0074031E">
        <w:rPr>
          <w:rFonts w:ascii="Times New Roman" w:hAnsi="Times New Roman" w:cs="Times New Roman"/>
          <w:sz w:val="24"/>
          <w:szCs w:val="24"/>
          <w:lang w:val="en-US"/>
        </w:rPr>
        <w:t xml:space="preserve"> for </w:t>
      </w:r>
      <w:r w:rsidRPr="0074031E">
        <w:rPr>
          <w:rFonts w:ascii="Times New Roman" w:hAnsi="Times New Roman" w:cs="Times New Roman"/>
          <w:sz w:val="24"/>
          <w:szCs w:val="24"/>
          <w:lang w:val="en-US"/>
        </w:rPr>
        <w:t>beneficiary State</w:t>
      </w:r>
      <w:r w:rsidR="003003B0" w:rsidRPr="0074031E">
        <w:rPr>
          <w:rFonts w:ascii="Times New Roman" w:hAnsi="Times New Roman" w:cs="Times New Roman"/>
          <w:sz w:val="24"/>
          <w:szCs w:val="24"/>
          <w:lang w:val="en-US"/>
        </w:rPr>
        <w:t>s</w:t>
      </w:r>
      <w:r w:rsidR="002D75B0" w:rsidRPr="0074031E">
        <w:rPr>
          <w:rFonts w:ascii="Times New Roman" w:hAnsi="Times New Roman" w:cs="Times New Roman"/>
          <w:sz w:val="24"/>
          <w:szCs w:val="24"/>
          <w:lang w:val="en-US"/>
        </w:rPr>
        <w:t>. To a certain extent</w:t>
      </w:r>
      <w:r w:rsidRPr="0074031E">
        <w:rPr>
          <w:rFonts w:ascii="Times New Roman" w:hAnsi="Times New Roman" w:cs="Times New Roman"/>
          <w:sz w:val="24"/>
          <w:szCs w:val="24"/>
          <w:lang w:val="en-US"/>
        </w:rPr>
        <w:t>, institutional</w:t>
      </w:r>
      <w:r w:rsidR="002D75B0" w:rsidRPr="0074031E">
        <w:rPr>
          <w:rFonts w:ascii="Times New Roman" w:hAnsi="Times New Roman" w:cs="Times New Roman"/>
          <w:sz w:val="24"/>
          <w:szCs w:val="24"/>
          <w:lang w:val="en-US"/>
        </w:rPr>
        <w:t xml:space="preserve"> or “corporate”</w:t>
      </w:r>
      <w:r w:rsidRPr="0074031E">
        <w:rPr>
          <w:rFonts w:ascii="Times New Roman" w:hAnsi="Times New Roman" w:cs="Times New Roman"/>
          <w:sz w:val="24"/>
          <w:szCs w:val="24"/>
          <w:lang w:val="en-US"/>
        </w:rPr>
        <w:t xml:space="preserve"> contracts are subject to specific written pr</w:t>
      </w:r>
      <w:r w:rsidR="007F1BAC" w:rsidRPr="0074031E">
        <w:rPr>
          <w:rFonts w:ascii="Times New Roman" w:hAnsi="Times New Roman" w:cs="Times New Roman"/>
          <w:sz w:val="24"/>
          <w:szCs w:val="24"/>
          <w:lang w:val="en-US"/>
        </w:rPr>
        <w:t>ocedures which need to comply with</w:t>
      </w:r>
      <w:r w:rsidRPr="0074031E">
        <w:rPr>
          <w:rFonts w:ascii="Times New Roman" w:hAnsi="Times New Roman" w:cs="Times New Roman"/>
          <w:sz w:val="24"/>
          <w:szCs w:val="24"/>
          <w:lang w:val="en-US"/>
        </w:rPr>
        <w:t xml:space="preserve"> the </w:t>
      </w:r>
      <w:r w:rsidR="007F1BAC" w:rsidRPr="0074031E">
        <w:rPr>
          <w:rFonts w:ascii="Times New Roman" w:hAnsi="Times New Roman" w:cs="Times New Roman"/>
          <w:sz w:val="24"/>
          <w:szCs w:val="24"/>
          <w:lang w:val="en-US"/>
        </w:rPr>
        <w:t xml:space="preserve">founding </w:t>
      </w:r>
      <w:r w:rsidRPr="0074031E">
        <w:rPr>
          <w:rFonts w:ascii="Times New Roman" w:hAnsi="Times New Roman" w:cs="Times New Roman"/>
          <w:sz w:val="24"/>
          <w:szCs w:val="24"/>
          <w:lang w:val="en-US"/>
        </w:rPr>
        <w:t>statutes of the intern</w:t>
      </w:r>
      <w:r w:rsidR="002D75B0" w:rsidRPr="0074031E">
        <w:rPr>
          <w:rFonts w:ascii="Times New Roman" w:hAnsi="Times New Roman" w:cs="Times New Roman"/>
          <w:sz w:val="24"/>
          <w:szCs w:val="24"/>
          <w:lang w:val="en-US"/>
        </w:rPr>
        <w:t>ational organization</w:t>
      </w:r>
      <w:r w:rsidR="001327A5" w:rsidRPr="0074031E">
        <w:rPr>
          <w:rFonts w:ascii="Times New Roman" w:hAnsi="Times New Roman" w:cs="Times New Roman"/>
          <w:sz w:val="24"/>
          <w:szCs w:val="24"/>
          <w:lang w:val="en-US"/>
        </w:rPr>
        <w:t>s</w:t>
      </w:r>
      <w:r w:rsidR="002D75B0" w:rsidRPr="0074031E">
        <w:rPr>
          <w:rFonts w:ascii="Times New Roman" w:hAnsi="Times New Roman" w:cs="Times New Roman"/>
          <w:sz w:val="24"/>
          <w:szCs w:val="24"/>
          <w:lang w:val="en-US"/>
        </w:rPr>
        <w:t>.</w:t>
      </w:r>
      <w:r w:rsidR="007B7EE8" w:rsidRPr="0074031E">
        <w:rPr>
          <w:rFonts w:ascii="Times New Roman" w:hAnsi="Times New Roman" w:cs="Times New Roman"/>
          <w:sz w:val="24"/>
          <w:szCs w:val="24"/>
          <w:lang w:val="en-US"/>
        </w:rPr>
        <w:t xml:space="preserve"> </w:t>
      </w:r>
      <w:r w:rsidR="001817C4" w:rsidRPr="0074031E">
        <w:rPr>
          <w:rFonts w:ascii="Times New Roman" w:hAnsi="Times New Roman" w:cs="Times New Roman"/>
          <w:sz w:val="24"/>
          <w:szCs w:val="24"/>
          <w:lang w:val="en"/>
        </w:rPr>
        <w:t>Thus, recognized as autonomous subjects of international law distinct from their member States, I.Os are endowed with an internal organizational power</w:t>
      </w:r>
      <w:r w:rsidR="00381BC9" w:rsidRPr="0074031E">
        <w:rPr>
          <w:rStyle w:val="FootnoteReference"/>
          <w:rFonts w:ascii="Times New Roman" w:hAnsi="Times New Roman" w:cs="Times New Roman"/>
          <w:sz w:val="24"/>
          <w:szCs w:val="24"/>
          <w:lang w:val="en"/>
        </w:rPr>
        <w:footnoteReference w:id="7"/>
      </w:r>
      <w:r w:rsidR="001817C4" w:rsidRPr="0074031E">
        <w:rPr>
          <w:rFonts w:ascii="Times New Roman" w:hAnsi="Times New Roman" w:cs="Times New Roman"/>
          <w:sz w:val="24"/>
          <w:szCs w:val="24"/>
          <w:lang w:val="en"/>
        </w:rPr>
        <w:t xml:space="preserve">. </w:t>
      </w:r>
      <w:r w:rsidR="001817C4" w:rsidRPr="0074031E">
        <w:rPr>
          <w:rFonts w:ascii="Times New Roman" w:hAnsi="Times New Roman" w:cs="Times New Roman"/>
          <w:sz w:val="24"/>
          <w:szCs w:val="24"/>
          <w:lang w:val="en-US"/>
        </w:rPr>
        <w:t xml:space="preserve">Prepared by the IOs themselves and applied to third parties (the bidders), their procurement rules raise competence issues attracting the attention of International Public and Private Law specialists. </w:t>
      </w:r>
      <w:r w:rsidR="008E0FBE" w:rsidRPr="0074031E">
        <w:rPr>
          <w:rFonts w:ascii="Times New Roman" w:eastAsia="Times New Roman" w:hAnsi="Times New Roman" w:cs="Times New Roman"/>
          <w:color w:val="212121"/>
          <w:sz w:val="24"/>
          <w:szCs w:val="24"/>
          <w:lang w:val="en" w:eastAsia="fr-FR"/>
        </w:rPr>
        <w:t>For some au</w:t>
      </w:r>
      <w:r w:rsidR="00886F11">
        <w:rPr>
          <w:rFonts w:ascii="Times New Roman" w:eastAsia="Times New Roman" w:hAnsi="Times New Roman" w:cs="Times New Roman"/>
          <w:color w:val="212121"/>
          <w:sz w:val="24"/>
          <w:szCs w:val="24"/>
          <w:lang w:val="en" w:eastAsia="fr-FR"/>
        </w:rPr>
        <w:t>thors, these procurement rules “</w:t>
      </w:r>
      <w:r w:rsidR="008E0FBE" w:rsidRPr="0074031E">
        <w:rPr>
          <w:rFonts w:ascii="Times New Roman" w:eastAsia="Times New Roman" w:hAnsi="Times New Roman" w:cs="Times New Roman"/>
          <w:color w:val="212121"/>
          <w:sz w:val="24"/>
          <w:szCs w:val="24"/>
          <w:lang w:val="en" w:eastAsia="fr-FR"/>
        </w:rPr>
        <w:t>constitute, in reality, the administrative law</w:t>
      </w:r>
      <w:r w:rsidR="00886F11">
        <w:rPr>
          <w:rFonts w:ascii="Times New Roman" w:eastAsia="Times New Roman" w:hAnsi="Times New Roman" w:cs="Times New Roman"/>
          <w:color w:val="212121"/>
          <w:sz w:val="24"/>
          <w:szCs w:val="24"/>
          <w:lang w:val="en" w:eastAsia="fr-FR"/>
        </w:rPr>
        <w:t xml:space="preserve"> of international organizations”</w:t>
      </w:r>
      <w:r w:rsidR="008E0FBE" w:rsidRPr="0074031E">
        <w:rPr>
          <w:rStyle w:val="FootnoteReference"/>
          <w:rFonts w:ascii="Times New Roman" w:eastAsia="Times New Roman" w:hAnsi="Times New Roman" w:cs="Times New Roman"/>
          <w:color w:val="212121"/>
          <w:sz w:val="24"/>
          <w:szCs w:val="24"/>
          <w:lang w:val="en" w:eastAsia="fr-FR"/>
        </w:rPr>
        <w:footnoteReference w:id="8"/>
      </w:r>
      <w:r w:rsidR="008E0FBE" w:rsidRPr="0074031E">
        <w:rPr>
          <w:rFonts w:ascii="Times New Roman" w:eastAsia="Times New Roman" w:hAnsi="Times New Roman" w:cs="Times New Roman"/>
          <w:color w:val="212121"/>
          <w:sz w:val="24"/>
          <w:szCs w:val="24"/>
          <w:lang w:val="en" w:eastAsia="fr-FR"/>
        </w:rPr>
        <w:t>.</w:t>
      </w:r>
      <w:r w:rsidR="00CC5358" w:rsidRPr="0074031E">
        <w:rPr>
          <w:rFonts w:ascii="Times New Roman" w:eastAsia="Times New Roman" w:hAnsi="Times New Roman" w:cs="Times New Roman"/>
          <w:color w:val="212121"/>
          <w:sz w:val="24"/>
          <w:szCs w:val="24"/>
          <w:lang w:val="en" w:eastAsia="fr-FR"/>
        </w:rPr>
        <w:t xml:space="preserve"> As written by Mathias A</w:t>
      </w:r>
      <w:r w:rsidR="00886F11" w:rsidRPr="00886F11">
        <w:rPr>
          <w:rFonts w:ascii="Times New Roman" w:eastAsia="Times New Roman" w:hAnsi="Times New Roman" w:cs="Times New Roman"/>
          <w:color w:val="212121"/>
          <w:sz w:val="20"/>
          <w:szCs w:val="24"/>
          <w:lang w:val="en" w:eastAsia="fr-FR"/>
        </w:rPr>
        <w:t>UDIT</w:t>
      </w:r>
      <w:r w:rsidR="00CC5358" w:rsidRPr="0074031E">
        <w:rPr>
          <w:rFonts w:ascii="Times New Roman" w:eastAsia="Times New Roman" w:hAnsi="Times New Roman" w:cs="Times New Roman"/>
          <w:color w:val="212121"/>
          <w:sz w:val="24"/>
          <w:szCs w:val="24"/>
          <w:lang w:val="en" w:eastAsia="fr-FR"/>
        </w:rPr>
        <w:t>: “Where international organizations are constrained to carry out their internal functioning or their tasks of concluding contracts, it is conceivable to admit that the issuing of procurement regulations is based on a power implicitly conferred by the Member States”</w:t>
      </w:r>
      <w:r w:rsidR="00CC5358" w:rsidRPr="0074031E">
        <w:rPr>
          <w:rStyle w:val="FootnoteReference"/>
          <w:rFonts w:ascii="Times New Roman" w:eastAsia="Times New Roman" w:hAnsi="Times New Roman" w:cs="Times New Roman"/>
          <w:color w:val="212121"/>
          <w:sz w:val="24"/>
          <w:szCs w:val="24"/>
          <w:lang w:val="en" w:eastAsia="fr-FR"/>
        </w:rPr>
        <w:footnoteReference w:id="9"/>
      </w:r>
      <w:r w:rsidR="00CC5358" w:rsidRPr="0074031E">
        <w:rPr>
          <w:rFonts w:ascii="Times New Roman" w:eastAsia="Times New Roman" w:hAnsi="Times New Roman" w:cs="Times New Roman"/>
          <w:color w:val="212121"/>
          <w:sz w:val="24"/>
          <w:szCs w:val="24"/>
          <w:lang w:val="en" w:eastAsia="fr-FR"/>
        </w:rPr>
        <w:t>.</w:t>
      </w:r>
      <w:r w:rsidR="00224221" w:rsidRPr="0074031E">
        <w:rPr>
          <w:rFonts w:ascii="Times New Roman" w:eastAsia="Times New Roman" w:hAnsi="Times New Roman" w:cs="Times New Roman"/>
          <w:color w:val="212121"/>
          <w:sz w:val="24"/>
          <w:szCs w:val="24"/>
          <w:lang w:val="en" w:eastAsia="fr-FR"/>
        </w:rPr>
        <w:t xml:space="preserve"> F</w:t>
      </w:r>
      <w:r w:rsidR="00E7268B" w:rsidRPr="0074031E">
        <w:rPr>
          <w:rFonts w:ascii="Times New Roman" w:eastAsia="Times New Roman" w:hAnsi="Times New Roman" w:cs="Times New Roman"/>
          <w:color w:val="212121"/>
          <w:sz w:val="24"/>
          <w:szCs w:val="24"/>
          <w:lang w:val="en" w:eastAsia="fr-FR"/>
        </w:rPr>
        <w:t>or some authors, mainly with an International Private Law background, these contracts may qualify, at least during their performance phase, as being private or commercial contracts</w:t>
      </w:r>
      <w:r w:rsidR="00E7268B" w:rsidRPr="0074031E">
        <w:rPr>
          <w:rStyle w:val="FootnoteReference"/>
          <w:rFonts w:ascii="Times New Roman" w:eastAsia="Times New Roman" w:hAnsi="Times New Roman" w:cs="Times New Roman"/>
          <w:color w:val="212121"/>
          <w:sz w:val="24"/>
          <w:szCs w:val="24"/>
          <w:lang w:val="en" w:eastAsia="fr-FR"/>
        </w:rPr>
        <w:footnoteReference w:id="10"/>
      </w:r>
      <w:r w:rsidR="00E7268B" w:rsidRPr="0074031E">
        <w:rPr>
          <w:rFonts w:ascii="Times New Roman" w:eastAsia="Times New Roman" w:hAnsi="Times New Roman" w:cs="Times New Roman"/>
          <w:color w:val="212121"/>
          <w:sz w:val="24"/>
          <w:szCs w:val="24"/>
          <w:lang w:val="en" w:eastAsia="fr-FR"/>
        </w:rPr>
        <w:t xml:space="preserve">. </w:t>
      </w:r>
    </w:p>
    <w:p w14:paraId="33C607BD" w14:textId="138ECE6C" w:rsidR="002D4A76"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Apart from taking stock of some provisions characteristic of specific international financing organizations</w:t>
      </w:r>
      <w:r w:rsidR="00886F11">
        <w:rPr>
          <w:rFonts w:ascii="Times New Roman" w:hAnsi="Times New Roman" w:cs="Times New Roman"/>
          <w:sz w:val="24"/>
          <w:szCs w:val="24"/>
          <w:lang w:val="en-US"/>
        </w:rPr>
        <w:t xml:space="preserve"> (2</w:t>
      </w:r>
      <w:r w:rsidRPr="0074031E">
        <w:rPr>
          <w:rFonts w:ascii="Times New Roman" w:hAnsi="Times New Roman" w:cs="Times New Roman"/>
          <w:sz w:val="24"/>
          <w:szCs w:val="24"/>
          <w:lang w:val="en-US"/>
        </w:rPr>
        <w:t>.1</w:t>
      </w:r>
      <w:r w:rsidR="00886F11">
        <w:rPr>
          <w:rFonts w:ascii="Times New Roman" w:hAnsi="Times New Roman" w:cs="Times New Roman"/>
          <w:sz w:val="24"/>
          <w:szCs w:val="24"/>
          <w:lang w:val="en-US"/>
        </w:rPr>
        <w:t>.1.</w:t>
      </w:r>
      <w:r w:rsidRPr="0074031E">
        <w:rPr>
          <w:rFonts w:ascii="Times New Roman" w:hAnsi="Times New Roman" w:cs="Times New Roman"/>
          <w:sz w:val="24"/>
          <w:szCs w:val="24"/>
          <w:lang w:val="en-US"/>
        </w:rPr>
        <w:t xml:space="preserve">), we shall concern ourselves more with the system pertaining to the </w:t>
      </w:r>
      <w:r w:rsidR="00886F11">
        <w:rPr>
          <w:rFonts w:ascii="Times New Roman" w:hAnsi="Times New Roman" w:cs="Times New Roman"/>
          <w:sz w:val="24"/>
          <w:szCs w:val="24"/>
          <w:lang w:val="en-US"/>
        </w:rPr>
        <w:t>UN organizations (2.1.2.</w:t>
      </w:r>
      <w:r w:rsidRPr="0074031E">
        <w:rPr>
          <w:rFonts w:ascii="Times New Roman" w:hAnsi="Times New Roman" w:cs="Times New Roman"/>
          <w:sz w:val="24"/>
          <w:szCs w:val="24"/>
          <w:lang w:val="en-US"/>
        </w:rPr>
        <w:t>), and the European institutions’ contracts</w:t>
      </w:r>
      <w:r w:rsidR="00886F11">
        <w:rPr>
          <w:rFonts w:ascii="Times New Roman" w:hAnsi="Times New Roman" w:cs="Times New Roman"/>
          <w:sz w:val="24"/>
          <w:szCs w:val="24"/>
          <w:lang w:val="en-US"/>
        </w:rPr>
        <w:t xml:space="preserve"> (2</w:t>
      </w:r>
      <w:r w:rsidRPr="0074031E">
        <w:rPr>
          <w:rFonts w:ascii="Times New Roman" w:hAnsi="Times New Roman" w:cs="Times New Roman"/>
          <w:sz w:val="24"/>
          <w:szCs w:val="24"/>
          <w:lang w:val="en-US"/>
        </w:rPr>
        <w:t>.</w:t>
      </w:r>
      <w:r w:rsidR="00886F11">
        <w:rPr>
          <w:rFonts w:ascii="Times New Roman" w:hAnsi="Times New Roman" w:cs="Times New Roman"/>
          <w:sz w:val="24"/>
          <w:szCs w:val="24"/>
          <w:lang w:val="en-US"/>
        </w:rPr>
        <w:t>1.</w:t>
      </w:r>
      <w:r w:rsidRPr="0074031E">
        <w:rPr>
          <w:rFonts w:ascii="Times New Roman" w:hAnsi="Times New Roman" w:cs="Times New Roman"/>
          <w:sz w:val="24"/>
          <w:szCs w:val="24"/>
          <w:lang w:val="en-US"/>
        </w:rPr>
        <w:t>3</w:t>
      </w:r>
      <w:r w:rsidR="00886F11">
        <w:rPr>
          <w:rFonts w:ascii="Times New Roman" w:hAnsi="Times New Roman" w:cs="Times New Roman"/>
          <w:sz w:val="24"/>
          <w:szCs w:val="24"/>
          <w:lang w:val="en-US"/>
        </w:rPr>
        <w:t>.</w:t>
      </w:r>
      <w:r w:rsidRPr="0074031E">
        <w:rPr>
          <w:rFonts w:ascii="Times New Roman" w:hAnsi="Times New Roman" w:cs="Times New Roman"/>
          <w:sz w:val="24"/>
          <w:szCs w:val="24"/>
          <w:lang w:val="en-US"/>
        </w:rPr>
        <w:t xml:space="preserve">), for they are good examples of the variety of solutions that may be displayed by I.Os. </w:t>
      </w:r>
    </w:p>
    <w:p w14:paraId="5B80CEF6" w14:textId="77777777" w:rsidR="00886F11" w:rsidRPr="0074031E" w:rsidRDefault="00886F11" w:rsidP="00886F11">
      <w:pPr>
        <w:ind w:firstLine="708"/>
        <w:jc w:val="both"/>
        <w:rPr>
          <w:rFonts w:ascii="Times New Roman" w:hAnsi="Times New Roman" w:cs="Times New Roman"/>
          <w:sz w:val="24"/>
          <w:szCs w:val="24"/>
          <w:lang w:val="en-US"/>
        </w:rPr>
      </w:pPr>
    </w:p>
    <w:p w14:paraId="5A5B687F" w14:textId="2736BF44" w:rsidR="00886F11" w:rsidRPr="00886F11" w:rsidRDefault="00886F11" w:rsidP="00886F11">
      <w:pPr>
        <w:jc w:val="center"/>
        <w:rPr>
          <w:rFonts w:ascii="Times New Roman" w:hAnsi="Times New Roman" w:cs="Times New Roman"/>
          <w:i/>
          <w:sz w:val="24"/>
          <w:szCs w:val="24"/>
          <w:lang w:val="en-US"/>
        </w:rPr>
      </w:pPr>
      <w:r w:rsidRPr="00886F11">
        <w:rPr>
          <w:rFonts w:ascii="Times New Roman" w:hAnsi="Times New Roman" w:cs="Times New Roman"/>
          <w:sz w:val="24"/>
          <w:szCs w:val="24"/>
          <w:lang w:val="en-US"/>
        </w:rPr>
        <w:t>2.1.</w:t>
      </w:r>
      <w:r>
        <w:rPr>
          <w:rFonts w:ascii="Times New Roman" w:hAnsi="Times New Roman" w:cs="Times New Roman"/>
          <w:sz w:val="24"/>
          <w:szCs w:val="24"/>
          <w:lang w:val="en-US"/>
        </w:rPr>
        <w:t>1.</w:t>
      </w:r>
      <w:r w:rsidRPr="00886F11">
        <w:rPr>
          <w:rFonts w:ascii="Times New Roman" w:hAnsi="Times New Roman" w:cs="Times New Roman"/>
          <w:sz w:val="24"/>
          <w:szCs w:val="24"/>
          <w:lang w:val="en-US"/>
        </w:rPr>
        <w:t xml:space="preserve"> – </w:t>
      </w:r>
      <w:r w:rsidR="00555A61">
        <w:rPr>
          <w:rFonts w:ascii="Times New Roman" w:hAnsi="Times New Roman" w:cs="Times New Roman"/>
          <w:i/>
          <w:sz w:val="24"/>
          <w:szCs w:val="24"/>
          <w:lang w:val="en-US"/>
        </w:rPr>
        <w:t>Rules governing IFIs</w:t>
      </w:r>
      <w:r w:rsidRPr="00886F11">
        <w:rPr>
          <w:rFonts w:ascii="Times New Roman" w:hAnsi="Times New Roman" w:cs="Times New Roman"/>
          <w:i/>
          <w:sz w:val="24"/>
          <w:szCs w:val="24"/>
          <w:lang w:val="en-US"/>
        </w:rPr>
        <w:t xml:space="preserve"> corporate contracts</w:t>
      </w:r>
    </w:p>
    <w:p w14:paraId="7790A6D4" w14:textId="77777777" w:rsidR="00886F11" w:rsidRDefault="00886F11" w:rsidP="0074031E">
      <w:pPr>
        <w:jc w:val="both"/>
        <w:rPr>
          <w:rFonts w:ascii="Times New Roman" w:hAnsi="Times New Roman" w:cs="Times New Roman"/>
          <w:sz w:val="24"/>
          <w:szCs w:val="24"/>
          <w:lang w:val="en-US"/>
        </w:rPr>
      </w:pPr>
    </w:p>
    <w:p w14:paraId="252A1EDE" w14:textId="789A4FD4" w:rsidR="002D4A76" w:rsidRPr="0074031E" w:rsidRDefault="00555A61" w:rsidP="00886F1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From the outset, multilateral b</w:t>
      </w:r>
      <w:r w:rsidR="002D4A76" w:rsidRPr="0074031E">
        <w:rPr>
          <w:rFonts w:ascii="Times New Roman" w:hAnsi="Times New Roman" w:cs="Times New Roman"/>
          <w:sz w:val="24"/>
          <w:szCs w:val="24"/>
          <w:lang w:val="en-US"/>
        </w:rPr>
        <w:t>anks such as the World Bank, the African Development Bank, or the European Bank for Reconstruction and Development (EBRD), m</w:t>
      </w:r>
      <w:r w:rsidR="00886F11">
        <w:rPr>
          <w:rFonts w:ascii="Times New Roman" w:hAnsi="Times New Roman" w:cs="Times New Roman"/>
          <w:sz w:val="24"/>
          <w:szCs w:val="24"/>
          <w:lang w:val="en-US"/>
        </w:rPr>
        <w:t>ay now have the most comprehensive</w:t>
      </w:r>
      <w:r w:rsidR="002D4A76" w:rsidRPr="0074031E">
        <w:rPr>
          <w:rFonts w:ascii="Times New Roman" w:hAnsi="Times New Roman" w:cs="Times New Roman"/>
          <w:sz w:val="24"/>
          <w:szCs w:val="24"/>
          <w:lang w:val="en-US"/>
        </w:rPr>
        <w:t xml:space="preserve"> legal framework for their corporate contracts. Indeed, to cope with international standards governing public procurement, to the def</w:t>
      </w:r>
      <w:r w:rsidR="00886F11">
        <w:rPr>
          <w:rFonts w:ascii="Times New Roman" w:hAnsi="Times New Roman" w:cs="Times New Roman"/>
          <w:sz w:val="24"/>
          <w:szCs w:val="24"/>
          <w:lang w:val="en-US"/>
        </w:rPr>
        <w:t>inition of which these IFIs are greatly contributing</w:t>
      </w:r>
      <w:r w:rsidR="002D4A76" w:rsidRPr="0074031E">
        <w:rPr>
          <w:rFonts w:ascii="Times New Roman" w:hAnsi="Times New Roman" w:cs="Times New Roman"/>
          <w:sz w:val="24"/>
          <w:szCs w:val="24"/>
          <w:lang w:val="en-US"/>
        </w:rPr>
        <w:t>, their corporate procurement frameworks have been recently updated.</w:t>
      </w:r>
    </w:p>
    <w:p w14:paraId="5BEEF68D" w14:textId="7EB25C85" w:rsidR="002D4A76"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lastRenderedPageBreak/>
        <w:t>At the World Bank, corporate procurement represents 1 billion dollars annually (2013). To regulate such contracts, the World Bank Group Vendor Guide</w:t>
      </w:r>
      <w:r w:rsidRPr="0074031E">
        <w:rPr>
          <w:rStyle w:val="FootnoteReference"/>
          <w:rFonts w:ascii="Times New Roman" w:hAnsi="Times New Roman" w:cs="Times New Roman"/>
          <w:sz w:val="24"/>
          <w:szCs w:val="24"/>
          <w:lang w:val="en-US"/>
        </w:rPr>
        <w:footnoteReference w:id="11"/>
      </w:r>
      <w:r w:rsidRPr="0074031E">
        <w:rPr>
          <w:rFonts w:ascii="Times New Roman" w:hAnsi="Times New Roman" w:cs="Times New Roman"/>
          <w:sz w:val="24"/>
          <w:szCs w:val="24"/>
          <w:lang w:val="en-US"/>
        </w:rPr>
        <w:t>, updated and published in 2013, enounces the procedures to be implemented</w:t>
      </w:r>
      <w:r w:rsidRPr="0074031E">
        <w:rPr>
          <w:rStyle w:val="FootnoteReference"/>
          <w:rFonts w:ascii="Times New Roman" w:hAnsi="Times New Roman" w:cs="Times New Roman"/>
          <w:sz w:val="24"/>
          <w:szCs w:val="24"/>
          <w:lang w:val="en-US"/>
        </w:rPr>
        <w:footnoteReference w:id="12"/>
      </w:r>
      <w:r w:rsidRPr="0074031E">
        <w:rPr>
          <w:rFonts w:ascii="Times New Roman" w:hAnsi="Times New Roman" w:cs="Times New Roman"/>
          <w:sz w:val="24"/>
          <w:szCs w:val="24"/>
          <w:lang w:val="en-US"/>
        </w:rPr>
        <w:t>, above a minimal threshold for competitive procedures set at $ 10,000. Even though more detailed than they used to be, these rules remain terse provisions displayed over 9 pages, in contrast with the extremely detailed Procurement Policies and rules</w:t>
      </w:r>
      <w:r w:rsidRPr="0074031E">
        <w:rPr>
          <w:rStyle w:val="FootnoteReference"/>
          <w:rFonts w:ascii="Times New Roman" w:hAnsi="Times New Roman" w:cs="Times New Roman"/>
          <w:sz w:val="24"/>
          <w:szCs w:val="24"/>
          <w:lang w:val="en-US"/>
        </w:rPr>
        <w:footnoteReference w:id="13"/>
      </w:r>
      <w:r w:rsidRPr="0074031E">
        <w:rPr>
          <w:rFonts w:ascii="Times New Roman" w:hAnsi="Times New Roman" w:cs="Times New Roman"/>
          <w:sz w:val="24"/>
          <w:szCs w:val="24"/>
          <w:lang w:val="en-US"/>
        </w:rPr>
        <w:t xml:space="preserve"> prepared by the Bank to regulate the contracts concluded by its borrowing countries. As another MDB, the EBRD corporate procurement is governed by the Corporate Procurement Policy approved by its board of Directors in May 2009 and updated in January 2014. In 2015</w:t>
      </w:r>
      <w:r w:rsidR="00555A61">
        <w:rPr>
          <w:rFonts w:ascii="Times New Roman" w:hAnsi="Times New Roman" w:cs="Times New Roman"/>
          <w:sz w:val="24"/>
          <w:szCs w:val="24"/>
          <w:lang w:val="en-US"/>
        </w:rPr>
        <w:t>, corporate p</w:t>
      </w:r>
      <w:r w:rsidRPr="0074031E">
        <w:rPr>
          <w:rFonts w:ascii="Times New Roman" w:hAnsi="Times New Roman" w:cs="Times New Roman"/>
          <w:sz w:val="24"/>
          <w:szCs w:val="24"/>
          <w:lang w:val="en-US"/>
        </w:rPr>
        <w:t>rocurement expenditure was GBP 85,203,365, representing an increase of 57% when compared to the 2014 total</w:t>
      </w:r>
      <w:r w:rsidRPr="0074031E">
        <w:rPr>
          <w:rStyle w:val="FootnoteReference"/>
          <w:rFonts w:ascii="Times New Roman" w:hAnsi="Times New Roman" w:cs="Times New Roman"/>
          <w:sz w:val="24"/>
          <w:szCs w:val="24"/>
          <w:lang w:val="en-US"/>
        </w:rPr>
        <w:footnoteReference w:id="14"/>
      </w:r>
      <w:r w:rsidRPr="0074031E">
        <w:rPr>
          <w:rFonts w:ascii="Times New Roman" w:hAnsi="Times New Roman" w:cs="Times New Roman"/>
          <w:sz w:val="24"/>
          <w:szCs w:val="24"/>
          <w:lang w:val="en-US"/>
        </w:rPr>
        <w:t>. On its side, the African Development Bank (AfDB) spends approximately 40 million Euros a year on goods, works and services for its internal n</w:t>
      </w:r>
      <w:r w:rsidR="00886F11">
        <w:rPr>
          <w:rFonts w:ascii="Times New Roman" w:hAnsi="Times New Roman" w:cs="Times New Roman"/>
          <w:sz w:val="24"/>
          <w:szCs w:val="24"/>
          <w:lang w:val="en-US"/>
        </w:rPr>
        <w:t>eeds. Its corporate procurement</w:t>
      </w:r>
      <w:r w:rsidRPr="0074031E">
        <w:rPr>
          <w:rStyle w:val="FootnoteReference"/>
          <w:rFonts w:ascii="Times New Roman" w:hAnsi="Times New Roman" w:cs="Times New Roman"/>
          <w:sz w:val="24"/>
          <w:szCs w:val="24"/>
          <w:lang w:val="en-US"/>
        </w:rPr>
        <w:footnoteReference w:id="15"/>
      </w:r>
      <w:r w:rsidR="00886F11">
        <w:rPr>
          <w:rFonts w:ascii="Times New Roman" w:hAnsi="Times New Roman" w:cs="Times New Roman"/>
          <w:sz w:val="24"/>
          <w:szCs w:val="24"/>
          <w:lang w:val="en-US"/>
        </w:rPr>
        <w:t xml:space="preserve"> is ruled</w:t>
      </w:r>
      <w:r w:rsidRPr="0074031E">
        <w:rPr>
          <w:rFonts w:ascii="Times New Roman" w:hAnsi="Times New Roman" w:cs="Times New Roman"/>
          <w:sz w:val="24"/>
          <w:szCs w:val="24"/>
          <w:lang w:val="en-US"/>
        </w:rPr>
        <w:t xml:space="preserve"> by a detailed Presidential Directive of 2013</w:t>
      </w:r>
      <w:r w:rsidRPr="0074031E">
        <w:rPr>
          <w:rStyle w:val="FootnoteReference"/>
          <w:rFonts w:ascii="Times New Roman" w:hAnsi="Times New Roman" w:cs="Times New Roman"/>
          <w:sz w:val="24"/>
          <w:szCs w:val="24"/>
          <w:lang w:val="en-US"/>
        </w:rPr>
        <w:footnoteReference w:id="16"/>
      </w:r>
      <w:r w:rsidRPr="0074031E">
        <w:rPr>
          <w:rFonts w:ascii="Times New Roman" w:hAnsi="Times New Roman" w:cs="Times New Roman"/>
          <w:sz w:val="24"/>
          <w:szCs w:val="24"/>
          <w:lang w:val="en-US"/>
        </w:rPr>
        <w:t xml:space="preserve">. Most of the AfDB’s procurement is conducted by its Corporate </w:t>
      </w:r>
      <w:r w:rsidR="00555A61">
        <w:rPr>
          <w:rFonts w:ascii="Times New Roman" w:hAnsi="Times New Roman" w:cs="Times New Roman"/>
          <w:sz w:val="24"/>
          <w:szCs w:val="24"/>
          <w:lang w:val="en-US"/>
        </w:rPr>
        <w:t>procurement division. In addition, these b</w:t>
      </w:r>
      <w:r w:rsidRPr="0074031E">
        <w:rPr>
          <w:rFonts w:ascii="Times New Roman" w:hAnsi="Times New Roman" w:cs="Times New Roman"/>
          <w:sz w:val="24"/>
          <w:szCs w:val="24"/>
          <w:lang w:val="en-US"/>
        </w:rPr>
        <w:t xml:space="preserve">anks </w:t>
      </w:r>
      <w:r w:rsidR="00555A61">
        <w:rPr>
          <w:rFonts w:ascii="Times New Roman" w:hAnsi="Times New Roman" w:cs="Times New Roman"/>
          <w:sz w:val="24"/>
          <w:szCs w:val="24"/>
          <w:lang w:val="en-US"/>
        </w:rPr>
        <w:t xml:space="preserve">usually </w:t>
      </w:r>
      <w:r w:rsidRPr="0074031E">
        <w:rPr>
          <w:rFonts w:ascii="Times New Roman" w:hAnsi="Times New Roman" w:cs="Times New Roman"/>
          <w:sz w:val="24"/>
          <w:szCs w:val="24"/>
          <w:lang w:val="en-US"/>
        </w:rPr>
        <w:t>allow devolution of procurement roles to the</w:t>
      </w:r>
      <w:r w:rsidR="00555A61">
        <w:rPr>
          <w:rFonts w:ascii="Times New Roman" w:hAnsi="Times New Roman" w:cs="Times New Roman"/>
          <w:sz w:val="24"/>
          <w:szCs w:val="24"/>
          <w:lang w:val="en-US"/>
        </w:rPr>
        <w:t>ir field o</w:t>
      </w:r>
      <w:r w:rsidRPr="0074031E">
        <w:rPr>
          <w:rFonts w:ascii="Times New Roman" w:hAnsi="Times New Roman" w:cs="Times New Roman"/>
          <w:sz w:val="24"/>
          <w:szCs w:val="24"/>
          <w:lang w:val="en-US"/>
        </w:rPr>
        <w:t>ffices.</w:t>
      </w:r>
    </w:p>
    <w:p w14:paraId="0C8FE007" w14:textId="77777777" w:rsidR="00886F11" w:rsidRPr="0074031E" w:rsidRDefault="00886F11" w:rsidP="00886F11">
      <w:pPr>
        <w:ind w:firstLine="708"/>
        <w:jc w:val="both"/>
        <w:rPr>
          <w:rFonts w:ascii="Times New Roman" w:hAnsi="Times New Roman" w:cs="Times New Roman"/>
          <w:sz w:val="24"/>
          <w:szCs w:val="24"/>
          <w:lang w:val="en-US"/>
        </w:rPr>
      </w:pPr>
    </w:p>
    <w:p w14:paraId="79755922" w14:textId="6891CEF6" w:rsidR="002D4A76" w:rsidRPr="00886F11" w:rsidRDefault="00886F11" w:rsidP="00886F11">
      <w:pPr>
        <w:jc w:val="center"/>
        <w:rPr>
          <w:rFonts w:ascii="Times New Roman" w:hAnsi="Times New Roman" w:cs="Times New Roman"/>
          <w:i/>
          <w:sz w:val="24"/>
          <w:szCs w:val="24"/>
          <w:lang w:val="en-US"/>
        </w:rPr>
      </w:pPr>
      <w:r w:rsidRPr="00886F11">
        <w:rPr>
          <w:rFonts w:ascii="Times New Roman" w:hAnsi="Times New Roman" w:cs="Times New Roman"/>
          <w:sz w:val="24"/>
          <w:szCs w:val="24"/>
          <w:lang w:val="en-US"/>
        </w:rPr>
        <w:t>2.</w:t>
      </w:r>
      <w:r>
        <w:rPr>
          <w:rFonts w:ascii="Times New Roman" w:hAnsi="Times New Roman" w:cs="Times New Roman"/>
          <w:sz w:val="24"/>
          <w:szCs w:val="24"/>
          <w:lang w:val="en-US"/>
        </w:rPr>
        <w:t>1.</w:t>
      </w:r>
      <w:r w:rsidRPr="00886F11">
        <w:rPr>
          <w:rFonts w:ascii="Times New Roman" w:hAnsi="Times New Roman" w:cs="Times New Roman"/>
          <w:sz w:val="24"/>
          <w:szCs w:val="24"/>
          <w:lang w:val="en-US"/>
        </w:rPr>
        <w:t xml:space="preserve">2. - </w:t>
      </w:r>
      <w:r w:rsidR="002D4A76" w:rsidRPr="00886F11">
        <w:rPr>
          <w:rFonts w:ascii="Times New Roman" w:hAnsi="Times New Roman" w:cs="Times New Roman"/>
          <w:i/>
          <w:sz w:val="24"/>
          <w:szCs w:val="24"/>
          <w:lang w:val="en-US"/>
        </w:rPr>
        <w:t>Rules governing UN agencies’ corporate contracts</w:t>
      </w:r>
    </w:p>
    <w:p w14:paraId="069226D7" w14:textId="77777777" w:rsidR="00886F11" w:rsidRPr="00886F11" w:rsidRDefault="00886F11" w:rsidP="00886F11">
      <w:pPr>
        <w:rPr>
          <w:lang w:val="en-US"/>
        </w:rPr>
      </w:pPr>
    </w:p>
    <w:p w14:paraId="25E96C5B" w14:textId="7A5A9FAE" w:rsidR="002D4A76" w:rsidRPr="0074031E"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As a recent improvement, all UN Agencies are now bound by </w:t>
      </w:r>
      <w:r w:rsidR="008E1971" w:rsidRPr="0074031E">
        <w:rPr>
          <w:rFonts w:ascii="Times New Roman" w:hAnsi="Times New Roman" w:cs="Times New Roman"/>
          <w:sz w:val="24"/>
          <w:szCs w:val="24"/>
          <w:lang w:val="en-US"/>
        </w:rPr>
        <w:t>the United Nations Financial Regulations and Rules</w:t>
      </w:r>
      <w:r w:rsidR="008E1971" w:rsidRPr="0074031E">
        <w:rPr>
          <w:rStyle w:val="FootnoteReference"/>
          <w:rFonts w:ascii="Times New Roman" w:hAnsi="Times New Roman" w:cs="Times New Roman"/>
          <w:sz w:val="24"/>
          <w:szCs w:val="24"/>
          <w:lang w:val="en-US"/>
        </w:rPr>
        <w:footnoteReference w:id="17"/>
      </w:r>
      <w:r w:rsidR="008E1971" w:rsidRPr="0074031E">
        <w:rPr>
          <w:rFonts w:ascii="Times New Roman" w:hAnsi="Times New Roman" w:cs="Times New Roman"/>
          <w:sz w:val="24"/>
          <w:szCs w:val="24"/>
          <w:lang w:val="en-US"/>
        </w:rPr>
        <w:t>, complemented by the 287 pages of the Procurement Manual</w:t>
      </w:r>
      <w:r w:rsidR="008E1971" w:rsidRPr="0074031E">
        <w:rPr>
          <w:rStyle w:val="FootnoteReference"/>
          <w:rFonts w:ascii="Times New Roman" w:hAnsi="Times New Roman" w:cs="Times New Roman"/>
          <w:sz w:val="24"/>
          <w:szCs w:val="24"/>
          <w:lang w:val="en-US"/>
        </w:rPr>
        <w:footnoteReference w:id="18"/>
      </w:r>
      <w:r w:rsidRPr="0074031E">
        <w:rPr>
          <w:rFonts w:ascii="Times New Roman" w:hAnsi="Times New Roman" w:cs="Times New Roman"/>
          <w:sz w:val="24"/>
          <w:szCs w:val="24"/>
          <w:lang w:val="en-US"/>
        </w:rPr>
        <w:t>, with their bidding opportunities centralized on a common platform: UN Global Market Place</w:t>
      </w:r>
      <w:r w:rsidRPr="0074031E">
        <w:rPr>
          <w:rStyle w:val="FootnoteReference"/>
          <w:rFonts w:ascii="Times New Roman" w:hAnsi="Times New Roman" w:cs="Times New Roman"/>
          <w:sz w:val="24"/>
          <w:szCs w:val="24"/>
          <w:lang w:val="en-US"/>
        </w:rPr>
        <w:footnoteReference w:id="19"/>
      </w:r>
      <w:r w:rsidRPr="0074031E">
        <w:rPr>
          <w:rFonts w:ascii="Times New Roman" w:hAnsi="Times New Roman" w:cs="Times New Roman"/>
          <w:sz w:val="24"/>
          <w:szCs w:val="24"/>
          <w:lang w:val="en-US"/>
        </w:rPr>
        <w:t>. In view of constant changing procurement practices and technology, the Procurement Manual is subject to periodic updating, and the UN reserves the right to make exceptions to its provisions, if and when necessary, and in the best interests of the Organization.</w:t>
      </w:r>
    </w:p>
    <w:p w14:paraId="06EEB468" w14:textId="77777777" w:rsidR="002D4A76" w:rsidRPr="0074031E" w:rsidRDefault="002D4A76" w:rsidP="00886F11">
      <w:pPr>
        <w:pStyle w:val="NormalWeb"/>
        <w:spacing w:after="450" w:line="276" w:lineRule="auto"/>
        <w:ind w:firstLine="708"/>
        <w:jc w:val="both"/>
        <w:textAlignment w:val="baseline"/>
        <w:rPr>
          <w:lang w:val="en-US"/>
        </w:rPr>
      </w:pPr>
      <w:r w:rsidRPr="0074031E">
        <w:rPr>
          <w:lang w:val="en-US"/>
        </w:rPr>
        <w:t xml:space="preserve">As a UN agency, the UNESCO provides for “Suppliers protest” when perceiving that they have been unjustly or unfairly treated in connection with a solicitation, evaluations, or award of a contract. It that case, they may complain to the relevant UNESCO Contracting Unit (i.e. Sector/ Bureau/Institute/Field Office) indicated in the solicitation documents. Should the protestor be unsatisfied with the reply provided by the UNESCO Contracting Unit, the protestor </w:t>
      </w:r>
      <w:r w:rsidRPr="0074031E">
        <w:rPr>
          <w:lang w:val="en-US"/>
        </w:rPr>
        <w:lastRenderedPageBreak/>
        <w:t>may contact the Chief Financial Officer (CFO) in the</w:t>
      </w:r>
      <w:r w:rsidRPr="0074031E">
        <w:rPr>
          <w:bCs/>
          <w:lang w:val="en-US"/>
        </w:rPr>
        <w:t> Bureau of Financial Management</w:t>
      </w:r>
      <w:r w:rsidRPr="0074031E">
        <w:rPr>
          <w:lang w:val="en-US"/>
        </w:rPr>
        <w:t> </w:t>
      </w:r>
      <w:r w:rsidRPr="0074031E">
        <w:rPr>
          <w:bCs/>
          <w:lang w:val="en-US"/>
        </w:rPr>
        <w:t>(BFM)</w:t>
      </w:r>
      <w:r w:rsidRPr="0074031E">
        <w:rPr>
          <w:lang w:val="en-US"/>
        </w:rPr>
        <w:t xml:space="preserve">. The CFO may seek all necessary clarifications from responsible UNESCO officers and from the Legal Office. If the protest involves allegations of misconduct by UNESCO personnel or corrupt or fraudulent practices, the protest shall be forwarded directly to the Office of Internal Oversight. </w:t>
      </w:r>
    </w:p>
    <w:p w14:paraId="1EDEB606" w14:textId="3CBDA961" w:rsidR="002D4A76" w:rsidRPr="00886F11" w:rsidRDefault="00886F11" w:rsidP="00886F11">
      <w:pPr>
        <w:jc w:val="center"/>
        <w:rPr>
          <w:rFonts w:ascii="Times New Roman" w:hAnsi="Times New Roman" w:cs="Times New Roman"/>
          <w:sz w:val="24"/>
          <w:szCs w:val="24"/>
          <w:lang w:val="en-US"/>
        </w:rPr>
      </w:pPr>
      <w:r w:rsidRPr="00886F11">
        <w:rPr>
          <w:rFonts w:ascii="Times New Roman" w:hAnsi="Times New Roman" w:cs="Times New Roman"/>
          <w:sz w:val="24"/>
          <w:szCs w:val="24"/>
          <w:lang w:val="en-US"/>
        </w:rPr>
        <w:t>2.</w:t>
      </w:r>
      <w:r>
        <w:rPr>
          <w:rFonts w:ascii="Times New Roman" w:hAnsi="Times New Roman" w:cs="Times New Roman"/>
          <w:sz w:val="24"/>
          <w:szCs w:val="24"/>
          <w:lang w:val="en-US"/>
        </w:rPr>
        <w:t>1.</w:t>
      </w:r>
      <w:r w:rsidRPr="00886F11">
        <w:rPr>
          <w:rFonts w:ascii="Times New Roman" w:hAnsi="Times New Roman" w:cs="Times New Roman"/>
          <w:sz w:val="24"/>
          <w:szCs w:val="24"/>
          <w:lang w:val="en-US"/>
        </w:rPr>
        <w:t>3. -</w:t>
      </w:r>
      <w:r w:rsidR="002D4A76" w:rsidRPr="00886F11">
        <w:rPr>
          <w:rFonts w:ascii="Times New Roman" w:hAnsi="Times New Roman" w:cs="Times New Roman"/>
          <w:sz w:val="24"/>
          <w:szCs w:val="24"/>
          <w:lang w:val="en-US"/>
        </w:rPr>
        <w:t xml:space="preserve">  </w:t>
      </w:r>
      <w:r w:rsidR="002D4A76" w:rsidRPr="00886F11">
        <w:rPr>
          <w:rFonts w:ascii="Times New Roman" w:hAnsi="Times New Roman" w:cs="Times New Roman"/>
          <w:i/>
          <w:sz w:val="24"/>
          <w:szCs w:val="24"/>
          <w:lang w:val="en-US"/>
        </w:rPr>
        <w:t>Rules governing procurement by the European Institutions and Agencies</w:t>
      </w:r>
    </w:p>
    <w:p w14:paraId="30AF1DAD" w14:textId="77777777" w:rsidR="00886F11" w:rsidRDefault="00886F11" w:rsidP="0074031E">
      <w:pPr>
        <w:jc w:val="both"/>
        <w:rPr>
          <w:rFonts w:ascii="Times New Roman" w:hAnsi="Times New Roman" w:cs="Times New Roman"/>
          <w:sz w:val="24"/>
          <w:szCs w:val="24"/>
          <w:lang w:val="en-US"/>
        </w:rPr>
      </w:pPr>
    </w:p>
    <w:p w14:paraId="60F9BBED" w14:textId="344BA28A" w:rsidR="002D4A76"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Outside the scope of the EU public procurement Directives</w:t>
      </w:r>
      <w:r w:rsidRPr="0074031E">
        <w:rPr>
          <w:rStyle w:val="FootnoteReference"/>
          <w:rFonts w:ascii="Times New Roman" w:hAnsi="Times New Roman" w:cs="Times New Roman"/>
          <w:sz w:val="24"/>
          <w:szCs w:val="24"/>
          <w:lang w:val="en-US"/>
        </w:rPr>
        <w:footnoteReference w:id="20"/>
      </w:r>
      <w:r w:rsidRPr="0074031E">
        <w:rPr>
          <w:rFonts w:ascii="Times New Roman" w:hAnsi="Times New Roman" w:cs="Times New Roman"/>
          <w:sz w:val="24"/>
          <w:szCs w:val="24"/>
          <w:lang w:val="en-US"/>
        </w:rPr>
        <w:t>, specific rules govern procurement activities of the European Union institutions</w:t>
      </w:r>
      <w:r w:rsidRPr="0074031E">
        <w:rPr>
          <w:rStyle w:val="FootnoteReference"/>
          <w:rFonts w:ascii="Times New Roman" w:hAnsi="Times New Roman" w:cs="Times New Roman"/>
          <w:sz w:val="24"/>
          <w:szCs w:val="24"/>
          <w:lang w:val="en-US"/>
        </w:rPr>
        <w:footnoteReference w:id="21"/>
      </w:r>
      <w:r w:rsidRPr="0074031E">
        <w:rPr>
          <w:rFonts w:ascii="Times New Roman" w:hAnsi="Times New Roman" w:cs="Times New Roman"/>
          <w:sz w:val="24"/>
          <w:szCs w:val="24"/>
          <w:lang w:val="en-US"/>
        </w:rPr>
        <w:t>.  Indeed, the EU budget’s spending priorities require activities contributing to a coherent role for Europe on the global stage</w:t>
      </w:r>
      <w:r w:rsidRPr="0074031E">
        <w:rPr>
          <w:rStyle w:val="FootnoteReference"/>
          <w:rFonts w:ascii="Times New Roman" w:hAnsi="Times New Roman" w:cs="Times New Roman"/>
          <w:sz w:val="24"/>
          <w:szCs w:val="24"/>
          <w:lang w:val="en-US"/>
        </w:rPr>
        <w:footnoteReference w:id="22"/>
      </w:r>
      <w:r w:rsidRPr="0074031E">
        <w:rPr>
          <w:rFonts w:ascii="Times New Roman" w:hAnsi="Times New Roman" w:cs="Times New Roman"/>
          <w:sz w:val="24"/>
          <w:szCs w:val="24"/>
          <w:lang w:val="en-US"/>
        </w:rPr>
        <w:t>. Therefore, EU bidding processes are both subject to the EU treaty principles and to an EU specific legal framework.</w:t>
      </w:r>
    </w:p>
    <w:p w14:paraId="056228FA" w14:textId="77777777" w:rsidR="00886F11" w:rsidRPr="0074031E" w:rsidRDefault="00886F11" w:rsidP="00886F11">
      <w:pPr>
        <w:ind w:firstLine="708"/>
        <w:jc w:val="both"/>
        <w:rPr>
          <w:rFonts w:ascii="Times New Roman" w:hAnsi="Times New Roman" w:cs="Times New Roman"/>
          <w:sz w:val="24"/>
          <w:szCs w:val="24"/>
          <w:lang w:val="en-US"/>
        </w:rPr>
      </w:pPr>
    </w:p>
    <w:p w14:paraId="67AB5254" w14:textId="5317CB4C" w:rsidR="002D4A76" w:rsidRPr="00886F11" w:rsidRDefault="00886F11" w:rsidP="00886F11">
      <w:pPr>
        <w:ind w:firstLine="708"/>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2.3.1.1. - </w:t>
      </w:r>
      <w:r w:rsidR="002D4A76" w:rsidRPr="00886F11">
        <w:rPr>
          <w:rFonts w:ascii="Times New Roman" w:hAnsi="Times New Roman" w:cs="Times New Roman"/>
          <w:i/>
          <w:sz w:val="24"/>
          <w:szCs w:val="24"/>
          <w:lang w:val="en-US"/>
        </w:rPr>
        <w:t>Rules for European Institutions</w:t>
      </w:r>
    </w:p>
    <w:p w14:paraId="60E67D4F" w14:textId="77777777" w:rsidR="00886F11" w:rsidRDefault="00886F11" w:rsidP="0074031E">
      <w:pPr>
        <w:jc w:val="both"/>
        <w:rPr>
          <w:rFonts w:ascii="Times New Roman" w:hAnsi="Times New Roman" w:cs="Times New Roman"/>
          <w:sz w:val="24"/>
          <w:szCs w:val="24"/>
          <w:lang w:val="en-US"/>
        </w:rPr>
      </w:pPr>
    </w:p>
    <w:p w14:paraId="32825B8D" w14:textId="77777777" w:rsidR="002D4A76" w:rsidRPr="0074031E"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When European institutions act as contracting authorities, they are subject to specific subsequent EU laws with the provisions of Title V, Chapters 1 and 2, of Council Regulation No 966/2012 of 25 October 2012 on the financial rules applicable to the general budget of the Union</w:t>
      </w:r>
      <w:r w:rsidRPr="0074031E">
        <w:rPr>
          <w:rStyle w:val="FootnoteReference"/>
          <w:rFonts w:ascii="Times New Roman" w:hAnsi="Times New Roman" w:cs="Times New Roman"/>
          <w:sz w:val="24"/>
          <w:szCs w:val="24"/>
          <w:lang w:val="en-US"/>
        </w:rPr>
        <w:footnoteReference w:id="23"/>
      </w:r>
      <w:r w:rsidRPr="0074031E">
        <w:rPr>
          <w:rFonts w:ascii="Times New Roman" w:hAnsi="Times New Roman" w:cs="Times New Roman"/>
          <w:sz w:val="24"/>
          <w:szCs w:val="24"/>
          <w:lang w:val="en-US"/>
        </w:rPr>
        <w:t>. This Financial Regulation is complemented by the Commission Delegated Regulation (EU) No 1268/2012 of 29 October 2012, updated in 2015</w:t>
      </w:r>
      <w:r w:rsidRPr="0074031E">
        <w:rPr>
          <w:rStyle w:val="FootnoteReference"/>
          <w:rFonts w:ascii="Times New Roman" w:hAnsi="Times New Roman" w:cs="Times New Roman"/>
          <w:sz w:val="24"/>
          <w:szCs w:val="24"/>
          <w:lang w:val="en-US"/>
        </w:rPr>
        <w:footnoteReference w:id="24"/>
      </w:r>
      <w:r w:rsidRPr="0074031E">
        <w:rPr>
          <w:rFonts w:ascii="Times New Roman" w:hAnsi="Times New Roman" w:cs="Times New Roman"/>
          <w:sz w:val="24"/>
          <w:szCs w:val="24"/>
          <w:lang w:val="en-US"/>
        </w:rPr>
        <w:t>, laying down detailed rules for its implementation</w:t>
      </w:r>
      <w:r w:rsidRPr="0074031E">
        <w:rPr>
          <w:rStyle w:val="FootnoteReference"/>
          <w:rFonts w:ascii="Times New Roman" w:hAnsi="Times New Roman" w:cs="Times New Roman"/>
          <w:sz w:val="24"/>
          <w:szCs w:val="24"/>
          <w:lang w:val="en-US"/>
        </w:rPr>
        <w:footnoteReference w:id="25"/>
      </w:r>
      <w:r w:rsidRPr="0074031E">
        <w:rPr>
          <w:rFonts w:ascii="Times New Roman" w:hAnsi="Times New Roman" w:cs="Times New Roman"/>
          <w:sz w:val="24"/>
          <w:szCs w:val="24"/>
          <w:lang w:val="en-US"/>
        </w:rPr>
        <w:t xml:space="preserve">. These two texts (hereinafter referred to as the “Financial Regulation”) define the budgetary principles and financial rules governing the establishment and implementation of the general budget of the EU and their procurement provisions are essentially based on the EU procurement Directives. </w:t>
      </w:r>
    </w:p>
    <w:p w14:paraId="4DFEED70" w14:textId="7954B1B3" w:rsidR="002D4A76" w:rsidRPr="0074031E"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lastRenderedPageBreak/>
        <w:t>Actually, to take care of the new procurement 2014 Directives and other modifications, these sets of provisions have been updated several times, as in 2014</w:t>
      </w:r>
      <w:r w:rsidRPr="0074031E">
        <w:rPr>
          <w:rStyle w:val="FootnoteReference"/>
          <w:rFonts w:ascii="Times New Roman" w:hAnsi="Times New Roman" w:cs="Times New Roman"/>
          <w:sz w:val="24"/>
          <w:szCs w:val="24"/>
          <w:lang w:val="en-US"/>
        </w:rPr>
        <w:footnoteReference w:id="26"/>
      </w:r>
      <w:r w:rsidRPr="0074031E">
        <w:rPr>
          <w:rFonts w:ascii="Times New Roman" w:hAnsi="Times New Roman" w:cs="Times New Roman"/>
          <w:sz w:val="24"/>
          <w:szCs w:val="24"/>
          <w:lang w:val="en-US"/>
        </w:rPr>
        <w:t xml:space="preserve"> and 2015</w:t>
      </w:r>
      <w:r w:rsidRPr="0074031E">
        <w:rPr>
          <w:rStyle w:val="FootnoteReference"/>
          <w:rFonts w:ascii="Times New Roman" w:hAnsi="Times New Roman" w:cs="Times New Roman"/>
          <w:sz w:val="24"/>
          <w:szCs w:val="24"/>
          <w:lang w:val="en-US"/>
        </w:rPr>
        <w:footnoteReference w:id="27"/>
      </w:r>
      <w:r w:rsidRPr="0074031E">
        <w:rPr>
          <w:rFonts w:ascii="Times New Roman" w:hAnsi="Times New Roman" w:cs="Times New Roman"/>
          <w:sz w:val="24"/>
          <w:szCs w:val="24"/>
          <w:lang w:val="en-US"/>
        </w:rPr>
        <w:t xml:space="preserve">, and more recently </w:t>
      </w:r>
      <w:r w:rsidR="00886F11">
        <w:rPr>
          <w:rFonts w:ascii="Times New Roman" w:hAnsi="Times New Roman" w:cs="Times New Roman"/>
          <w:sz w:val="24"/>
          <w:szCs w:val="24"/>
          <w:lang w:val="en-US"/>
        </w:rPr>
        <w:t>compiled in July 2017</w:t>
      </w:r>
      <w:r w:rsidRPr="0074031E">
        <w:rPr>
          <w:rStyle w:val="FootnoteReference"/>
          <w:rFonts w:ascii="Times New Roman" w:hAnsi="Times New Roman" w:cs="Times New Roman"/>
          <w:sz w:val="24"/>
          <w:szCs w:val="24"/>
          <w:lang w:val="en-US"/>
        </w:rPr>
        <w:footnoteReference w:id="28"/>
      </w:r>
      <w:r w:rsidRPr="0074031E">
        <w:rPr>
          <w:rFonts w:ascii="Times New Roman" w:hAnsi="Times New Roman" w:cs="Times New Roman"/>
          <w:sz w:val="24"/>
          <w:szCs w:val="24"/>
          <w:lang w:val="en-US"/>
        </w:rPr>
        <w:t>. It is worth mentioning that a proposal was released by the Commission on 14 September 2016</w:t>
      </w:r>
      <w:r w:rsidRPr="0074031E">
        <w:rPr>
          <w:rStyle w:val="FootnoteReference"/>
          <w:rFonts w:ascii="Times New Roman" w:hAnsi="Times New Roman" w:cs="Times New Roman"/>
          <w:sz w:val="24"/>
          <w:szCs w:val="24"/>
          <w:lang w:val="en-US"/>
        </w:rPr>
        <w:footnoteReference w:id="29"/>
      </w:r>
      <w:r w:rsidRPr="0074031E">
        <w:rPr>
          <w:rFonts w:ascii="Times New Roman" w:hAnsi="Times New Roman" w:cs="Times New Roman"/>
          <w:sz w:val="24"/>
          <w:szCs w:val="24"/>
          <w:lang w:val="en-US"/>
        </w:rPr>
        <w:t>, merging the two main Regulations into a </w:t>
      </w:r>
      <w:bookmarkStart w:id="0" w:name="COM-2016-605_en.pdf"/>
      <w:r w:rsidRPr="0074031E">
        <w:rPr>
          <w:rFonts w:ascii="Times New Roman" w:hAnsi="Times New Roman" w:cs="Times New Roman"/>
          <w:bCs/>
          <w:sz w:val="24"/>
          <w:szCs w:val="24"/>
        </w:rPr>
        <w:fldChar w:fldCharType="begin"/>
      </w:r>
      <w:r w:rsidRPr="0074031E">
        <w:rPr>
          <w:rFonts w:ascii="Times New Roman" w:hAnsi="Times New Roman" w:cs="Times New Roman"/>
          <w:bCs/>
          <w:sz w:val="24"/>
          <w:szCs w:val="24"/>
          <w:lang w:val="en-US"/>
        </w:rPr>
        <w:instrText xml:space="preserve"> HYPERLINK "http://ec.europa.eu/budget/mff/lib/COM-2016-603/COM-2016-605_en.pdf" </w:instrText>
      </w:r>
      <w:r w:rsidRPr="0074031E">
        <w:rPr>
          <w:rFonts w:ascii="Times New Roman" w:hAnsi="Times New Roman" w:cs="Times New Roman"/>
          <w:bCs/>
          <w:sz w:val="24"/>
          <w:szCs w:val="24"/>
        </w:rPr>
        <w:fldChar w:fldCharType="separate"/>
      </w:r>
      <w:r w:rsidRPr="0074031E">
        <w:rPr>
          <w:rStyle w:val="Hyperlink"/>
          <w:rFonts w:ascii="Times New Roman" w:hAnsi="Times New Roman" w:cs="Times New Roman"/>
          <w:bCs/>
          <w:color w:val="auto"/>
          <w:sz w:val="24"/>
          <w:szCs w:val="24"/>
          <w:u w:val="none"/>
          <w:lang w:val="en-US"/>
        </w:rPr>
        <w:t>single set of rules</w:t>
      </w:r>
      <w:r w:rsidRPr="0074031E">
        <w:rPr>
          <w:rFonts w:ascii="Times New Roman" w:hAnsi="Times New Roman" w:cs="Times New Roman"/>
          <w:sz w:val="24"/>
          <w:szCs w:val="24"/>
          <w:lang w:val="en-US"/>
        </w:rPr>
        <w:fldChar w:fldCharType="end"/>
      </w:r>
      <w:bookmarkEnd w:id="0"/>
      <w:r w:rsidRPr="0074031E">
        <w:rPr>
          <w:rFonts w:ascii="Times New Roman" w:hAnsi="Times New Roman" w:cs="Times New Roman"/>
          <w:sz w:val="24"/>
          <w:szCs w:val="24"/>
          <w:lang w:val="en-US"/>
        </w:rPr>
        <w:t> with improvements and </w:t>
      </w:r>
      <w:hyperlink r:id="rId8" w:history="1">
        <w:r w:rsidRPr="0074031E">
          <w:rPr>
            <w:rStyle w:val="Hyperlink"/>
            <w:rFonts w:ascii="Times New Roman" w:hAnsi="Times New Roman" w:cs="Times New Roman"/>
            <w:color w:val="auto"/>
            <w:sz w:val="24"/>
            <w:szCs w:val="24"/>
            <w:u w:val="none"/>
            <w:lang w:val="en-US"/>
          </w:rPr>
          <w:t>simplification</w:t>
        </w:r>
      </w:hyperlink>
      <w:r w:rsidRPr="0074031E">
        <w:rPr>
          <w:rStyle w:val="Hyperlink"/>
          <w:rFonts w:ascii="Times New Roman" w:hAnsi="Times New Roman" w:cs="Times New Roman"/>
          <w:color w:val="auto"/>
          <w:sz w:val="24"/>
          <w:szCs w:val="24"/>
          <w:u w:val="none"/>
          <w:lang w:val="en-US"/>
        </w:rPr>
        <w:t>s</w:t>
      </w:r>
      <w:r w:rsidRPr="0074031E">
        <w:rPr>
          <w:rFonts w:ascii="Times New Roman" w:hAnsi="Times New Roman" w:cs="Times New Roman"/>
          <w:sz w:val="24"/>
          <w:szCs w:val="24"/>
          <w:lang w:val="en-US"/>
        </w:rPr>
        <w:t xml:space="preserve">. </w:t>
      </w:r>
    </w:p>
    <w:p w14:paraId="534148CE" w14:textId="595B620B" w:rsidR="002D4A76" w:rsidRPr="0074031E" w:rsidRDefault="00555A61" w:rsidP="0074031E">
      <w:pPr>
        <w:jc w:val="both"/>
        <w:rPr>
          <w:rFonts w:ascii="Times New Roman" w:hAnsi="Times New Roman" w:cs="Times New Roman"/>
          <w:sz w:val="24"/>
          <w:szCs w:val="24"/>
          <w:lang w:val="en-US"/>
        </w:rPr>
      </w:pPr>
      <w:r w:rsidRPr="00555A61">
        <w:rPr>
          <w:rFonts w:ascii="Times New Roman" w:hAnsi="Times New Roman" w:cs="Times New Roman"/>
          <w:sz w:val="24"/>
          <w:szCs w:val="24"/>
          <w:lang w:val="en-US"/>
        </w:rPr>
        <w:t>Under the current</w:t>
      </w:r>
      <w:r w:rsidR="002D4A76" w:rsidRPr="00555A61">
        <w:rPr>
          <w:rFonts w:ascii="Times New Roman" w:hAnsi="Times New Roman" w:cs="Times New Roman"/>
          <w:sz w:val="24"/>
          <w:szCs w:val="24"/>
          <w:lang w:val="en-US"/>
        </w:rPr>
        <w:t xml:space="preserve"> framework, the provisions for public procurement, now including</w:t>
      </w:r>
      <w:r w:rsidRPr="00555A61">
        <w:rPr>
          <w:rFonts w:ascii="Times New Roman" w:hAnsi="Times New Roman" w:cs="Times New Roman"/>
          <w:sz w:val="24"/>
          <w:szCs w:val="24"/>
          <w:lang w:val="en-US"/>
        </w:rPr>
        <w:t xml:space="preserve"> concessions, are divided into 2</w:t>
      </w:r>
      <w:r w:rsidR="002D4A76" w:rsidRPr="00555A61">
        <w:rPr>
          <w:rFonts w:ascii="Times New Roman" w:hAnsi="Times New Roman" w:cs="Times New Roman"/>
          <w:sz w:val="24"/>
          <w:szCs w:val="24"/>
          <w:lang w:val="en-US"/>
        </w:rPr>
        <w:t xml:space="preserve"> chapters</w:t>
      </w:r>
      <w:r w:rsidR="002D4A76" w:rsidRPr="00F97AB6">
        <w:rPr>
          <w:rFonts w:ascii="Times New Roman" w:hAnsi="Times New Roman" w:cs="Times New Roman"/>
          <w:sz w:val="24"/>
          <w:szCs w:val="24"/>
          <w:lang w:val="en-US"/>
        </w:rPr>
        <w:t>. They are completed by detailed procurement rules applicable to EU institutions and bodies, consolidated in an annex of the revised Financial Regulation, which could easily be modified by the Commission with a delegated act. Chapter One is about general rules, covering also the initial challenge process with article 164.2 requiring the EU contracting authority to notify the bidders with the grounds on which the award decision was taken, as well as the duration of the standstill period referred to in Article 169(2). This article belongs to chapter 2 dealing with provisions applicable to contracts awarded by the institutions on their own account (ex: contracts entered into by EU Parliament, European Council</w:t>
      </w:r>
      <w:r w:rsidR="002D4A76" w:rsidRPr="00F97AB6">
        <w:rPr>
          <w:rStyle w:val="FootnoteReference"/>
          <w:rFonts w:ascii="Times New Roman" w:hAnsi="Times New Roman" w:cs="Times New Roman"/>
          <w:sz w:val="24"/>
          <w:szCs w:val="24"/>
          <w:lang w:val="en-US"/>
        </w:rPr>
        <w:footnoteReference w:id="30"/>
      </w:r>
      <w:r w:rsidR="002D4A76" w:rsidRPr="00F97AB6">
        <w:rPr>
          <w:rFonts w:ascii="Times New Roman" w:hAnsi="Times New Roman" w:cs="Times New Roman"/>
          <w:sz w:val="24"/>
          <w:szCs w:val="24"/>
          <w:lang w:val="en-US"/>
        </w:rPr>
        <w:t>,  EU Commission</w:t>
      </w:r>
      <w:r w:rsidR="002D4A76" w:rsidRPr="00F97AB6">
        <w:rPr>
          <w:rStyle w:val="FootnoteReference"/>
          <w:rFonts w:ascii="Times New Roman" w:hAnsi="Times New Roman" w:cs="Times New Roman"/>
          <w:sz w:val="24"/>
          <w:szCs w:val="24"/>
          <w:lang w:val="en-US"/>
        </w:rPr>
        <w:footnoteReference w:id="31"/>
      </w:r>
      <w:r w:rsidR="002D4A76" w:rsidRPr="00F97AB6">
        <w:rPr>
          <w:rFonts w:ascii="Times New Roman" w:hAnsi="Times New Roman" w:cs="Times New Roman"/>
          <w:sz w:val="24"/>
          <w:szCs w:val="24"/>
          <w:lang w:val="en-US"/>
        </w:rPr>
        <w:t>, or the European Court of Justice</w:t>
      </w:r>
      <w:r w:rsidR="002D4A76" w:rsidRPr="00F97AB6">
        <w:rPr>
          <w:rStyle w:val="FootnoteReference"/>
          <w:rFonts w:ascii="Times New Roman" w:hAnsi="Times New Roman" w:cs="Times New Roman"/>
          <w:sz w:val="24"/>
          <w:szCs w:val="24"/>
          <w:lang w:val="en-US"/>
        </w:rPr>
        <w:footnoteReference w:id="32"/>
      </w:r>
      <w:r w:rsidR="002D4A76" w:rsidRPr="00F97AB6">
        <w:rPr>
          <w:rFonts w:ascii="Times New Roman" w:hAnsi="Times New Roman" w:cs="Times New Roman"/>
          <w:sz w:val="24"/>
          <w:szCs w:val="24"/>
          <w:lang w:val="en-US"/>
        </w:rPr>
        <w:t xml:space="preserve">). For example, the </w:t>
      </w:r>
      <w:hyperlink r:id="rId9" w:history="1">
        <w:r w:rsidR="002D4A76" w:rsidRPr="00F97AB6">
          <w:rPr>
            <w:rFonts w:ascii="Times New Roman" w:hAnsi="Times New Roman" w:cs="Times New Roman"/>
            <w:sz w:val="24"/>
            <w:szCs w:val="24"/>
            <w:lang w:val="en-US"/>
          </w:rPr>
          <w:t>European Court of Auditors</w:t>
        </w:r>
      </w:hyperlink>
      <w:r w:rsidR="002D4A76" w:rsidRPr="00F97AB6">
        <w:rPr>
          <w:rFonts w:ascii="Times New Roman" w:hAnsi="Times New Roman" w:cs="Times New Roman"/>
          <w:sz w:val="24"/>
          <w:szCs w:val="24"/>
          <w:lang w:val="en-US"/>
        </w:rPr>
        <w:t xml:space="preserve"> (ECA) mentions on its procurement website</w:t>
      </w:r>
      <w:r w:rsidR="002D4A76" w:rsidRPr="00F97AB6">
        <w:rPr>
          <w:rStyle w:val="FootnoteReference"/>
          <w:rFonts w:ascii="Times New Roman" w:hAnsi="Times New Roman" w:cs="Times New Roman"/>
          <w:sz w:val="24"/>
          <w:szCs w:val="24"/>
          <w:lang w:val="en-US"/>
        </w:rPr>
        <w:footnoteReference w:id="33"/>
      </w:r>
      <w:r w:rsidR="002D4A76" w:rsidRPr="00F97AB6">
        <w:rPr>
          <w:rFonts w:ascii="Times New Roman" w:hAnsi="Times New Roman" w:cs="Times New Roman"/>
          <w:sz w:val="24"/>
          <w:szCs w:val="24"/>
          <w:lang w:val="en-US"/>
        </w:rPr>
        <w:t xml:space="preserve"> that it is bound only “in the cases mentioned in the Financial Regulation (FR) (…) to use public procurement procedures when acquiring goods, services or works”, and ECA puts upfront its special conditions of contracts</w:t>
      </w:r>
      <w:r w:rsidR="002D4A76" w:rsidRPr="00F97AB6">
        <w:rPr>
          <w:rStyle w:val="FootnoteReference"/>
          <w:rFonts w:ascii="Times New Roman" w:hAnsi="Times New Roman" w:cs="Times New Roman"/>
          <w:sz w:val="24"/>
          <w:szCs w:val="24"/>
          <w:lang w:val="en-US"/>
        </w:rPr>
        <w:footnoteReference w:id="34"/>
      </w:r>
      <w:r w:rsidR="002D4A76" w:rsidRPr="00F97AB6">
        <w:rPr>
          <w:rFonts w:ascii="Times New Roman" w:hAnsi="Times New Roman" w:cs="Times New Roman"/>
          <w:sz w:val="24"/>
          <w:szCs w:val="24"/>
          <w:lang w:val="en-US"/>
        </w:rPr>
        <w:t>. Indeed, the law applicable to EU Institutions’ contracts can be either a Member State law (usually where the contract is going to take place) or the “general principles of EU law”</w:t>
      </w:r>
      <w:r w:rsidR="002D4A76" w:rsidRPr="00F97AB6">
        <w:rPr>
          <w:rStyle w:val="FootnoteReference"/>
          <w:rFonts w:ascii="Times New Roman" w:hAnsi="Times New Roman" w:cs="Times New Roman"/>
          <w:sz w:val="24"/>
          <w:szCs w:val="24"/>
          <w:lang w:val="en-US"/>
        </w:rPr>
        <w:footnoteReference w:id="35"/>
      </w:r>
      <w:r w:rsidR="002D4A76" w:rsidRPr="00F97AB6">
        <w:rPr>
          <w:rFonts w:ascii="Times New Roman" w:hAnsi="Times New Roman" w:cs="Times New Roman"/>
          <w:sz w:val="24"/>
          <w:szCs w:val="24"/>
          <w:lang w:val="en-US"/>
        </w:rPr>
        <w:t>, as specified by a special clause in the contract</w:t>
      </w:r>
      <w:r w:rsidR="002D4A76" w:rsidRPr="00F97AB6">
        <w:rPr>
          <w:rStyle w:val="FootnoteReference"/>
          <w:rFonts w:ascii="Times New Roman" w:hAnsi="Times New Roman" w:cs="Times New Roman"/>
          <w:sz w:val="24"/>
          <w:szCs w:val="24"/>
          <w:lang w:val="en-US"/>
        </w:rPr>
        <w:footnoteReference w:id="36"/>
      </w:r>
      <w:r w:rsidR="002D4A76" w:rsidRPr="00F97AB6">
        <w:rPr>
          <w:rFonts w:ascii="Times New Roman" w:hAnsi="Times New Roman" w:cs="Times New Roman"/>
          <w:sz w:val="24"/>
          <w:szCs w:val="24"/>
          <w:lang w:val="en-US"/>
        </w:rPr>
        <w:t>.</w:t>
      </w:r>
    </w:p>
    <w:p w14:paraId="52E83672" w14:textId="7C19BA11" w:rsidR="00886F11"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Some European institutions may also have their own internal procurement and contracts’ rules, such as the Procurement rules</w:t>
      </w:r>
      <w:r w:rsidRPr="0074031E">
        <w:rPr>
          <w:rStyle w:val="FootnoteReference"/>
          <w:rFonts w:ascii="Times New Roman" w:hAnsi="Times New Roman" w:cs="Times New Roman"/>
          <w:sz w:val="24"/>
          <w:szCs w:val="24"/>
          <w:lang w:val="en-US"/>
        </w:rPr>
        <w:footnoteReference w:id="37"/>
      </w:r>
      <w:r w:rsidRPr="0074031E">
        <w:rPr>
          <w:rFonts w:ascii="Times New Roman" w:hAnsi="Times New Roman" w:cs="Times New Roman"/>
          <w:sz w:val="24"/>
          <w:szCs w:val="24"/>
          <w:lang w:val="en-US"/>
        </w:rPr>
        <w:t xml:space="preserve"> for the European Central Bank (ECB) and its general terms and conditions for contracts for services and for work</w:t>
      </w:r>
      <w:r w:rsidRPr="0074031E">
        <w:rPr>
          <w:rStyle w:val="FootnoteReference"/>
          <w:rFonts w:ascii="Times New Roman" w:hAnsi="Times New Roman" w:cs="Times New Roman"/>
          <w:sz w:val="24"/>
          <w:szCs w:val="24"/>
          <w:lang w:val="en-US"/>
        </w:rPr>
        <w:footnoteReference w:id="38"/>
      </w:r>
      <w:r w:rsidRPr="0074031E">
        <w:rPr>
          <w:rFonts w:ascii="Times New Roman" w:hAnsi="Times New Roman" w:cs="Times New Roman"/>
          <w:sz w:val="24"/>
          <w:szCs w:val="24"/>
          <w:lang w:val="en-US"/>
        </w:rPr>
        <w:t xml:space="preserve">. Under its procurement </w:t>
      </w:r>
      <w:r w:rsidR="00886F11">
        <w:rPr>
          <w:rFonts w:ascii="Times New Roman" w:hAnsi="Times New Roman" w:cs="Times New Roman"/>
          <w:sz w:val="24"/>
          <w:szCs w:val="24"/>
          <w:lang w:val="en-US"/>
        </w:rPr>
        <w:t>rules, the ECB states that it “</w:t>
      </w:r>
      <w:r w:rsidRPr="0074031E">
        <w:rPr>
          <w:rFonts w:ascii="Times New Roman" w:hAnsi="Times New Roman" w:cs="Times New Roman"/>
          <w:sz w:val="24"/>
          <w:szCs w:val="24"/>
          <w:lang w:val="en-US"/>
        </w:rPr>
        <w:t>respects the general principles of procurement law as reflected in the Procurement Directi</w:t>
      </w:r>
      <w:r w:rsidR="00886F11">
        <w:rPr>
          <w:rFonts w:ascii="Times New Roman" w:hAnsi="Times New Roman" w:cs="Times New Roman"/>
          <w:sz w:val="24"/>
          <w:szCs w:val="24"/>
          <w:lang w:val="en-US"/>
        </w:rPr>
        <w:t>ve and the Financial Regulation”</w:t>
      </w:r>
      <w:r w:rsidRPr="0074031E">
        <w:rPr>
          <w:rFonts w:ascii="Times New Roman" w:hAnsi="Times New Roman" w:cs="Times New Roman"/>
          <w:sz w:val="24"/>
          <w:szCs w:val="24"/>
          <w:lang w:val="en-US"/>
        </w:rPr>
        <w:t xml:space="preserve"> but after having asserted that “neither </w:t>
      </w:r>
      <w:r w:rsidRPr="0074031E">
        <w:rPr>
          <w:rFonts w:ascii="Times New Roman" w:hAnsi="Times New Roman" w:cs="Times New Roman"/>
          <w:sz w:val="24"/>
          <w:szCs w:val="24"/>
          <w:lang w:val="en-US"/>
        </w:rPr>
        <w:lastRenderedPageBreak/>
        <w:t>this Directive nor Regulation (EU, Euratom) No 966/2012 of the European Parliament and of the Council (the Financial Regulation”) applies to ECB</w:t>
      </w:r>
      <w:r w:rsidRPr="0074031E">
        <w:rPr>
          <w:rStyle w:val="FootnoteReference"/>
          <w:rFonts w:ascii="Times New Roman" w:hAnsi="Times New Roman" w:cs="Times New Roman"/>
          <w:sz w:val="24"/>
          <w:szCs w:val="24"/>
          <w:lang w:val="en-US"/>
        </w:rPr>
        <w:footnoteReference w:id="39"/>
      </w:r>
      <w:r w:rsidRPr="0074031E">
        <w:rPr>
          <w:rFonts w:ascii="Times New Roman" w:hAnsi="Times New Roman" w:cs="Times New Roman"/>
          <w:sz w:val="24"/>
          <w:szCs w:val="24"/>
          <w:lang w:val="en-US"/>
        </w:rPr>
        <w:t>.</w:t>
      </w:r>
    </w:p>
    <w:p w14:paraId="02041A43" w14:textId="77777777" w:rsidR="00886F11" w:rsidRPr="0074031E" w:rsidRDefault="00886F11" w:rsidP="00886F11">
      <w:pPr>
        <w:ind w:firstLine="708"/>
        <w:jc w:val="both"/>
        <w:rPr>
          <w:rFonts w:ascii="Times New Roman" w:hAnsi="Times New Roman" w:cs="Times New Roman"/>
          <w:sz w:val="24"/>
          <w:szCs w:val="24"/>
          <w:lang w:val="en-US"/>
        </w:rPr>
      </w:pPr>
    </w:p>
    <w:p w14:paraId="40DEB1B7" w14:textId="52DF1360" w:rsidR="002D4A76" w:rsidRDefault="00886F11" w:rsidP="00886F11">
      <w:pPr>
        <w:ind w:firstLine="708"/>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2.3.1.2. - </w:t>
      </w:r>
      <w:r w:rsidR="002D4A76" w:rsidRPr="00886F11">
        <w:rPr>
          <w:rFonts w:ascii="Times New Roman" w:hAnsi="Times New Roman" w:cs="Times New Roman"/>
          <w:i/>
          <w:sz w:val="24"/>
          <w:szCs w:val="24"/>
          <w:lang w:val="en-US"/>
        </w:rPr>
        <w:t>Rules for EU Agencies</w:t>
      </w:r>
    </w:p>
    <w:p w14:paraId="72702805" w14:textId="77777777" w:rsidR="00886F11" w:rsidRPr="00886F11" w:rsidRDefault="00886F11" w:rsidP="00886F11">
      <w:pPr>
        <w:ind w:firstLine="708"/>
        <w:jc w:val="both"/>
        <w:rPr>
          <w:rFonts w:ascii="Times New Roman" w:hAnsi="Times New Roman" w:cs="Times New Roman"/>
          <w:i/>
          <w:sz w:val="24"/>
          <w:szCs w:val="24"/>
          <w:lang w:val="en-US"/>
        </w:rPr>
      </w:pPr>
    </w:p>
    <w:p w14:paraId="3A54A0E2" w14:textId="77777777" w:rsidR="002D4A76" w:rsidRPr="0074031E" w:rsidRDefault="002D4A76"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EU agencies are distinct bodies from the EU institutions – separate legal entities set up to perform technical and scientific tasks that </w:t>
      </w:r>
      <w:r w:rsidRPr="0074031E">
        <w:rPr>
          <w:rFonts w:ascii="Times New Roman" w:hAnsi="Times New Roman" w:cs="Times New Roman"/>
          <w:bCs/>
          <w:sz w:val="24"/>
          <w:szCs w:val="24"/>
          <w:lang w:val="en-US"/>
        </w:rPr>
        <w:t>help the EU institutions implement policies and take decisions.</w:t>
      </w:r>
      <w:r w:rsidRPr="0074031E">
        <w:rPr>
          <w:rFonts w:ascii="Times New Roman" w:hAnsi="Times New Roman" w:cs="Times New Roman"/>
          <w:sz w:val="24"/>
          <w:szCs w:val="24"/>
          <w:lang w:val="en-US"/>
        </w:rPr>
        <w:t> 34 to date, they are spread across the EU, such as the European Aviation Safety Agency (EASA), the European Food Safety Authority (EFSA) or the European Union’s Judicial Cooperation Unit (Eurojust)</w:t>
      </w:r>
      <w:r w:rsidRPr="0074031E">
        <w:rPr>
          <w:rStyle w:val="FootnoteReference"/>
          <w:rFonts w:ascii="Times New Roman" w:hAnsi="Times New Roman" w:cs="Times New Roman"/>
          <w:sz w:val="24"/>
          <w:szCs w:val="24"/>
          <w:lang w:val="en-US"/>
        </w:rPr>
        <w:footnoteReference w:id="40"/>
      </w:r>
      <w:r w:rsidRPr="0074031E">
        <w:rPr>
          <w:rFonts w:ascii="Times New Roman" w:hAnsi="Times New Roman" w:cs="Times New Roman"/>
          <w:sz w:val="24"/>
          <w:szCs w:val="24"/>
          <w:lang w:val="en-US"/>
        </w:rPr>
        <w:t xml:space="preserve">. It is not surprising that the diversity of the European agencies is reflected in a certain complexity in their public procurement systems. For that matter, the website providing information on their calls for tenders used to be confined to an alphabetical listing of the agencies. For many years, several agencies were in the process of modernizing their award procedures, either in order to harmonize them further with EU rules (as it is true for the European Medicines Agency (EMEA)), or to adapt them to their specific characteristics. In this regard, the approach followed by the European </w:t>
      </w:r>
      <w:proofErr w:type="spellStart"/>
      <w:r w:rsidRPr="0074031E">
        <w:rPr>
          <w:rFonts w:ascii="Times New Roman" w:hAnsi="Times New Roman" w:cs="Times New Roman"/>
          <w:sz w:val="24"/>
          <w:szCs w:val="24"/>
          <w:lang w:val="en-US"/>
        </w:rPr>
        <w:t>Defence</w:t>
      </w:r>
      <w:proofErr w:type="spellEnd"/>
      <w:r w:rsidRPr="0074031E">
        <w:rPr>
          <w:rFonts w:ascii="Times New Roman" w:hAnsi="Times New Roman" w:cs="Times New Roman"/>
          <w:sz w:val="24"/>
          <w:szCs w:val="24"/>
          <w:lang w:val="en-US"/>
        </w:rPr>
        <w:t xml:space="preserve"> Agency (EDA) is significant. Established in 2004, the EDA benefited on 18 September 2007 from a Council decision which requests it to amend its financial rules and procurement regulations in order to ensure their consistency with the provisions of the European directives, while taking into account Article 296 (now 343) of the Treaty, which allows member States to exclude themselves from European competition for reasons of national security. In 2016, a revision of the 2007 Financial Regulation for EDA was voted on by the Council</w:t>
      </w:r>
      <w:r w:rsidRPr="0074031E">
        <w:rPr>
          <w:rStyle w:val="FootnoteReference"/>
          <w:rFonts w:ascii="Times New Roman" w:hAnsi="Times New Roman" w:cs="Times New Roman"/>
          <w:sz w:val="24"/>
          <w:szCs w:val="24"/>
          <w:lang w:val="en-US"/>
        </w:rPr>
        <w:footnoteReference w:id="41"/>
      </w:r>
      <w:r w:rsidRPr="0074031E">
        <w:rPr>
          <w:rFonts w:ascii="Times New Roman" w:hAnsi="Times New Roman" w:cs="Times New Roman"/>
          <w:sz w:val="24"/>
          <w:szCs w:val="24"/>
          <w:lang w:val="en-US"/>
        </w:rPr>
        <w:t>, submitting the EDA procurement to the Title V of Regulation (EU, Euratom) No 966/2012 and Delegated Regulation (EU).</w:t>
      </w:r>
    </w:p>
    <w:p w14:paraId="5BACCB0D" w14:textId="408E15B2" w:rsidR="002D4A76" w:rsidRPr="0074031E" w:rsidRDefault="002D4A76" w:rsidP="0074031E">
      <w:pPr>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b/>
        <w:t xml:space="preserve">Some agencies also make use of international tendering procedures in the framework of EuropeAid and external co-operation programs, as is true of the European Agency for </w:t>
      </w:r>
      <w:r w:rsidRPr="0074031E">
        <w:rPr>
          <w:rFonts w:ascii="Times New Roman" w:hAnsi="Times New Roman" w:cs="Times New Roman"/>
          <w:sz w:val="24"/>
          <w:szCs w:val="24"/>
          <w:lang w:val="en-US"/>
        </w:rPr>
        <w:lastRenderedPageBreak/>
        <w:t>Reconstruction</w:t>
      </w:r>
      <w:r w:rsidRPr="0074031E">
        <w:rPr>
          <w:rStyle w:val="FootnoteReference"/>
          <w:rFonts w:ascii="Times New Roman" w:hAnsi="Times New Roman" w:cs="Times New Roman"/>
          <w:sz w:val="24"/>
          <w:szCs w:val="24"/>
          <w:lang w:val="en-US"/>
        </w:rPr>
        <w:footnoteReference w:id="42"/>
      </w:r>
      <w:r w:rsidRPr="0074031E">
        <w:rPr>
          <w:rFonts w:ascii="Times New Roman" w:hAnsi="Times New Roman" w:cs="Times New Roman"/>
          <w:sz w:val="24"/>
          <w:szCs w:val="24"/>
          <w:lang w:val="en-US"/>
        </w:rPr>
        <w:t xml:space="preserve">. </w:t>
      </w:r>
      <w:r w:rsidR="00E92BE8">
        <w:rPr>
          <w:rFonts w:ascii="Times New Roman" w:hAnsi="Times New Roman" w:cs="Times New Roman"/>
          <w:sz w:val="24"/>
          <w:szCs w:val="24"/>
          <w:lang w:val="en-US"/>
        </w:rPr>
        <w:t xml:space="preserve">Rules for these contracts are governed by the already mentioned Financial Regulations 2017, Part II, Title 4 on External actions, Chap. 3 on procurement procedures. </w:t>
      </w:r>
      <w:r w:rsidRPr="0074031E">
        <w:rPr>
          <w:rFonts w:ascii="Times New Roman" w:hAnsi="Times New Roman" w:cs="Times New Roman"/>
          <w:sz w:val="24"/>
          <w:szCs w:val="24"/>
          <w:lang w:val="en-US"/>
        </w:rPr>
        <w:t>The EuropeAid Co-operation Office and the European Development Fund (EDF), which were established, under the Cotonou Agreement</w:t>
      </w:r>
      <w:r w:rsidRPr="0074031E">
        <w:rPr>
          <w:rStyle w:val="FootnoteReference"/>
          <w:rFonts w:ascii="Times New Roman" w:hAnsi="Times New Roman" w:cs="Times New Roman"/>
          <w:sz w:val="24"/>
          <w:szCs w:val="24"/>
          <w:lang w:val="en-US"/>
        </w:rPr>
        <w:footnoteReference w:id="43"/>
      </w:r>
      <w:r w:rsidRPr="0074031E">
        <w:rPr>
          <w:rFonts w:ascii="Times New Roman" w:hAnsi="Times New Roman" w:cs="Times New Roman"/>
          <w:sz w:val="24"/>
          <w:szCs w:val="24"/>
          <w:lang w:val="en-US"/>
        </w:rPr>
        <w:t>, to finance co-operation with the African, Caribbean and Pacific States (ACP), have special procurement procedures mentioned in the Practical Guide to Contract Procedures for EC External Actions (PRAG)</w:t>
      </w:r>
      <w:r w:rsidRPr="0074031E">
        <w:rPr>
          <w:rFonts w:ascii="Times New Roman" w:hAnsi="Times New Roman" w:cs="Times New Roman"/>
          <w:b/>
          <w:sz w:val="24"/>
          <w:szCs w:val="24"/>
          <w:lang w:val="en-US"/>
        </w:rPr>
        <w:t xml:space="preserve"> </w:t>
      </w:r>
      <w:r w:rsidRPr="0074031E">
        <w:rPr>
          <w:rFonts w:ascii="Times New Roman" w:hAnsi="Times New Roman" w:cs="Times New Roman"/>
          <w:sz w:val="24"/>
          <w:szCs w:val="24"/>
          <w:lang w:val="en-US"/>
        </w:rPr>
        <w:t>and its annexes</w:t>
      </w:r>
      <w:r w:rsidRPr="0074031E">
        <w:rPr>
          <w:rStyle w:val="FootnoteReference"/>
          <w:rFonts w:ascii="Times New Roman" w:hAnsi="Times New Roman" w:cs="Times New Roman"/>
          <w:sz w:val="24"/>
          <w:szCs w:val="24"/>
          <w:lang w:val="en-US"/>
        </w:rPr>
        <w:t xml:space="preserve"> </w:t>
      </w:r>
      <w:r w:rsidRPr="0074031E">
        <w:rPr>
          <w:rStyle w:val="FootnoteReference"/>
          <w:rFonts w:ascii="Times New Roman" w:hAnsi="Times New Roman" w:cs="Times New Roman"/>
          <w:sz w:val="24"/>
          <w:szCs w:val="24"/>
          <w:lang w:val="en-US"/>
        </w:rPr>
        <w:footnoteReference w:id="44"/>
      </w:r>
      <w:r w:rsidR="00886F11">
        <w:rPr>
          <w:rFonts w:ascii="Times New Roman" w:hAnsi="Times New Roman" w:cs="Times New Roman"/>
          <w:sz w:val="24"/>
          <w:szCs w:val="24"/>
          <w:lang w:val="en-US"/>
        </w:rPr>
        <w:t>. The PRAG</w:t>
      </w:r>
      <w:r w:rsidRPr="0074031E">
        <w:rPr>
          <w:rFonts w:ascii="Times New Roman" w:hAnsi="Times New Roman" w:cs="Times New Roman"/>
          <w:sz w:val="24"/>
          <w:szCs w:val="24"/>
          <w:lang w:val="en-US"/>
        </w:rPr>
        <w:t xml:space="preserve"> is annually revised, and lastly in 2016, a regulation establishing the Common Rules and Procedures for the Implementation of the Union's instruments for Externa</w:t>
      </w:r>
      <w:r w:rsidR="00886F11">
        <w:rPr>
          <w:rFonts w:ascii="Times New Roman" w:hAnsi="Times New Roman" w:cs="Times New Roman"/>
          <w:sz w:val="24"/>
          <w:szCs w:val="24"/>
          <w:lang w:val="en-US"/>
        </w:rPr>
        <w:t xml:space="preserve">l Action (CIR) was </w:t>
      </w:r>
      <w:r w:rsidRPr="0074031E">
        <w:rPr>
          <w:rFonts w:ascii="Times New Roman" w:hAnsi="Times New Roman" w:cs="Times New Roman"/>
          <w:sz w:val="24"/>
          <w:szCs w:val="24"/>
          <w:lang w:val="en-US"/>
        </w:rPr>
        <w:t>adopted. Contracting entities subject to the PRAG are entities referred to in Article 190.2 of the Financial Regulation i.e., (</w:t>
      </w:r>
      <w:proofErr w:type="spellStart"/>
      <w:r w:rsidRPr="0074031E">
        <w:rPr>
          <w:rFonts w:ascii="Times New Roman" w:hAnsi="Times New Roman" w:cs="Times New Roman"/>
          <w:sz w:val="24"/>
          <w:szCs w:val="24"/>
          <w:lang w:val="en-US"/>
        </w:rPr>
        <w:t>i</w:t>
      </w:r>
      <w:proofErr w:type="spellEnd"/>
      <w:r w:rsidRPr="0074031E">
        <w:rPr>
          <w:rFonts w:ascii="Times New Roman" w:hAnsi="Times New Roman" w:cs="Times New Roman"/>
          <w:sz w:val="24"/>
          <w:szCs w:val="24"/>
          <w:lang w:val="en-US"/>
        </w:rPr>
        <w:t xml:space="preserve">) in case of direct management: the European Commission on behalf of and for the account of the partner country/countries, (ii) in case of indirect management: the State or the entity concluding the contract as provided for (where appropriate) in the Financing Agreement. </w:t>
      </w:r>
      <w:r w:rsidRPr="00F97AB6">
        <w:rPr>
          <w:rFonts w:ascii="Times New Roman" w:hAnsi="Times New Roman" w:cs="Times New Roman"/>
          <w:sz w:val="24"/>
          <w:szCs w:val="24"/>
          <w:lang w:val="en-US"/>
        </w:rPr>
        <w:t>For what this guide is concerned, the main impact of the CIR are the new rules on nationality and origin for public procurement and grant award procedures.</w:t>
      </w:r>
    </w:p>
    <w:p w14:paraId="513D355A" w14:textId="44E3B98B" w:rsidR="00DF4DDE" w:rsidRDefault="002D4A76" w:rsidP="0074031E">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Other Agencies may be governed by a separate system, such as the </w:t>
      </w:r>
      <w:r w:rsidRPr="00E92BE8">
        <w:rPr>
          <w:rFonts w:ascii="Times New Roman" w:hAnsi="Times New Roman" w:cs="Times New Roman"/>
          <w:sz w:val="24"/>
          <w:szCs w:val="24"/>
          <w:lang w:val="en-US"/>
        </w:rPr>
        <w:t>European Space Agency</w:t>
      </w:r>
      <w:r w:rsidR="00E92BE8">
        <w:rPr>
          <w:rFonts w:ascii="Times New Roman" w:hAnsi="Times New Roman" w:cs="Times New Roman"/>
          <w:sz w:val="24"/>
          <w:szCs w:val="24"/>
          <w:lang w:val="en-US"/>
        </w:rPr>
        <w:t xml:space="preserve"> (ESA)</w:t>
      </w:r>
      <w:r w:rsidR="00E92BE8" w:rsidRPr="00E92BE8">
        <w:rPr>
          <w:rStyle w:val="FootnoteReference"/>
          <w:rFonts w:ascii="Times New Roman" w:hAnsi="Times New Roman" w:cs="Times New Roman"/>
          <w:sz w:val="24"/>
          <w:szCs w:val="24"/>
          <w:lang w:val="en-US"/>
        </w:rPr>
        <w:footnoteReference w:id="45"/>
      </w:r>
      <w:r w:rsidRPr="00E92BE8">
        <w:rPr>
          <w:rFonts w:ascii="Times New Roman" w:hAnsi="Times New Roman" w:cs="Times New Roman"/>
          <w:sz w:val="24"/>
          <w:szCs w:val="24"/>
          <w:lang w:val="en-US"/>
        </w:rPr>
        <w:t>,</w:t>
      </w:r>
      <w:r w:rsidRPr="0074031E">
        <w:rPr>
          <w:rFonts w:ascii="Times New Roman" w:hAnsi="Times New Roman" w:cs="Times New Roman"/>
          <w:sz w:val="24"/>
          <w:szCs w:val="24"/>
          <w:lang w:val="en-US"/>
        </w:rPr>
        <w:t xml:space="preserve"> which is, as being an international organization, not subje</w:t>
      </w:r>
      <w:r w:rsidR="00886F11">
        <w:rPr>
          <w:rFonts w:ascii="Times New Roman" w:hAnsi="Times New Roman" w:cs="Times New Roman"/>
          <w:sz w:val="24"/>
          <w:szCs w:val="24"/>
          <w:lang w:val="en-US"/>
        </w:rPr>
        <w:t>ct to the European Directives</w:t>
      </w:r>
      <w:r w:rsidR="00E92BE8">
        <w:rPr>
          <w:rStyle w:val="FootnoteReference"/>
          <w:rFonts w:ascii="Times New Roman" w:hAnsi="Times New Roman" w:cs="Times New Roman"/>
          <w:sz w:val="24"/>
          <w:szCs w:val="24"/>
          <w:lang w:val="en-US"/>
        </w:rPr>
        <w:footnoteReference w:id="46"/>
      </w:r>
      <w:r w:rsidR="00886F11">
        <w:rPr>
          <w:rFonts w:ascii="Times New Roman" w:hAnsi="Times New Roman" w:cs="Times New Roman"/>
          <w:sz w:val="24"/>
          <w:szCs w:val="24"/>
          <w:lang w:val="en-US"/>
        </w:rPr>
        <w:t xml:space="preserve">. </w:t>
      </w:r>
      <w:r w:rsidRPr="0074031E">
        <w:rPr>
          <w:rFonts w:ascii="Times New Roman" w:hAnsi="Times New Roman" w:cs="Times New Roman"/>
          <w:sz w:val="24"/>
          <w:szCs w:val="24"/>
          <w:lang w:val="en-US"/>
        </w:rPr>
        <w:t>Indeed the participating State</w:t>
      </w:r>
      <w:r w:rsidR="00E92BE8">
        <w:rPr>
          <w:rFonts w:ascii="Times New Roman" w:hAnsi="Times New Roman" w:cs="Times New Roman"/>
          <w:sz w:val="24"/>
          <w:szCs w:val="24"/>
          <w:lang w:val="en-US"/>
        </w:rPr>
        <w:t>s are not all EU member states</w:t>
      </w:r>
      <w:r w:rsidRPr="0074031E">
        <w:rPr>
          <w:rFonts w:ascii="Times New Roman" w:hAnsi="Times New Roman" w:cs="Times New Roman"/>
          <w:sz w:val="24"/>
          <w:szCs w:val="24"/>
          <w:lang w:val="en-US"/>
        </w:rPr>
        <w:t>, and, in order to encourage the specific industrial policy objectives</w:t>
      </w:r>
      <w:r w:rsidRPr="0074031E">
        <w:rPr>
          <w:rStyle w:val="FootnoteReference"/>
          <w:rFonts w:ascii="Times New Roman" w:hAnsi="Times New Roman" w:cs="Times New Roman"/>
          <w:sz w:val="24"/>
          <w:szCs w:val="24"/>
          <w:lang w:val="en-US"/>
        </w:rPr>
        <w:footnoteReference w:id="47"/>
      </w:r>
      <w:r w:rsidRPr="0074031E">
        <w:rPr>
          <w:rFonts w:ascii="Times New Roman" w:hAnsi="Times New Roman" w:cs="Times New Roman"/>
          <w:sz w:val="24"/>
          <w:szCs w:val="24"/>
          <w:lang w:val="en-US"/>
        </w:rPr>
        <w:t>, their industries benefit from the geographical return principle with restricts eligibility of the companies through preference rules based on nationality. To preserve such original principle, ESA has organized a sophisticated appeal process relaying on an independent board</w:t>
      </w:r>
      <w:r w:rsidRPr="0074031E">
        <w:rPr>
          <w:rStyle w:val="FootnoteReference"/>
          <w:rFonts w:ascii="Times New Roman" w:hAnsi="Times New Roman" w:cs="Times New Roman"/>
          <w:sz w:val="24"/>
          <w:szCs w:val="24"/>
          <w:lang w:val="en-US"/>
        </w:rPr>
        <w:footnoteReference w:id="48"/>
      </w:r>
      <w:r w:rsidRPr="0074031E">
        <w:rPr>
          <w:rFonts w:ascii="Times New Roman" w:hAnsi="Times New Roman" w:cs="Times New Roman"/>
          <w:sz w:val="24"/>
          <w:szCs w:val="24"/>
          <w:lang w:val="en-US"/>
        </w:rPr>
        <w:t>.</w:t>
      </w:r>
    </w:p>
    <w:p w14:paraId="404FBE44" w14:textId="77777777" w:rsidR="00886F11" w:rsidRPr="0074031E" w:rsidRDefault="00886F11" w:rsidP="0074031E">
      <w:pPr>
        <w:ind w:firstLine="708"/>
        <w:jc w:val="both"/>
        <w:rPr>
          <w:rFonts w:ascii="Times New Roman" w:hAnsi="Times New Roman" w:cs="Times New Roman"/>
          <w:sz w:val="24"/>
          <w:szCs w:val="24"/>
          <w:lang w:val="en-US"/>
        </w:rPr>
      </w:pPr>
    </w:p>
    <w:p w14:paraId="4DA6C573" w14:textId="5C4B913E" w:rsidR="00EB3012" w:rsidRPr="00886F11" w:rsidRDefault="00886F11" w:rsidP="00886F11">
      <w:pPr>
        <w:jc w:val="center"/>
        <w:rPr>
          <w:rFonts w:ascii="Times New Roman" w:hAnsi="Times New Roman" w:cs="Times New Roman"/>
          <w:i/>
          <w:sz w:val="24"/>
          <w:szCs w:val="24"/>
          <w:lang w:val="en-US"/>
        </w:rPr>
      </w:pPr>
      <w:r>
        <w:rPr>
          <w:rFonts w:ascii="Times New Roman" w:hAnsi="Times New Roman" w:cs="Times New Roman"/>
          <w:sz w:val="24"/>
          <w:szCs w:val="24"/>
          <w:lang w:val="en-US"/>
        </w:rPr>
        <w:t>2.</w:t>
      </w:r>
      <w:r w:rsidR="00EB3012" w:rsidRPr="00886F11">
        <w:rPr>
          <w:rFonts w:ascii="Times New Roman" w:hAnsi="Times New Roman" w:cs="Times New Roman"/>
          <w:sz w:val="24"/>
          <w:szCs w:val="24"/>
          <w:lang w:val="en-US"/>
        </w:rPr>
        <w:t>2</w:t>
      </w:r>
      <w:r>
        <w:rPr>
          <w:rFonts w:ascii="Times New Roman" w:hAnsi="Times New Roman" w:cs="Times New Roman"/>
          <w:sz w:val="24"/>
          <w:szCs w:val="24"/>
          <w:lang w:val="en-US"/>
        </w:rPr>
        <w:t xml:space="preserve">. - </w:t>
      </w:r>
      <w:r w:rsidR="00EB3012" w:rsidRPr="00886F11">
        <w:rPr>
          <w:rFonts w:ascii="Times New Roman" w:hAnsi="Times New Roman" w:cs="Times New Roman"/>
          <w:sz w:val="24"/>
          <w:szCs w:val="24"/>
          <w:lang w:val="en-US"/>
        </w:rPr>
        <w:t xml:space="preserve"> </w:t>
      </w:r>
      <w:r w:rsidR="00EB3012" w:rsidRPr="00886F11">
        <w:rPr>
          <w:rFonts w:ascii="Times New Roman" w:hAnsi="Times New Roman" w:cs="Times New Roman"/>
          <w:i/>
          <w:sz w:val="24"/>
          <w:szCs w:val="24"/>
          <w:lang w:val="en-US"/>
        </w:rPr>
        <w:t>The law applicable to I.O.s contractual disputes procedures and contracts</w:t>
      </w:r>
    </w:p>
    <w:p w14:paraId="2A287A49" w14:textId="77777777" w:rsidR="00823099" w:rsidRPr="0074031E" w:rsidRDefault="00823099" w:rsidP="0074031E">
      <w:pPr>
        <w:jc w:val="both"/>
        <w:rPr>
          <w:rFonts w:ascii="Times New Roman" w:hAnsi="Times New Roman" w:cs="Times New Roman"/>
          <w:sz w:val="24"/>
          <w:szCs w:val="24"/>
          <w:lang w:val="en-US"/>
        </w:rPr>
      </w:pPr>
    </w:p>
    <w:p w14:paraId="088324D3" w14:textId="4C203CC5" w:rsidR="00823099" w:rsidRPr="0074031E" w:rsidRDefault="00886F11" w:rsidP="00886F1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topic</w:t>
      </w:r>
      <w:r w:rsidR="00823099" w:rsidRPr="0074031E">
        <w:rPr>
          <w:rFonts w:ascii="Times New Roman" w:hAnsi="Times New Roman" w:cs="Times New Roman"/>
          <w:sz w:val="24"/>
          <w:szCs w:val="24"/>
          <w:lang w:val="en-US"/>
        </w:rPr>
        <w:t xml:space="preserve"> of the</w:t>
      </w:r>
      <w:r w:rsidR="006430F5" w:rsidRPr="0074031E">
        <w:rPr>
          <w:rFonts w:ascii="Times New Roman" w:hAnsi="Times New Roman" w:cs="Times New Roman"/>
          <w:sz w:val="24"/>
          <w:szCs w:val="24"/>
          <w:lang w:val="en-US"/>
        </w:rPr>
        <w:t xml:space="preserve"> </w:t>
      </w:r>
      <w:r w:rsidR="00823099" w:rsidRPr="0074031E">
        <w:rPr>
          <w:rFonts w:ascii="Times New Roman" w:hAnsi="Times New Roman" w:cs="Times New Roman"/>
          <w:sz w:val="24"/>
          <w:szCs w:val="24"/>
          <w:lang w:val="en-US"/>
        </w:rPr>
        <w:t>applicable law is also refle</w:t>
      </w:r>
      <w:r w:rsidR="006430F5" w:rsidRPr="0074031E">
        <w:rPr>
          <w:rFonts w:ascii="Times New Roman" w:hAnsi="Times New Roman" w:cs="Times New Roman"/>
          <w:sz w:val="24"/>
          <w:szCs w:val="24"/>
          <w:lang w:val="en-US"/>
        </w:rPr>
        <w:t>c</w:t>
      </w:r>
      <w:r>
        <w:rPr>
          <w:rFonts w:ascii="Times New Roman" w:hAnsi="Times New Roman" w:cs="Times New Roman"/>
          <w:sz w:val="24"/>
          <w:szCs w:val="24"/>
          <w:lang w:val="en-US"/>
        </w:rPr>
        <w:t>ting the particularism of I.Os corporate contracts. They actually</w:t>
      </w:r>
      <w:r w:rsidR="006430F5" w:rsidRPr="0074031E">
        <w:rPr>
          <w:rFonts w:ascii="Times New Roman" w:hAnsi="Times New Roman" w:cs="Times New Roman"/>
          <w:sz w:val="24"/>
          <w:szCs w:val="24"/>
          <w:lang w:val="en-US"/>
        </w:rPr>
        <w:t xml:space="preserve"> may not by subject to </w:t>
      </w:r>
      <w:r w:rsidR="00823099" w:rsidRPr="0074031E">
        <w:rPr>
          <w:rFonts w:ascii="Times New Roman" w:hAnsi="Times New Roman" w:cs="Times New Roman"/>
          <w:sz w:val="24"/>
          <w:szCs w:val="24"/>
          <w:lang w:val="en-US"/>
        </w:rPr>
        <w:t>domestic law, even the law of the country where they operate. However, this characteristic is not all the time mentioned by the I.Os procurement rules, spurring legal uncertainty. While the WB Corporate policy states clearly: “</w:t>
      </w:r>
      <w:r w:rsidR="00823099" w:rsidRPr="0074031E">
        <w:rPr>
          <w:rFonts w:ascii="Times New Roman" w:hAnsi="Times New Roman" w:cs="Times New Roman"/>
          <w:i/>
          <w:sz w:val="24"/>
          <w:szCs w:val="24"/>
          <w:lang w:val="en-US"/>
        </w:rPr>
        <w:t>The Bank Group is not an agency of the United States Government and, therefore, is not subject to federal, state, or local procurement regulations</w:t>
      </w:r>
      <w:r w:rsidR="00823099" w:rsidRPr="0074031E">
        <w:rPr>
          <w:rFonts w:ascii="Times New Roman" w:hAnsi="Times New Roman" w:cs="Times New Roman"/>
          <w:sz w:val="24"/>
          <w:szCs w:val="24"/>
          <w:lang w:val="en-US"/>
        </w:rPr>
        <w:t>”, other I.Os regulations remain s</w:t>
      </w:r>
      <w:r>
        <w:rPr>
          <w:rFonts w:ascii="Times New Roman" w:hAnsi="Times New Roman" w:cs="Times New Roman"/>
          <w:sz w:val="24"/>
          <w:szCs w:val="24"/>
          <w:lang w:val="en-US"/>
        </w:rPr>
        <w:t>ilent regarding the law governing their</w:t>
      </w:r>
      <w:r w:rsidR="00823099" w:rsidRPr="0074031E">
        <w:rPr>
          <w:rFonts w:ascii="Times New Roman" w:hAnsi="Times New Roman" w:cs="Times New Roman"/>
          <w:sz w:val="24"/>
          <w:szCs w:val="24"/>
          <w:lang w:val="en-US"/>
        </w:rPr>
        <w:t xml:space="preserve"> contracts. Indeed, in 1977 in Oslo, the </w:t>
      </w:r>
      <w:proofErr w:type="spellStart"/>
      <w:r w:rsidR="00823099" w:rsidRPr="0074031E">
        <w:rPr>
          <w:rFonts w:ascii="Times New Roman" w:hAnsi="Times New Roman" w:cs="Times New Roman"/>
          <w:sz w:val="24"/>
          <w:szCs w:val="24"/>
          <w:lang w:val="en-US"/>
        </w:rPr>
        <w:t>Institut</w:t>
      </w:r>
      <w:proofErr w:type="spellEnd"/>
      <w:r w:rsidR="00823099" w:rsidRPr="0074031E">
        <w:rPr>
          <w:rFonts w:ascii="Times New Roman" w:hAnsi="Times New Roman" w:cs="Times New Roman"/>
          <w:sz w:val="24"/>
          <w:szCs w:val="24"/>
          <w:lang w:val="en-US"/>
        </w:rPr>
        <w:t xml:space="preserve"> of International Law (IDI) prepared a Report on Contracts Concluded by International Organizations with Private Persons </w:t>
      </w:r>
      <w:r w:rsidR="00823099" w:rsidRPr="0074031E">
        <w:rPr>
          <w:rFonts w:ascii="Times New Roman" w:hAnsi="Times New Roman" w:cs="Times New Roman"/>
          <w:sz w:val="24"/>
          <w:szCs w:val="24"/>
          <w:lang w:val="en-US"/>
        </w:rPr>
        <w:lastRenderedPageBreak/>
        <w:t>commanding such contracts to refer expressly to a domestic law as the applicable law of the contract. Thus, several I.Os’ contracts are today refereeing to a specific domestic law of contract, usually the one of the country where their headquarters are located. However, some IOs, noticeable the UN and its agencies, still prefer to refer to “general principles of law including international law” for their applicable law and contractual disputes.</w:t>
      </w:r>
    </w:p>
    <w:p w14:paraId="41D5FB8B" w14:textId="15E852A5" w:rsidR="00EB3012" w:rsidRPr="0074031E" w:rsidRDefault="00EB3012" w:rsidP="00886F11">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Moreover, contractual disputes of such contracts may benefit from the immunities attached to the I.Os’ status. Indeed, the Convention on the Privileges and Immunities of the Specialized Agencies adopted by the General Assembly of the United Nations on 21 November 1947 granted such status to the UN Agencies</w:t>
      </w:r>
      <w:r w:rsidRPr="0074031E">
        <w:rPr>
          <w:rStyle w:val="FootnoteReference"/>
          <w:rFonts w:ascii="Times New Roman" w:hAnsi="Times New Roman" w:cs="Times New Roman"/>
          <w:sz w:val="24"/>
          <w:szCs w:val="24"/>
          <w:lang w:val="en-US"/>
        </w:rPr>
        <w:footnoteReference w:id="49"/>
      </w:r>
      <w:r w:rsidRPr="0074031E">
        <w:rPr>
          <w:rFonts w:ascii="Times New Roman" w:hAnsi="Times New Roman" w:cs="Times New Roman"/>
          <w:sz w:val="24"/>
          <w:szCs w:val="24"/>
          <w:lang w:val="en-US"/>
        </w:rPr>
        <w:t xml:space="preserve">, its </w:t>
      </w:r>
      <w:r w:rsidRPr="0074031E">
        <w:rPr>
          <w:rFonts w:ascii="Times New Roman" w:hAnsi="Times New Roman" w:cs="Times New Roman"/>
          <w:bCs/>
          <w:sz w:val="24"/>
          <w:szCs w:val="24"/>
          <w:lang w:val="en-US"/>
        </w:rPr>
        <w:t>Article IX - Settlement of disputes</w:t>
      </w:r>
      <w:r w:rsidRPr="0074031E">
        <w:rPr>
          <w:rFonts w:ascii="Times New Roman" w:hAnsi="Times New Roman" w:cs="Times New Roman"/>
          <w:sz w:val="24"/>
          <w:szCs w:val="24"/>
          <w:lang w:val="en-US"/>
        </w:rPr>
        <w:t xml:space="preserve"> Section 31 stating: “Each specialized agency shall make provision for appropriate modes of settlement of (…) disputes arising out of contracts or other disputes of private character to which the specialized agency is a party”. </w:t>
      </w:r>
      <w:r w:rsidRPr="0074031E">
        <w:rPr>
          <w:rFonts w:ascii="Times New Roman" w:hAnsi="Times New Roman" w:cs="Times New Roman"/>
          <w:sz w:val="24"/>
          <w:szCs w:val="24"/>
          <w:lang w:val="en"/>
        </w:rPr>
        <w:t>For this reason, UN contractual disputes relating to internal institutional matters, including employment contracts, fall entirely outside the competence of national judges</w:t>
      </w:r>
      <w:r w:rsidRPr="0074031E">
        <w:rPr>
          <w:rStyle w:val="FootnoteReference"/>
          <w:rFonts w:ascii="Times New Roman" w:hAnsi="Times New Roman" w:cs="Times New Roman"/>
          <w:sz w:val="24"/>
          <w:szCs w:val="24"/>
          <w:lang w:val="en"/>
        </w:rPr>
        <w:footnoteReference w:id="50"/>
      </w:r>
      <w:r w:rsidRPr="0074031E">
        <w:rPr>
          <w:rFonts w:ascii="Times New Roman" w:hAnsi="Times New Roman" w:cs="Times New Roman"/>
          <w:sz w:val="24"/>
          <w:szCs w:val="24"/>
          <w:lang w:val="en"/>
        </w:rPr>
        <w:t xml:space="preserve">. </w:t>
      </w:r>
      <w:r w:rsidRPr="0074031E">
        <w:rPr>
          <w:rFonts w:ascii="Times New Roman" w:hAnsi="Times New Roman" w:cs="Times New Roman"/>
          <w:sz w:val="24"/>
          <w:szCs w:val="24"/>
          <w:lang w:val="en-US"/>
        </w:rPr>
        <w:t xml:space="preserve">Actually even if the I.O. may be prosecuted before a domestic court, although eventually pertaining to commercial activities, its contract will be entitled to both </w:t>
      </w:r>
      <w:r w:rsidRPr="0074031E">
        <w:rPr>
          <w:rFonts w:ascii="Times New Roman" w:hAnsi="Times New Roman" w:cs="Times New Roman"/>
          <w:sz w:val="24"/>
          <w:szCs w:val="24"/>
          <w:lang w:val="en"/>
        </w:rPr>
        <w:t>immunity from jurisdiction and from enforcement</w:t>
      </w:r>
      <w:r w:rsidRPr="0074031E">
        <w:rPr>
          <w:rFonts w:ascii="Times New Roman" w:hAnsi="Times New Roman" w:cs="Times New Roman"/>
          <w:sz w:val="24"/>
          <w:szCs w:val="24"/>
          <w:vertAlign w:val="superscript"/>
          <w:lang w:val="en-US"/>
        </w:rPr>
        <w:footnoteReference w:id="51"/>
      </w:r>
      <w:r w:rsidRPr="0074031E">
        <w:rPr>
          <w:rFonts w:ascii="Times New Roman" w:hAnsi="Times New Roman" w:cs="Times New Roman"/>
          <w:sz w:val="24"/>
          <w:szCs w:val="24"/>
          <w:lang w:val="en-US"/>
        </w:rPr>
        <w:t xml:space="preserve">. Two exceptions may be granted only (1) if the founding status or convention of the I.O. specifically waives such immunity or (2) if the I.O. decides to renounce to its immunity by including a special clause in its contracts attributing potential contractual disputes to the local courts, or by including a </w:t>
      </w:r>
      <w:proofErr w:type="spellStart"/>
      <w:r w:rsidRPr="0074031E">
        <w:rPr>
          <w:rFonts w:ascii="Times New Roman" w:hAnsi="Times New Roman" w:cs="Times New Roman"/>
          <w:sz w:val="24"/>
          <w:szCs w:val="24"/>
          <w:lang w:val="en-US"/>
        </w:rPr>
        <w:t>compromissory</w:t>
      </w:r>
      <w:proofErr w:type="spellEnd"/>
      <w:r w:rsidRPr="0074031E">
        <w:rPr>
          <w:rFonts w:ascii="Times New Roman" w:hAnsi="Times New Roman" w:cs="Times New Roman"/>
          <w:sz w:val="24"/>
          <w:szCs w:val="24"/>
          <w:lang w:val="en-US"/>
        </w:rPr>
        <w:t xml:space="preserve"> clause</w:t>
      </w:r>
      <w:r w:rsidRPr="0074031E">
        <w:rPr>
          <w:rStyle w:val="FootnoteReference"/>
          <w:rFonts w:ascii="Times New Roman" w:hAnsi="Times New Roman" w:cs="Times New Roman"/>
          <w:sz w:val="24"/>
          <w:szCs w:val="24"/>
          <w:lang w:val="en-US"/>
        </w:rPr>
        <w:footnoteReference w:id="52"/>
      </w:r>
      <w:r w:rsidRPr="0074031E">
        <w:rPr>
          <w:rFonts w:ascii="Times New Roman" w:hAnsi="Times New Roman" w:cs="Times New Roman"/>
          <w:sz w:val="24"/>
          <w:szCs w:val="24"/>
          <w:lang w:val="en-US"/>
        </w:rPr>
        <w:t xml:space="preserve">.  </w:t>
      </w:r>
    </w:p>
    <w:p w14:paraId="78F12B50" w14:textId="77777777" w:rsidR="00EB3012" w:rsidRPr="0074031E" w:rsidRDefault="00EB3012" w:rsidP="0074031E">
      <w:pPr>
        <w:jc w:val="both"/>
        <w:rPr>
          <w:rFonts w:ascii="Times New Roman" w:hAnsi="Times New Roman" w:cs="Times New Roman"/>
          <w:sz w:val="24"/>
          <w:szCs w:val="24"/>
          <w:lang w:val="en-US"/>
        </w:rPr>
      </w:pPr>
    </w:p>
    <w:p w14:paraId="0B33079A" w14:textId="12F37B91" w:rsidR="003F492F" w:rsidRPr="00886F11" w:rsidRDefault="00886F11" w:rsidP="00886F11">
      <w:pPr>
        <w:pStyle w:val="Heading3"/>
        <w:spacing w:line="276" w:lineRule="auto"/>
        <w:jc w:val="center"/>
        <w:rPr>
          <w:b w:val="0"/>
          <w:smallCaps/>
          <w:sz w:val="24"/>
          <w:szCs w:val="24"/>
          <w:lang w:val="en-US"/>
        </w:rPr>
      </w:pPr>
      <w:r>
        <w:rPr>
          <w:b w:val="0"/>
          <w:smallCaps/>
          <w:sz w:val="24"/>
          <w:szCs w:val="24"/>
          <w:lang w:val="en-US"/>
        </w:rPr>
        <w:t>3</w:t>
      </w:r>
      <w:r w:rsidR="00F86948" w:rsidRPr="00886F11">
        <w:rPr>
          <w:b w:val="0"/>
          <w:smallCaps/>
          <w:sz w:val="24"/>
          <w:szCs w:val="24"/>
          <w:lang w:val="en-US"/>
        </w:rPr>
        <w:t>.</w:t>
      </w:r>
      <w:r>
        <w:rPr>
          <w:b w:val="0"/>
          <w:smallCaps/>
          <w:sz w:val="24"/>
          <w:szCs w:val="24"/>
          <w:lang w:val="en-US"/>
        </w:rPr>
        <w:t xml:space="preserve">    </w:t>
      </w:r>
      <w:r w:rsidR="00F86948" w:rsidRPr="00886F11">
        <w:rPr>
          <w:b w:val="0"/>
          <w:smallCaps/>
          <w:sz w:val="24"/>
          <w:szCs w:val="24"/>
          <w:lang w:val="en-US"/>
        </w:rPr>
        <w:t>-</w:t>
      </w:r>
      <w:r w:rsidR="00F86948" w:rsidRPr="00886F11">
        <w:rPr>
          <w:b w:val="0"/>
          <w:smallCaps/>
          <w:sz w:val="24"/>
          <w:szCs w:val="24"/>
          <w:lang w:val="en-US"/>
        </w:rPr>
        <w:tab/>
      </w:r>
      <w:r w:rsidR="00EB3012" w:rsidRPr="00886F11">
        <w:rPr>
          <w:b w:val="0"/>
          <w:smallCaps/>
          <w:sz w:val="24"/>
          <w:szCs w:val="24"/>
          <w:lang w:val="en-US"/>
        </w:rPr>
        <w:t>Rules governing the challenge</w:t>
      </w:r>
      <w:r w:rsidR="00B06ACE" w:rsidRPr="00886F11">
        <w:rPr>
          <w:b w:val="0"/>
          <w:smallCaps/>
          <w:sz w:val="24"/>
          <w:szCs w:val="24"/>
          <w:lang w:val="en-US"/>
        </w:rPr>
        <w:t xml:space="preserve"> of corporate</w:t>
      </w:r>
      <w:r w:rsidR="009909EF" w:rsidRPr="00886F11">
        <w:rPr>
          <w:b w:val="0"/>
          <w:smallCaps/>
          <w:sz w:val="24"/>
          <w:szCs w:val="24"/>
          <w:lang w:val="en-US"/>
        </w:rPr>
        <w:t xml:space="preserve"> contracts by I</w:t>
      </w:r>
      <w:r w:rsidR="00224221" w:rsidRPr="00886F11">
        <w:rPr>
          <w:b w:val="0"/>
          <w:smallCaps/>
          <w:sz w:val="24"/>
          <w:szCs w:val="24"/>
          <w:lang w:val="en-US"/>
        </w:rPr>
        <w:t>.</w:t>
      </w:r>
      <w:r w:rsidR="009909EF" w:rsidRPr="00886F11">
        <w:rPr>
          <w:b w:val="0"/>
          <w:smallCaps/>
          <w:sz w:val="24"/>
          <w:szCs w:val="24"/>
          <w:lang w:val="en-US"/>
        </w:rPr>
        <w:t>Os</w:t>
      </w:r>
    </w:p>
    <w:p w14:paraId="3F09D5D1" w14:textId="77777777" w:rsidR="000F4A4E" w:rsidRPr="0074031E" w:rsidRDefault="000F4A4E" w:rsidP="0074031E">
      <w:pPr>
        <w:rPr>
          <w:rFonts w:ascii="Times New Roman" w:hAnsi="Times New Roman" w:cs="Times New Roman"/>
          <w:sz w:val="24"/>
          <w:szCs w:val="24"/>
          <w:lang w:val="en-US"/>
        </w:rPr>
      </w:pPr>
    </w:p>
    <w:p w14:paraId="6412B875" w14:textId="77777777" w:rsidR="00FD3906" w:rsidRDefault="00FB0564" w:rsidP="00FD3906">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The</w:t>
      </w:r>
      <w:r w:rsidR="003F492F" w:rsidRPr="0074031E">
        <w:rPr>
          <w:rFonts w:ascii="Times New Roman" w:hAnsi="Times New Roman" w:cs="Times New Roman"/>
          <w:sz w:val="24"/>
          <w:szCs w:val="24"/>
          <w:lang w:val="en-US"/>
        </w:rPr>
        <w:t xml:space="preserve"> immunity status applied to their contractual disputes has also influenced the way I.Os look at protest and challenge mechanisms offered to </w:t>
      </w:r>
      <w:r w:rsidR="00067B04" w:rsidRPr="0074031E">
        <w:rPr>
          <w:rFonts w:ascii="Times New Roman" w:hAnsi="Times New Roman" w:cs="Times New Roman"/>
          <w:sz w:val="24"/>
          <w:szCs w:val="24"/>
          <w:lang w:val="en-US"/>
        </w:rPr>
        <w:t xml:space="preserve">their </w:t>
      </w:r>
      <w:r w:rsidR="003F492F" w:rsidRPr="0074031E">
        <w:rPr>
          <w:rFonts w:ascii="Times New Roman" w:hAnsi="Times New Roman" w:cs="Times New Roman"/>
          <w:sz w:val="24"/>
          <w:szCs w:val="24"/>
          <w:lang w:val="en-US"/>
        </w:rPr>
        <w:t xml:space="preserve">bidders. While the question of contractual immunities for I.Os has been much debated </w:t>
      </w:r>
      <w:r w:rsidR="00886F11">
        <w:rPr>
          <w:rFonts w:ascii="Times New Roman" w:hAnsi="Times New Roman" w:cs="Times New Roman"/>
          <w:sz w:val="24"/>
          <w:szCs w:val="24"/>
          <w:lang w:val="en-US"/>
        </w:rPr>
        <w:t xml:space="preserve">by international lawyers </w:t>
      </w:r>
      <w:r w:rsidR="003F492F" w:rsidRPr="0074031E">
        <w:rPr>
          <w:rFonts w:ascii="Times New Roman" w:hAnsi="Times New Roman" w:cs="Times New Roman"/>
          <w:sz w:val="24"/>
          <w:szCs w:val="24"/>
          <w:lang w:val="en-US"/>
        </w:rPr>
        <w:t>from the contractual claims’ point of views</w:t>
      </w:r>
      <w:r w:rsidR="003F492F" w:rsidRPr="0074031E">
        <w:rPr>
          <w:rStyle w:val="FootnoteReference"/>
          <w:rFonts w:ascii="Times New Roman" w:hAnsi="Times New Roman" w:cs="Times New Roman"/>
          <w:sz w:val="24"/>
          <w:szCs w:val="24"/>
          <w:lang w:val="en-US"/>
        </w:rPr>
        <w:footnoteReference w:id="53"/>
      </w:r>
      <w:r w:rsidR="003F492F" w:rsidRPr="0074031E">
        <w:rPr>
          <w:rFonts w:ascii="Times New Roman" w:hAnsi="Times New Roman" w:cs="Times New Roman"/>
          <w:sz w:val="24"/>
          <w:szCs w:val="24"/>
          <w:lang w:val="en-US"/>
        </w:rPr>
        <w:t>, protests and challenges by I.Os</w:t>
      </w:r>
      <w:r w:rsidR="00886F11">
        <w:rPr>
          <w:rFonts w:ascii="Times New Roman" w:hAnsi="Times New Roman" w:cs="Times New Roman"/>
          <w:sz w:val="24"/>
          <w:szCs w:val="24"/>
          <w:lang w:val="en-US"/>
        </w:rPr>
        <w:t>’ vendors appears</w:t>
      </w:r>
      <w:r w:rsidR="003F492F" w:rsidRPr="0074031E">
        <w:rPr>
          <w:rFonts w:ascii="Times New Roman" w:hAnsi="Times New Roman" w:cs="Times New Roman"/>
          <w:sz w:val="24"/>
          <w:szCs w:val="24"/>
          <w:lang w:val="en-US"/>
        </w:rPr>
        <w:t xml:space="preserve"> to be a </w:t>
      </w:r>
      <w:r w:rsidR="003F492F" w:rsidRPr="0074031E">
        <w:rPr>
          <w:rFonts w:ascii="Times New Roman" w:hAnsi="Times New Roman" w:cs="Times New Roman"/>
          <w:sz w:val="24"/>
          <w:szCs w:val="24"/>
          <w:lang w:val="en-US"/>
        </w:rPr>
        <w:lastRenderedPageBreak/>
        <w:t>rather confidential question, although a very complex one</w:t>
      </w:r>
      <w:r w:rsidR="003F492F" w:rsidRPr="0074031E">
        <w:rPr>
          <w:rStyle w:val="FootnoteReference"/>
          <w:rFonts w:ascii="Times New Roman" w:hAnsi="Times New Roman" w:cs="Times New Roman"/>
          <w:sz w:val="24"/>
          <w:szCs w:val="24"/>
          <w:lang w:val="en-US"/>
        </w:rPr>
        <w:footnoteReference w:id="54"/>
      </w:r>
      <w:r w:rsidR="003F492F" w:rsidRPr="0074031E">
        <w:rPr>
          <w:rFonts w:ascii="Times New Roman" w:hAnsi="Times New Roman" w:cs="Times New Roman"/>
          <w:sz w:val="24"/>
          <w:szCs w:val="24"/>
          <w:lang w:val="en-US"/>
        </w:rPr>
        <w:t>. Mathia</w:t>
      </w:r>
      <w:r w:rsidR="00886F11">
        <w:rPr>
          <w:rFonts w:ascii="Times New Roman" w:hAnsi="Times New Roman" w:cs="Times New Roman"/>
          <w:sz w:val="24"/>
          <w:szCs w:val="24"/>
          <w:lang w:val="en-US"/>
        </w:rPr>
        <w:t>s A</w:t>
      </w:r>
      <w:r w:rsidR="00886F11" w:rsidRPr="00886F11">
        <w:rPr>
          <w:rFonts w:ascii="Times New Roman" w:hAnsi="Times New Roman" w:cs="Times New Roman"/>
          <w:sz w:val="20"/>
          <w:szCs w:val="24"/>
          <w:lang w:val="en-US"/>
        </w:rPr>
        <w:t>UDIT</w:t>
      </w:r>
      <w:r w:rsidR="003F492F" w:rsidRPr="00886F11">
        <w:rPr>
          <w:rFonts w:ascii="Times New Roman" w:hAnsi="Times New Roman" w:cs="Times New Roman"/>
          <w:sz w:val="20"/>
          <w:szCs w:val="24"/>
          <w:lang w:val="en-US"/>
        </w:rPr>
        <w:t xml:space="preserve"> </w:t>
      </w:r>
      <w:r w:rsidR="003F492F" w:rsidRPr="0074031E">
        <w:rPr>
          <w:rFonts w:ascii="Times New Roman" w:hAnsi="Times New Roman" w:cs="Times New Roman"/>
          <w:sz w:val="24"/>
          <w:szCs w:val="24"/>
          <w:lang w:val="en-US"/>
        </w:rPr>
        <w:t>has recently suggested that arbitration could be considered, with both parties consenting to submit potential issues related to the bidding processes</w:t>
      </w:r>
      <w:r w:rsidR="003F492F" w:rsidRPr="0074031E">
        <w:rPr>
          <w:rStyle w:val="FootnoteReference"/>
          <w:rFonts w:ascii="Times New Roman" w:hAnsi="Times New Roman" w:cs="Times New Roman"/>
          <w:sz w:val="24"/>
          <w:szCs w:val="24"/>
          <w:lang w:val="en-US"/>
        </w:rPr>
        <w:footnoteReference w:id="55"/>
      </w:r>
      <w:r w:rsidR="003F492F" w:rsidRPr="0074031E">
        <w:rPr>
          <w:rFonts w:ascii="Times New Roman" w:hAnsi="Times New Roman" w:cs="Times New Roman"/>
          <w:sz w:val="24"/>
          <w:szCs w:val="24"/>
          <w:lang w:val="en-US"/>
        </w:rPr>
        <w:t xml:space="preserve">. However, if arbitration would indeed offer an impartial forum, this dispute mechanism is actually not crafted to resolve objective conflicts, where the issue at stake is not about finding a compromise between subjective rights of two parties, but more about the objective compliance of the procuring entity with the administrative and competition rules governing the bidding method. </w:t>
      </w:r>
      <w:r w:rsidR="00067B04" w:rsidRPr="0074031E">
        <w:rPr>
          <w:rFonts w:ascii="Times New Roman" w:hAnsi="Times New Roman" w:cs="Times New Roman"/>
          <w:sz w:val="24"/>
          <w:szCs w:val="24"/>
          <w:lang w:val="en-US"/>
        </w:rPr>
        <w:t xml:space="preserve">With such substantive question still unresolved, it is not surprising that challenge procedures before I.Os remain diverse and uneven. </w:t>
      </w:r>
    </w:p>
    <w:p w14:paraId="301323BA" w14:textId="594F83F6" w:rsidR="00FB0564" w:rsidRDefault="009622C1" w:rsidP="00FD3906">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So far, discrepancies are still vivid. </w:t>
      </w:r>
      <w:r w:rsidR="00A55A2B" w:rsidRPr="0074031E">
        <w:rPr>
          <w:rFonts w:ascii="Times New Roman" w:hAnsi="Times New Roman" w:cs="Times New Roman"/>
          <w:sz w:val="24"/>
          <w:szCs w:val="24"/>
          <w:lang w:val="en-US"/>
        </w:rPr>
        <w:t xml:space="preserve">Several I.Os have created uncomplete challenge mechanisms, restricted to specific phases, creating unbalanced protection for the companies. </w:t>
      </w:r>
      <w:r w:rsidR="00782435" w:rsidRPr="0074031E">
        <w:rPr>
          <w:rFonts w:ascii="Times New Roman" w:hAnsi="Times New Roman" w:cs="Times New Roman"/>
          <w:sz w:val="24"/>
          <w:szCs w:val="24"/>
          <w:lang w:val="en-US"/>
        </w:rPr>
        <w:t>When existing, these procedurals rules range from minimal to sophisti</w:t>
      </w:r>
      <w:r w:rsidR="00FB0564" w:rsidRPr="0074031E">
        <w:rPr>
          <w:rFonts w:ascii="Times New Roman" w:hAnsi="Times New Roman" w:cs="Times New Roman"/>
          <w:sz w:val="24"/>
          <w:szCs w:val="24"/>
          <w:lang w:val="en-US"/>
        </w:rPr>
        <w:t>cated requirements</w:t>
      </w:r>
      <w:r w:rsidR="00FD3906">
        <w:rPr>
          <w:rFonts w:ascii="Times New Roman" w:hAnsi="Times New Roman" w:cs="Times New Roman"/>
          <w:sz w:val="24"/>
          <w:szCs w:val="24"/>
          <w:lang w:val="en-US"/>
        </w:rPr>
        <w:t>,</w:t>
      </w:r>
      <w:r w:rsidR="00FB0564" w:rsidRPr="0074031E">
        <w:rPr>
          <w:rFonts w:ascii="Times New Roman" w:hAnsi="Times New Roman" w:cs="Times New Roman"/>
          <w:sz w:val="24"/>
          <w:szCs w:val="24"/>
          <w:lang w:val="en-US"/>
        </w:rPr>
        <w:t xml:space="preserve"> </w:t>
      </w:r>
      <w:r w:rsidR="00FD3906">
        <w:rPr>
          <w:rFonts w:ascii="Times New Roman" w:hAnsi="Times New Roman" w:cs="Times New Roman"/>
          <w:sz w:val="24"/>
          <w:szCs w:val="24"/>
          <w:lang w:val="en-US"/>
        </w:rPr>
        <w:t>offering protection almost equivalent to the best domestic</w:t>
      </w:r>
      <w:r w:rsidR="00782435" w:rsidRPr="0074031E">
        <w:rPr>
          <w:rFonts w:ascii="Times New Roman" w:hAnsi="Times New Roman" w:cs="Times New Roman"/>
          <w:sz w:val="24"/>
          <w:szCs w:val="24"/>
          <w:lang w:val="en-US"/>
        </w:rPr>
        <w:t xml:space="preserve"> </w:t>
      </w:r>
      <w:r w:rsidR="00A55A2B" w:rsidRPr="0074031E">
        <w:rPr>
          <w:rFonts w:ascii="Times New Roman" w:hAnsi="Times New Roman" w:cs="Times New Roman"/>
          <w:sz w:val="24"/>
          <w:szCs w:val="24"/>
          <w:lang w:val="en-US"/>
        </w:rPr>
        <w:t xml:space="preserve">challenge </w:t>
      </w:r>
      <w:r w:rsidR="00782435" w:rsidRPr="0074031E">
        <w:rPr>
          <w:rFonts w:ascii="Times New Roman" w:hAnsi="Times New Roman" w:cs="Times New Roman"/>
          <w:sz w:val="24"/>
          <w:szCs w:val="24"/>
          <w:lang w:val="en-US"/>
        </w:rPr>
        <w:t>policies.</w:t>
      </w:r>
    </w:p>
    <w:p w14:paraId="5A8665E2" w14:textId="77777777" w:rsidR="00FD3906" w:rsidRPr="0074031E" w:rsidRDefault="00FD3906" w:rsidP="00FD3906">
      <w:pPr>
        <w:ind w:firstLine="708"/>
        <w:jc w:val="both"/>
        <w:rPr>
          <w:rFonts w:ascii="Times New Roman" w:hAnsi="Times New Roman" w:cs="Times New Roman"/>
          <w:sz w:val="24"/>
          <w:szCs w:val="24"/>
          <w:lang w:val="en-US"/>
        </w:rPr>
      </w:pPr>
    </w:p>
    <w:p w14:paraId="2CB42AFD" w14:textId="2D27DA9A" w:rsidR="0046153D" w:rsidRPr="00FD3906" w:rsidRDefault="00FD3906" w:rsidP="00FD3906">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B55D06" w:rsidRPr="00FD3906">
        <w:rPr>
          <w:rFonts w:ascii="Times New Roman" w:hAnsi="Times New Roman" w:cs="Times New Roman"/>
          <w:sz w:val="24"/>
          <w:szCs w:val="24"/>
          <w:lang w:val="en-US"/>
        </w:rPr>
        <w:t>.1.</w:t>
      </w:r>
      <w:r>
        <w:rPr>
          <w:rFonts w:ascii="Times New Roman" w:hAnsi="Times New Roman" w:cs="Times New Roman"/>
          <w:sz w:val="24"/>
          <w:szCs w:val="24"/>
          <w:lang w:val="en-US"/>
        </w:rPr>
        <w:t xml:space="preserve"> - </w:t>
      </w:r>
      <w:r w:rsidR="00B55D06" w:rsidRPr="00FD3906">
        <w:rPr>
          <w:rFonts w:ascii="Times New Roman" w:hAnsi="Times New Roman" w:cs="Times New Roman"/>
          <w:sz w:val="24"/>
          <w:szCs w:val="24"/>
          <w:lang w:val="en-US"/>
        </w:rPr>
        <w:t xml:space="preserve"> Right of information</w:t>
      </w:r>
    </w:p>
    <w:p w14:paraId="1497610F" w14:textId="77777777" w:rsidR="00B55D06" w:rsidRPr="0074031E" w:rsidRDefault="00B55D06" w:rsidP="0074031E">
      <w:pPr>
        <w:jc w:val="both"/>
        <w:rPr>
          <w:rFonts w:ascii="Times New Roman" w:hAnsi="Times New Roman" w:cs="Times New Roman"/>
          <w:sz w:val="24"/>
          <w:szCs w:val="24"/>
          <w:lang w:val="en-US"/>
        </w:rPr>
      </w:pPr>
    </w:p>
    <w:p w14:paraId="01435DA4" w14:textId="4E7B3F14" w:rsidR="00782435" w:rsidRPr="0074031E" w:rsidRDefault="001D3269" w:rsidP="00FD3906">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At minimum, s</w:t>
      </w:r>
      <w:r w:rsidR="00A55A2B" w:rsidRPr="0074031E">
        <w:rPr>
          <w:rFonts w:ascii="Times New Roman" w:hAnsi="Times New Roman" w:cs="Times New Roman"/>
          <w:sz w:val="24"/>
          <w:szCs w:val="24"/>
          <w:lang w:val="en-US"/>
        </w:rPr>
        <w:t>ome I.Os</w:t>
      </w:r>
      <w:r w:rsidR="00782435" w:rsidRPr="0074031E">
        <w:rPr>
          <w:rFonts w:ascii="Times New Roman" w:hAnsi="Times New Roman" w:cs="Times New Roman"/>
          <w:sz w:val="24"/>
          <w:szCs w:val="24"/>
          <w:lang w:val="en-US"/>
        </w:rPr>
        <w:t xml:space="preserve"> prefer</w:t>
      </w:r>
      <w:r w:rsidR="00FD3906">
        <w:rPr>
          <w:rFonts w:ascii="Times New Roman" w:hAnsi="Times New Roman" w:cs="Times New Roman"/>
          <w:sz w:val="24"/>
          <w:szCs w:val="24"/>
          <w:lang w:val="en-US"/>
        </w:rPr>
        <w:t xml:space="preserve"> to stress</w:t>
      </w:r>
      <w:r w:rsidR="00782435" w:rsidRPr="0074031E">
        <w:rPr>
          <w:rFonts w:ascii="Times New Roman" w:hAnsi="Times New Roman" w:cs="Times New Roman"/>
          <w:sz w:val="24"/>
          <w:szCs w:val="24"/>
          <w:lang w:val="en-US"/>
        </w:rPr>
        <w:t xml:space="preserve"> the right of information attached to the tender phase, either by organizing a procedure for asking question or by organizing a post award transpar</w:t>
      </w:r>
      <w:r w:rsidRPr="0074031E">
        <w:rPr>
          <w:rFonts w:ascii="Times New Roman" w:hAnsi="Times New Roman" w:cs="Times New Roman"/>
          <w:sz w:val="24"/>
          <w:szCs w:val="24"/>
          <w:lang w:val="en-US"/>
        </w:rPr>
        <w:t>enc</w:t>
      </w:r>
      <w:r w:rsidR="00782435" w:rsidRPr="0074031E">
        <w:rPr>
          <w:rFonts w:ascii="Times New Roman" w:hAnsi="Times New Roman" w:cs="Times New Roman"/>
          <w:sz w:val="24"/>
          <w:szCs w:val="24"/>
          <w:lang w:val="en-US"/>
        </w:rPr>
        <w:t xml:space="preserve">y procedure through a </w:t>
      </w:r>
      <w:r w:rsidRPr="0074031E">
        <w:rPr>
          <w:rFonts w:ascii="Times New Roman" w:hAnsi="Times New Roman" w:cs="Times New Roman"/>
          <w:sz w:val="24"/>
          <w:szCs w:val="24"/>
          <w:lang w:val="en-US"/>
        </w:rPr>
        <w:t xml:space="preserve">debriefing phase. </w:t>
      </w:r>
      <w:r w:rsidR="00782435" w:rsidRPr="0074031E">
        <w:rPr>
          <w:rFonts w:ascii="Times New Roman" w:hAnsi="Times New Roman" w:cs="Times New Roman"/>
          <w:sz w:val="24"/>
          <w:szCs w:val="24"/>
          <w:lang w:val="en-US"/>
        </w:rPr>
        <w:t>In the United Nations agencies’ procurement, under the former “UN System Business Guide for Potential suppliers</w:t>
      </w:r>
      <w:r w:rsidR="00FD3906">
        <w:rPr>
          <w:rFonts w:ascii="Times New Roman" w:hAnsi="Times New Roman" w:cs="Times New Roman"/>
          <w:sz w:val="24"/>
          <w:szCs w:val="24"/>
          <w:lang w:val="en-US"/>
        </w:rPr>
        <w:t xml:space="preserve">” of </w:t>
      </w:r>
      <w:r w:rsidR="00445A12" w:rsidRPr="0074031E">
        <w:rPr>
          <w:rFonts w:ascii="Times New Roman" w:hAnsi="Times New Roman" w:cs="Times New Roman"/>
          <w:sz w:val="24"/>
          <w:szCs w:val="24"/>
          <w:lang w:val="en-US"/>
        </w:rPr>
        <w:t>2006</w:t>
      </w:r>
      <w:r w:rsidR="00782435" w:rsidRPr="0074031E">
        <w:rPr>
          <w:rFonts w:ascii="Times New Roman" w:hAnsi="Times New Roman" w:cs="Times New Roman"/>
          <w:sz w:val="24"/>
          <w:szCs w:val="24"/>
          <w:lang w:val="en-US"/>
        </w:rPr>
        <w:t xml:space="preserve"> </w:t>
      </w:r>
      <w:r w:rsidR="00782435" w:rsidRPr="0074031E">
        <w:rPr>
          <w:rStyle w:val="FootnoteReference"/>
          <w:rFonts w:ascii="Times New Roman" w:hAnsi="Times New Roman" w:cs="Times New Roman"/>
          <w:sz w:val="24"/>
          <w:szCs w:val="24"/>
          <w:lang w:val="en-US"/>
        </w:rPr>
        <w:footnoteReference w:id="56"/>
      </w:r>
      <w:r w:rsidR="00782435" w:rsidRPr="0074031E">
        <w:rPr>
          <w:rFonts w:ascii="Times New Roman" w:hAnsi="Times New Roman" w:cs="Times New Roman"/>
          <w:sz w:val="24"/>
          <w:szCs w:val="24"/>
          <w:lang w:val="en-US"/>
        </w:rPr>
        <w:t>,</w:t>
      </w:r>
      <w:r w:rsidR="00445A12" w:rsidRPr="0074031E">
        <w:rPr>
          <w:rFonts w:ascii="Times New Roman" w:hAnsi="Times New Roman" w:cs="Times New Roman"/>
          <w:sz w:val="24"/>
          <w:szCs w:val="24"/>
          <w:lang w:val="en-US"/>
        </w:rPr>
        <w:t xml:space="preserve"> only this</w:t>
      </w:r>
      <w:r w:rsidR="00FD3906">
        <w:rPr>
          <w:rFonts w:ascii="Times New Roman" w:hAnsi="Times New Roman" w:cs="Times New Roman"/>
          <w:sz w:val="24"/>
          <w:szCs w:val="24"/>
          <w:lang w:val="en-US"/>
        </w:rPr>
        <w:t xml:space="preserve"> information step</w:t>
      </w:r>
      <w:r w:rsidR="00782435" w:rsidRPr="0074031E">
        <w:rPr>
          <w:rFonts w:ascii="Times New Roman" w:hAnsi="Times New Roman" w:cs="Times New Roman"/>
          <w:sz w:val="24"/>
          <w:szCs w:val="24"/>
          <w:lang w:val="en-US"/>
        </w:rPr>
        <w:t xml:space="preserve"> was systematically implemented by sending a “letter of regret”. </w:t>
      </w:r>
      <w:r w:rsidR="00445A12" w:rsidRPr="0074031E">
        <w:rPr>
          <w:rFonts w:ascii="Times New Roman" w:hAnsi="Times New Roman" w:cs="Times New Roman"/>
          <w:sz w:val="24"/>
          <w:szCs w:val="24"/>
          <w:lang w:val="en-US"/>
        </w:rPr>
        <w:t>This is not anymore the case with</w:t>
      </w:r>
      <w:r w:rsidR="00782435" w:rsidRPr="0074031E">
        <w:rPr>
          <w:rFonts w:ascii="Times New Roman" w:hAnsi="Times New Roman" w:cs="Times New Roman"/>
          <w:sz w:val="24"/>
          <w:szCs w:val="24"/>
          <w:lang w:val="en-US"/>
        </w:rPr>
        <w:t xml:space="preserve"> the UN Procurement Manual</w:t>
      </w:r>
      <w:r w:rsidR="00445A12" w:rsidRPr="0074031E">
        <w:rPr>
          <w:rFonts w:ascii="Times New Roman" w:hAnsi="Times New Roman" w:cs="Times New Roman"/>
          <w:sz w:val="24"/>
          <w:szCs w:val="24"/>
          <w:lang w:val="en-US"/>
        </w:rPr>
        <w:t xml:space="preserve"> of 2013</w:t>
      </w:r>
      <w:r w:rsidR="00782435" w:rsidRPr="0074031E">
        <w:rPr>
          <w:rStyle w:val="FootnoteReference"/>
          <w:rFonts w:ascii="Times New Roman" w:hAnsi="Times New Roman" w:cs="Times New Roman"/>
          <w:sz w:val="24"/>
          <w:szCs w:val="24"/>
          <w:lang w:val="en-US"/>
        </w:rPr>
        <w:footnoteReference w:id="57"/>
      </w:r>
      <w:r w:rsidR="00782435" w:rsidRPr="0074031E">
        <w:rPr>
          <w:rFonts w:ascii="Times New Roman" w:hAnsi="Times New Roman" w:cs="Times New Roman"/>
          <w:sz w:val="24"/>
          <w:szCs w:val="24"/>
          <w:lang w:val="en-US"/>
        </w:rPr>
        <w:t xml:space="preserve">, </w:t>
      </w:r>
      <w:r w:rsidR="00445A12" w:rsidRPr="0074031E">
        <w:rPr>
          <w:rFonts w:ascii="Times New Roman" w:hAnsi="Times New Roman" w:cs="Times New Roman"/>
          <w:sz w:val="24"/>
          <w:szCs w:val="24"/>
          <w:lang w:val="en-US"/>
        </w:rPr>
        <w:t>where g</w:t>
      </w:r>
      <w:r w:rsidR="00782435" w:rsidRPr="0074031E">
        <w:rPr>
          <w:rFonts w:ascii="Times New Roman" w:hAnsi="Times New Roman" w:cs="Times New Roman"/>
          <w:sz w:val="24"/>
          <w:szCs w:val="24"/>
          <w:lang w:val="en-US"/>
        </w:rPr>
        <w:t xml:space="preserve">uidelines to file a complaint are provided online </w:t>
      </w:r>
      <w:r w:rsidR="00B55D06" w:rsidRPr="0074031E">
        <w:rPr>
          <w:rFonts w:ascii="Times New Roman" w:hAnsi="Times New Roman" w:cs="Times New Roman"/>
          <w:sz w:val="24"/>
          <w:szCs w:val="24"/>
          <w:lang w:val="en-US"/>
        </w:rPr>
        <w:t>completed by an electronic form, notification of the results is mandatory, but debriefing remains facultative.</w:t>
      </w:r>
    </w:p>
    <w:p w14:paraId="0077A9DE" w14:textId="77777777" w:rsidR="00782435" w:rsidRPr="0074031E" w:rsidRDefault="00782435" w:rsidP="00FD3906">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According to the European Central Bank procurement rules, since 2010, unsuccessful tenderer may ask for the reasons of the rejection of their tenders, and, furthermore, they can obtain the name of the winner and access to the key characteristics and relative advantages of his tender. They may even request copies of all documents relating to the evaluation of the successful tender, which goes way beyond the usual practice. However, in 2016, the benefit of such procedure has been restricted to admissible tenderers, and the ECB may shield some information in order to protect commercial or public interests (art.34.4).</w:t>
      </w:r>
    </w:p>
    <w:p w14:paraId="37D7E0C7" w14:textId="6FD6FFEB" w:rsidR="00C67361" w:rsidRPr="0074031E" w:rsidRDefault="00C67361" w:rsidP="0036276B">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lastRenderedPageBreak/>
        <w:t>Some organizations nonetheless make a distinction between communicating to an enterprise the reasons for rejection of its offer and receiving a claim. Thus, the African Development Bank has established basic mechanisms which consist of sending a letter to enterprises informing them of the reasons for their failure, as well as the setting up of an informal procedure for appeals to the same administrative authority and appeals to a higher authority, such as the Director of General Services or a vice-president of the Bank</w:t>
      </w:r>
      <w:r w:rsidRPr="00F97AB6">
        <w:rPr>
          <w:rFonts w:ascii="Times New Roman" w:hAnsi="Times New Roman" w:cs="Times New Roman"/>
          <w:sz w:val="24"/>
          <w:szCs w:val="24"/>
          <w:lang w:val="en-US"/>
        </w:rPr>
        <w:t>. In practice, no appeal seems to have been filed for at least six years.</w:t>
      </w:r>
    </w:p>
    <w:p w14:paraId="73EDFBA0" w14:textId="7591F6CA" w:rsidR="00B55D06" w:rsidRPr="0074031E" w:rsidRDefault="00782435" w:rsidP="004819F3">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Although debriefing of the award decision is often presented as a basic requirement for international procurement standards for domestic procurement, some I</w:t>
      </w:r>
      <w:r w:rsidR="00A55A2B" w:rsidRPr="0074031E">
        <w:rPr>
          <w:rFonts w:ascii="Times New Roman" w:hAnsi="Times New Roman" w:cs="Times New Roman"/>
          <w:sz w:val="24"/>
          <w:szCs w:val="24"/>
          <w:lang w:val="en-US"/>
        </w:rPr>
        <w:t>.</w:t>
      </w:r>
      <w:r w:rsidRPr="0074031E">
        <w:rPr>
          <w:rFonts w:ascii="Times New Roman" w:hAnsi="Times New Roman" w:cs="Times New Roman"/>
          <w:sz w:val="24"/>
          <w:szCs w:val="24"/>
          <w:lang w:val="en-US"/>
        </w:rPr>
        <w:t>Os may still be reluctant to offer such clarification to the bidders. They are fearing that such obligation may offer further grounds for challenge to the bidders. As for the W</w:t>
      </w:r>
      <w:r w:rsidR="00A55A2B" w:rsidRPr="0074031E">
        <w:rPr>
          <w:rFonts w:ascii="Times New Roman" w:hAnsi="Times New Roman" w:cs="Times New Roman"/>
          <w:sz w:val="24"/>
          <w:szCs w:val="24"/>
          <w:lang w:val="en-US"/>
        </w:rPr>
        <w:t xml:space="preserve">orld </w:t>
      </w:r>
      <w:r w:rsidRPr="0074031E">
        <w:rPr>
          <w:rFonts w:ascii="Times New Roman" w:hAnsi="Times New Roman" w:cs="Times New Roman"/>
          <w:sz w:val="24"/>
          <w:szCs w:val="24"/>
          <w:lang w:val="en-US"/>
        </w:rPr>
        <w:t>B</w:t>
      </w:r>
      <w:r w:rsidR="00A55A2B" w:rsidRPr="0074031E">
        <w:rPr>
          <w:rFonts w:ascii="Times New Roman" w:hAnsi="Times New Roman" w:cs="Times New Roman"/>
          <w:sz w:val="24"/>
          <w:szCs w:val="24"/>
          <w:lang w:val="en-US"/>
        </w:rPr>
        <w:t>ank</w:t>
      </w:r>
      <w:r w:rsidRPr="0074031E">
        <w:rPr>
          <w:rFonts w:ascii="Times New Roman" w:hAnsi="Times New Roman" w:cs="Times New Roman"/>
          <w:sz w:val="24"/>
          <w:szCs w:val="24"/>
          <w:lang w:val="en-US"/>
        </w:rPr>
        <w:t>, debriefing remains exceptional and performed only upon request of a vendor and in the case of a highly technical contract. While the scope of the debriefing will be only</w:t>
      </w:r>
      <w:r w:rsidRPr="0074031E">
        <w:rPr>
          <w:rStyle w:val="FootnoteReference"/>
          <w:rFonts w:ascii="Times New Roman" w:hAnsi="Times New Roman" w:cs="Times New Roman"/>
          <w:sz w:val="24"/>
          <w:szCs w:val="24"/>
          <w:lang w:val="en-US"/>
        </w:rPr>
        <w:footnoteReference w:id="58"/>
      </w:r>
      <w:r w:rsidRPr="0074031E">
        <w:rPr>
          <w:rFonts w:ascii="Times New Roman" w:hAnsi="Times New Roman" w:cs="Times New Roman"/>
          <w:sz w:val="24"/>
          <w:szCs w:val="24"/>
          <w:lang w:val="en-US"/>
        </w:rPr>
        <w:t xml:space="preserve"> to identify the technical deficiencies or weaknesses of the offeror’s proposal, the corporate policy excludes to discuss trade secrets and methods, or financial or cost information about other offer; nor evaluation scoring or ranking of the offerors.</w:t>
      </w:r>
      <w:r w:rsidR="00B55D06" w:rsidRPr="0074031E">
        <w:rPr>
          <w:rFonts w:ascii="Times New Roman" w:hAnsi="Times New Roman" w:cs="Times New Roman"/>
          <w:sz w:val="24"/>
          <w:szCs w:val="24"/>
          <w:lang w:val="en-US"/>
        </w:rPr>
        <w:t xml:space="preserve"> </w:t>
      </w:r>
    </w:p>
    <w:p w14:paraId="18AF8557" w14:textId="1E531233" w:rsidR="00B55D06" w:rsidRDefault="00B55D06" w:rsidP="004819F3">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Public information may also be limited: according to its new policy, the World Bank reserves the right to publicly disclose award information of a corporate contract above $250,000, subject to the exceptions of the respective information disclosure policies (Corporate Policy, 2013, 13.2.2.). However, only the name of the vendor, the amount of the contract and a brief description of the contract’s obligations will be actually released.</w:t>
      </w:r>
    </w:p>
    <w:p w14:paraId="27CD4FA9" w14:textId="77777777" w:rsidR="004819F3" w:rsidRPr="0074031E" w:rsidRDefault="004819F3" w:rsidP="004819F3">
      <w:pPr>
        <w:ind w:firstLine="708"/>
        <w:jc w:val="both"/>
        <w:rPr>
          <w:rFonts w:ascii="Times New Roman" w:hAnsi="Times New Roman" w:cs="Times New Roman"/>
          <w:sz w:val="24"/>
          <w:szCs w:val="24"/>
          <w:lang w:val="en-US"/>
        </w:rPr>
      </w:pPr>
    </w:p>
    <w:p w14:paraId="1ACBE09C" w14:textId="4E5CB78C" w:rsidR="00782435" w:rsidRPr="00C62DB5" w:rsidRDefault="00C62DB5" w:rsidP="00C62DB5">
      <w:pPr>
        <w:jc w:val="center"/>
        <w:rPr>
          <w:rFonts w:ascii="Times New Roman" w:hAnsi="Times New Roman" w:cs="Times New Roman"/>
          <w:i/>
          <w:sz w:val="24"/>
          <w:szCs w:val="24"/>
          <w:lang w:val="en-US"/>
        </w:rPr>
      </w:pPr>
      <w:r w:rsidRPr="00C62DB5">
        <w:rPr>
          <w:rFonts w:ascii="Times New Roman" w:hAnsi="Times New Roman" w:cs="Times New Roman"/>
          <w:sz w:val="24"/>
          <w:szCs w:val="24"/>
          <w:lang w:val="en-US"/>
        </w:rPr>
        <w:t xml:space="preserve">3.2 </w:t>
      </w:r>
      <w:r>
        <w:rPr>
          <w:rFonts w:ascii="Times New Roman" w:hAnsi="Times New Roman" w:cs="Times New Roman"/>
          <w:sz w:val="24"/>
          <w:szCs w:val="24"/>
          <w:lang w:val="en-US"/>
        </w:rPr>
        <w:t xml:space="preserve"> </w:t>
      </w:r>
      <w:r w:rsidRPr="00C62D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6153D" w:rsidRPr="00C62DB5">
        <w:rPr>
          <w:rFonts w:ascii="Times New Roman" w:hAnsi="Times New Roman" w:cs="Times New Roman"/>
          <w:i/>
          <w:sz w:val="24"/>
          <w:szCs w:val="24"/>
          <w:lang w:val="en-US"/>
        </w:rPr>
        <w:t>I.O</w:t>
      </w:r>
      <w:r w:rsidR="00782435" w:rsidRPr="00C62DB5">
        <w:rPr>
          <w:rFonts w:ascii="Times New Roman" w:hAnsi="Times New Roman" w:cs="Times New Roman"/>
          <w:i/>
          <w:sz w:val="24"/>
          <w:szCs w:val="24"/>
          <w:lang w:val="en-US"/>
        </w:rPr>
        <w:t>s putting emphasis</w:t>
      </w:r>
      <w:r>
        <w:rPr>
          <w:rFonts w:ascii="Times New Roman" w:hAnsi="Times New Roman" w:cs="Times New Roman"/>
          <w:i/>
          <w:sz w:val="24"/>
          <w:szCs w:val="24"/>
          <w:lang w:val="en-US"/>
        </w:rPr>
        <w:t xml:space="preserve"> on the second tier review body</w:t>
      </w:r>
    </w:p>
    <w:p w14:paraId="0A75BE38" w14:textId="77777777" w:rsidR="004819F3" w:rsidRDefault="004819F3" w:rsidP="0074031E">
      <w:pPr>
        <w:pStyle w:val="NormalWeb"/>
        <w:spacing w:after="450" w:line="276" w:lineRule="auto"/>
        <w:jc w:val="both"/>
        <w:textAlignment w:val="baseline"/>
        <w:rPr>
          <w:lang w:val="en-US"/>
        </w:rPr>
      </w:pPr>
    </w:p>
    <w:p w14:paraId="0213E53B" w14:textId="00B0791C" w:rsidR="00782435" w:rsidRPr="00C62DB5" w:rsidRDefault="00782435" w:rsidP="00C62DB5">
      <w:pPr>
        <w:pStyle w:val="NormalWeb"/>
        <w:spacing w:after="450" w:line="276" w:lineRule="auto"/>
        <w:ind w:firstLine="708"/>
        <w:jc w:val="both"/>
        <w:textAlignment w:val="baseline"/>
        <w:rPr>
          <w:lang w:val="en-US"/>
        </w:rPr>
      </w:pPr>
      <w:r w:rsidRPr="0074031E">
        <w:rPr>
          <w:lang w:val="en-US"/>
        </w:rPr>
        <w:t>I</w:t>
      </w:r>
      <w:r w:rsidR="009622C1" w:rsidRPr="0074031E">
        <w:rPr>
          <w:lang w:val="en-US"/>
        </w:rPr>
        <w:t>.</w:t>
      </w:r>
      <w:r w:rsidR="00A55A2B" w:rsidRPr="0074031E">
        <w:rPr>
          <w:lang w:val="en-US"/>
        </w:rPr>
        <w:t>Os paying</w:t>
      </w:r>
      <w:r w:rsidRPr="0074031E">
        <w:rPr>
          <w:lang w:val="en-US"/>
        </w:rPr>
        <w:t xml:space="preserve"> </w:t>
      </w:r>
      <w:r w:rsidR="009622C1" w:rsidRPr="0074031E">
        <w:rPr>
          <w:lang w:val="en-US"/>
        </w:rPr>
        <w:t xml:space="preserve">minimal </w:t>
      </w:r>
      <w:r w:rsidR="0046153D" w:rsidRPr="0074031E">
        <w:rPr>
          <w:lang w:val="en-US"/>
        </w:rPr>
        <w:t>attention to</w:t>
      </w:r>
      <w:r w:rsidRPr="0074031E">
        <w:rPr>
          <w:lang w:val="en-US"/>
        </w:rPr>
        <w:t xml:space="preserve"> their procurement </w:t>
      </w:r>
      <w:r w:rsidR="00B55D06" w:rsidRPr="0074031E">
        <w:rPr>
          <w:lang w:val="en-US"/>
        </w:rPr>
        <w:t xml:space="preserve">challenge </w:t>
      </w:r>
      <w:r w:rsidRPr="0074031E">
        <w:rPr>
          <w:lang w:val="en-US"/>
        </w:rPr>
        <w:t xml:space="preserve">policies are requesting </w:t>
      </w:r>
      <w:r w:rsidR="00A55A2B" w:rsidRPr="0074031E">
        <w:rPr>
          <w:lang w:val="en-US"/>
        </w:rPr>
        <w:t xml:space="preserve">the bidder’s demand to be </w:t>
      </w:r>
      <w:r w:rsidRPr="0074031E">
        <w:rPr>
          <w:lang w:val="en-US"/>
        </w:rPr>
        <w:t xml:space="preserve">submitted to the procuring entity itself. </w:t>
      </w:r>
      <w:r w:rsidR="001D3269" w:rsidRPr="0074031E">
        <w:rPr>
          <w:lang w:val="en-US"/>
        </w:rPr>
        <w:t>This is the first</w:t>
      </w:r>
      <w:r w:rsidRPr="0074031E">
        <w:rPr>
          <w:lang w:val="en-US"/>
        </w:rPr>
        <w:t xml:space="preserve"> review step. As a second tier, review of the procuring entity’s decision might take place before an internal or an external appeal system. Lacking any international independent body in charge of revie</w:t>
      </w:r>
      <w:r w:rsidR="00A55A2B" w:rsidRPr="0074031E">
        <w:rPr>
          <w:lang w:val="en-US"/>
        </w:rPr>
        <w:t>w</w:t>
      </w:r>
      <w:r w:rsidR="00B55D06" w:rsidRPr="0074031E">
        <w:rPr>
          <w:lang w:val="en-US"/>
        </w:rPr>
        <w:t xml:space="preserve">ing bidders’ complaints, </w:t>
      </w:r>
      <w:r w:rsidRPr="0074031E">
        <w:rPr>
          <w:lang w:val="en-US"/>
        </w:rPr>
        <w:t>I.Os have struggled to set up internal appeal</w:t>
      </w:r>
      <w:r w:rsidR="00A55A2B" w:rsidRPr="0074031E">
        <w:rPr>
          <w:lang w:val="en-US"/>
        </w:rPr>
        <w:t xml:space="preserve"> mechanisms </w:t>
      </w:r>
      <w:r w:rsidRPr="0074031E">
        <w:rPr>
          <w:lang w:val="en-US"/>
        </w:rPr>
        <w:t>in compliance with due process requirements</w:t>
      </w:r>
      <w:r w:rsidR="00C62DB5">
        <w:rPr>
          <w:lang w:val="en-US"/>
        </w:rPr>
        <w:t xml:space="preserve"> and impartiality</w:t>
      </w:r>
      <w:r w:rsidRPr="0074031E">
        <w:rPr>
          <w:lang w:val="en-US"/>
        </w:rPr>
        <w:t xml:space="preserve">. </w:t>
      </w:r>
      <w:r w:rsidR="004819F3">
        <w:rPr>
          <w:lang w:val="en-US"/>
        </w:rPr>
        <w:t>While ESA has created an Agency’s “Industrial Ombudsman” in charge of reviewing procurement decisions</w:t>
      </w:r>
      <w:r w:rsidR="00E3505E">
        <w:rPr>
          <w:lang w:val="en-US"/>
        </w:rPr>
        <w:t xml:space="preserve"> through its written recommendations</w:t>
      </w:r>
      <w:r w:rsidR="004819F3">
        <w:rPr>
          <w:rStyle w:val="FootnoteReference"/>
          <w:lang w:val="en-US"/>
        </w:rPr>
        <w:footnoteReference w:id="59"/>
      </w:r>
      <w:r w:rsidR="004819F3">
        <w:rPr>
          <w:lang w:val="en-US"/>
        </w:rPr>
        <w:t xml:space="preserve">, the UN Procurement Manual relies on </w:t>
      </w:r>
      <w:r w:rsidRPr="0074031E">
        <w:rPr>
          <w:lang w:val="en-US"/>
        </w:rPr>
        <w:t>the Award Review Board (ARB) is a new UN administrative board which reviews complaints by unsuccessful bidders. Its procedures are set by the “Guidelines to file a Procurement Challenge”</w:t>
      </w:r>
      <w:r w:rsidRPr="0074031E">
        <w:rPr>
          <w:rStyle w:val="FootnoteReference"/>
          <w:lang w:val="en-US"/>
        </w:rPr>
        <w:footnoteReference w:id="60"/>
      </w:r>
      <w:r w:rsidRPr="0074031E">
        <w:rPr>
          <w:lang w:val="en-US"/>
        </w:rPr>
        <w:t>, which is intended “</w:t>
      </w:r>
      <w:r w:rsidRPr="0074031E">
        <w:rPr>
          <w:i/>
          <w:lang w:val="en-US"/>
        </w:rPr>
        <w:t xml:space="preserve">to afford an opportunity to file a challenge by UN Vendors who participated in eligible competitive procurement process (i.e. ITB or RFP resulting in awards above USD 200,000), issued by the </w:t>
      </w:r>
      <w:r w:rsidRPr="0074031E">
        <w:rPr>
          <w:i/>
          <w:lang w:val="en-US"/>
        </w:rPr>
        <w:lastRenderedPageBreak/>
        <w:t>UN Procurement Division</w:t>
      </w:r>
      <w:r w:rsidRPr="0074031E">
        <w:rPr>
          <w:lang w:val="en-US"/>
        </w:rPr>
        <w:t>”. Conditions for eligibility of the complaint are detailed. On standing, this new procedure is only open to unsuccessful bidders/proposers, excluding third parties. Regarding its process, filing of a challenge (through a paper or an electronic complaint form) must be within the time limit of 10 business days after a formal debrief meeting. Finally, the review will only be conducted by the ARB if it perceives the case to be substantive.</w:t>
      </w:r>
    </w:p>
    <w:p w14:paraId="425E15A2" w14:textId="1C0A924F" w:rsidR="00782435" w:rsidRPr="0074031E" w:rsidRDefault="00B55D06" w:rsidP="004819F3">
      <w:pPr>
        <w:ind w:firstLine="708"/>
        <w:jc w:val="both"/>
        <w:rPr>
          <w:rFonts w:ascii="Times New Roman" w:hAnsi="Times New Roman" w:cs="Times New Roman"/>
          <w:b/>
          <w:sz w:val="24"/>
          <w:szCs w:val="24"/>
          <w:lang w:val="en-US"/>
        </w:rPr>
      </w:pPr>
      <w:r w:rsidRPr="0074031E">
        <w:rPr>
          <w:rFonts w:ascii="Times New Roman" w:hAnsi="Times New Roman" w:cs="Times New Roman"/>
          <w:sz w:val="24"/>
          <w:szCs w:val="24"/>
          <w:lang w:val="en-US"/>
        </w:rPr>
        <w:t xml:space="preserve">When I.Os detail the rules driving the Second Tier review body, they indeed try to align </w:t>
      </w:r>
      <w:r w:rsidR="00A55A2B" w:rsidRPr="0074031E">
        <w:rPr>
          <w:rFonts w:ascii="Times New Roman" w:hAnsi="Times New Roman" w:cs="Times New Roman"/>
          <w:sz w:val="24"/>
          <w:szCs w:val="24"/>
          <w:lang w:val="en-US"/>
        </w:rPr>
        <w:t>with international best practices</w:t>
      </w:r>
      <w:r w:rsidR="00782435" w:rsidRPr="0074031E">
        <w:rPr>
          <w:rFonts w:ascii="Times New Roman" w:hAnsi="Times New Roman" w:cs="Times New Roman"/>
          <w:sz w:val="24"/>
          <w:szCs w:val="24"/>
          <w:lang w:val="en-US"/>
        </w:rPr>
        <w:t xml:space="preserve">. </w:t>
      </w:r>
      <w:r w:rsidRPr="0074031E">
        <w:rPr>
          <w:rFonts w:ascii="Times New Roman" w:hAnsi="Times New Roman" w:cs="Times New Roman"/>
          <w:sz w:val="24"/>
          <w:szCs w:val="24"/>
          <w:lang w:val="en-US"/>
        </w:rPr>
        <w:t>Such recent move can be found with MDBs. As an example, t</w:t>
      </w:r>
      <w:r w:rsidR="00782435" w:rsidRPr="0074031E">
        <w:rPr>
          <w:rFonts w:ascii="Times New Roman" w:hAnsi="Times New Roman" w:cs="Times New Roman"/>
          <w:sz w:val="24"/>
          <w:szCs w:val="24"/>
          <w:lang w:val="en-US"/>
        </w:rPr>
        <w:t>he African Development Bank procurement regulatio</w:t>
      </w:r>
      <w:r w:rsidR="004819F3">
        <w:rPr>
          <w:rFonts w:ascii="Times New Roman" w:hAnsi="Times New Roman" w:cs="Times New Roman"/>
          <w:sz w:val="24"/>
          <w:szCs w:val="24"/>
          <w:lang w:val="en-US"/>
        </w:rPr>
        <w:t>n based on the Presidential d</w:t>
      </w:r>
      <w:r w:rsidR="00782435" w:rsidRPr="0074031E">
        <w:rPr>
          <w:rFonts w:ascii="Times New Roman" w:hAnsi="Times New Roman" w:cs="Times New Roman"/>
          <w:sz w:val="24"/>
          <w:szCs w:val="24"/>
          <w:lang w:val="en-US"/>
        </w:rPr>
        <w:t>irective No. 05/2013</w:t>
      </w:r>
      <w:r w:rsidR="00782435" w:rsidRPr="0074031E">
        <w:rPr>
          <w:rStyle w:val="FootnoteReference"/>
          <w:rFonts w:ascii="Times New Roman" w:hAnsi="Times New Roman" w:cs="Times New Roman"/>
          <w:sz w:val="24"/>
          <w:szCs w:val="24"/>
          <w:lang w:val="en-US"/>
        </w:rPr>
        <w:footnoteReference w:id="61"/>
      </w:r>
      <w:r w:rsidR="00782435" w:rsidRPr="0074031E">
        <w:rPr>
          <w:rFonts w:ascii="Times New Roman" w:hAnsi="Times New Roman" w:cs="Times New Roman"/>
          <w:sz w:val="24"/>
          <w:szCs w:val="24"/>
          <w:lang w:val="en-US"/>
        </w:rPr>
        <w:t xml:space="preserve"> which sets out the rules concerning corporate procurement activities. It is complemented by a 14 pages Guideline on Award Protest Procedure enacted in September 2015 which includes a form for preparing a protest and a form of appeal which must be used when submitting a complaint.</w:t>
      </w:r>
    </w:p>
    <w:p w14:paraId="5A1ABE86" w14:textId="3A827F1D" w:rsidR="00782435" w:rsidRDefault="00782435" w:rsidP="0074031E">
      <w:pPr>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b/>
      </w:r>
      <w:r w:rsidR="00B55D06" w:rsidRPr="0074031E">
        <w:rPr>
          <w:rFonts w:ascii="Times New Roman" w:hAnsi="Times New Roman" w:cs="Times New Roman"/>
          <w:sz w:val="24"/>
          <w:szCs w:val="24"/>
          <w:lang w:val="en-US"/>
        </w:rPr>
        <w:t>On its side, t</w:t>
      </w:r>
      <w:r w:rsidRPr="0074031E">
        <w:rPr>
          <w:rFonts w:ascii="Times New Roman" w:hAnsi="Times New Roman" w:cs="Times New Roman"/>
          <w:sz w:val="24"/>
          <w:szCs w:val="24"/>
          <w:lang w:val="en-US"/>
        </w:rPr>
        <w:t>he World Bank distinguishes among two types of claims depending on the phas</w:t>
      </w:r>
      <w:r w:rsidR="00B55D06" w:rsidRPr="0074031E">
        <w:rPr>
          <w:rFonts w:ascii="Times New Roman" w:hAnsi="Times New Roman" w:cs="Times New Roman"/>
          <w:sz w:val="24"/>
          <w:szCs w:val="24"/>
          <w:lang w:val="en-US"/>
        </w:rPr>
        <w:t>e of the invitation to tender. During the biding period, t</w:t>
      </w:r>
      <w:r w:rsidRPr="0074031E">
        <w:rPr>
          <w:rFonts w:ascii="Times New Roman" w:hAnsi="Times New Roman" w:cs="Times New Roman"/>
          <w:sz w:val="24"/>
          <w:szCs w:val="24"/>
          <w:lang w:val="en-US"/>
        </w:rPr>
        <w:t>he World Bank Corpo</w:t>
      </w:r>
      <w:r w:rsidR="00B55D06" w:rsidRPr="0074031E">
        <w:rPr>
          <w:rFonts w:ascii="Times New Roman" w:hAnsi="Times New Roman" w:cs="Times New Roman"/>
          <w:sz w:val="24"/>
          <w:szCs w:val="24"/>
          <w:lang w:val="en-US"/>
        </w:rPr>
        <w:t>rate Procurement Policy Summary</w:t>
      </w:r>
      <w:r w:rsidRPr="0074031E">
        <w:rPr>
          <w:rFonts w:ascii="Times New Roman" w:hAnsi="Times New Roman" w:cs="Times New Roman"/>
          <w:sz w:val="24"/>
          <w:szCs w:val="24"/>
          <w:lang w:val="en-US"/>
        </w:rPr>
        <w:t xml:space="preserve"> envisages the protest </w:t>
      </w:r>
      <w:r w:rsidR="00B55D06" w:rsidRPr="0074031E">
        <w:rPr>
          <w:rFonts w:ascii="Times New Roman" w:hAnsi="Times New Roman" w:cs="Times New Roman"/>
          <w:sz w:val="24"/>
          <w:szCs w:val="24"/>
          <w:lang w:val="en-US"/>
        </w:rPr>
        <w:t xml:space="preserve">as a way for attracting </w:t>
      </w:r>
      <w:r w:rsidRPr="0074031E">
        <w:rPr>
          <w:rFonts w:ascii="Times New Roman" w:hAnsi="Times New Roman" w:cs="Times New Roman"/>
          <w:sz w:val="24"/>
          <w:szCs w:val="24"/>
          <w:lang w:val="en-US"/>
        </w:rPr>
        <w:t>attention of the</w:t>
      </w:r>
      <w:r w:rsidR="00B55D06" w:rsidRPr="0074031E">
        <w:rPr>
          <w:rFonts w:ascii="Times New Roman" w:hAnsi="Times New Roman" w:cs="Times New Roman"/>
          <w:sz w:val="24"/>
          <w:szCs w:val="24"/>
          <w:lang w:val="en-US"/>
        </w:rPr>
        <w:t xml:space="preserve"> head of the Procurement Unit about potential</w:t>
      </w:r>
      <w:r w:rsidRPr="0074031E">
        <w:rPr>
          <w:rFonts w:ascii="Times New Roman" w:hAnsi="Times New Roman" w:cs="Times New Roman"/>
          <w:sz w:val="24"/>
          <w:szCs w:val="24"/>
          <w:lang w:val="en-US"/>
        </w:rPr>
        <w:t xml:space="preserve"> errors in the specifica</w:t>
      </w:r>
      <w:r w:rsidR="00B55D06" w:rsidRPr="0074031E">
        <w:rPr>
          <w:rFonts w:ascii="Times New Roman" w:hAnsi="Times New Roman" w:cs="Times New Roman"/>
          <w:sz w:val="24"/>
          <w:szCs w:val="24"/>
          <w:lang w:val="en-US"/>
        </w:rPr>
        <w:t xml:space="preserve">tions or </w:t>
      </w:r>
      <w:r w:rsidRPr="0074031E">
        <w:rPr>
          <w:rFonts w:ascii="Times New Roman" w:hAnsi="Times New Roman" w:cs="Times New Roman"/>
          <w:sz w:val="24"/>
          <w:szCs w:val="24"/>
          <w:lang w:val="en-US"/>
        </w:rPr>
        <w:t>in the bidding documents. Such a protest must be submitted within ten days of the Bank’s issuance of a solicitation. Appeal will be before the GSD Director for a final determination.</w:t>
      </w:r>
      <w:r w:rsidR="00B55D06" w:rsidRPr="0074031E">
        <w:rPr>
          <w:rFonts w:ascii="Times New Roman" w:hAnsi="Times New Roman" w:cs="Times New Roman"/>
          <w:sz w:val="24"/>
          <w:szCs w:val="24"/>
          <w:lang w:val="en-US"/>
        </w:rPr>
        <w:t xml:space="preserve"> </w:t>
      </w:r>
      <w:r w:rsidR="00A922C8" w:rsidRPr="0074031E">
        <w:rPr>
          <w:rFonts w:ascii="Times New Roman" w:hAnsi="Times New Roman" w:cs="Times New Roman"/>
          <w:sz w:val="24"/>
          <w:szCs w:val="24"/>
          <w:lang w:val="en-US"/>
        </w:rPr>
        <w:t xml:space="preserve">Regarding </w:t>
      </w:r>
      <w:r w:rsidR="00B55D06" w:rsidRPr="0074031E">
        <w:rPr>
          <w:rFonts w:ascii="Times New Roman" w:hAnsi="Times New Roman" w:cs="Times New Roman"/>
          <w:sz w:val="24"/>
          <w:szCs w:val="24"/>
          <w:lang w:val="en-US"/>
        </w:rPr>
        <w:t xml:space="preserve">the </w:t>
      </w:r>
      <w:r w:rsidR="00A922C8" w:rsidRPr="0074031E">
        <w:rPr>
          <w:rFonts w:ascii="Times New Roman" w:hAnsi="Times New Roman" w:cs="Times New Roman"/>
          <w:sz w:val="24"/>
          <w:szCs w:val="24"/>
          <w:lang w:val="en-US"/>
        </w:rPr>
        <w:t>award protest procedures</w:t>
      </w:r>
      <w:r w:rsidR="00A922C8" w:rsidRPr="0074031E">
        <w:rPr>
          <w:rStyle w:val="FootnoteReference"/>
          <w:rFonts w:ascii="Times New Roman" w:hAnsi="Times New Roman" w:cs="Times New Roman"/>
          <w:sz w:val="24"/>
          <w:szCs w:val="24"/>
          <w:lang w:val="en-US"/>
        </w:rPr>
        <w:footnoteReference w:id="62"/>
      </w:r>
      <w:r w:rsidR="00A922C8" w:rsidRPr="0074031E">
        <w:rPr>
          <w:rFonts w:ascii="Times New Roman" w:hAnsi="Times New Roman" w:cs="Times New Roman"/>
          <w:sz w:val="24"/>
          <w:szCs w:val="24"/>
          <w:lang w:val="en-US"/>
        </w:rPr>
        <w:t>, the unsuccessful offeror/bidder that wishes to protest must inform, in writing, the World Bank Chief of Corporate Procurement, during the “Notice Period” of 10 business day after the award</w:t>
      </w:r>
      <w:r w:rsidR="00B55D06" w:rsidRPr="0074031E">
        <w:rPr>
          <w:rFonts w:ascii="Times New Roman" w:hAnsi="Times New Roman" w:cs="Times New Roman"/>
          <w:sz w:val="24"/>
          <w:szCs w:val="24"/>
          <w:lang w:val="en-US"/>
        </w:rPr>
        <w:t>, as a standstill period</w:t>
      </w:r>
      <w:r w:rsidR="00A922C8" w:rsidRPr="0074031E">
        <w:rPr>
          <w:rFonts w:ascii="Times New Roman" w:hAnsi="Times New Roman" w:cs="Times New Roman"/>
          <w:sz w:val="24"/>
          <w:szCs w:val="24"/>
          <w:lang w:val="en-US"/>
        </w:rPr>
        <w:t xml:space="preserve">. The offeror must include a detailed statement of all factual and legal grounds for the protest and an explanation of the </w:t>
      </w:r>
      <w:r w:rsidR="00B55D06" w:rsidRPr="0074031E">
        <w:rPr>
          <w:rFonts w:ascii="Times New Roman" w:hAnsi="Times New Roman" w:cs="Times New Roman"/>
          <w:sz w:val="24"/>
          <w:szCs w:val="24"/>
          <w:lang w:val="en-US"/>
        </w:rPr>
        <w:t>alleged</w:t>
      </w:r>
      <w:r w:rsidR="00A922C8" w:rsidRPr="0074031E">
        <w:rPr>
          <w:rFonts w:ascii="Times New Roman" w:hAnsi="Times New Roman" w:cs="Times New Roman"/>
          <w:sz w:val="24"/>
          <w:szCs w:val="24"/>
          <w:lang w:val="en-US"/>
        </w:rPr>
        <w:t xml:space="preserve"> prejudice. Upon receipt of the protest, the Chief of corporate procurement will provide the protestor with a written acknowledgement and initiate a review of the protestor’s allegations.  The protestor will then receive a written notification of the decision and the basis upon which it was made. However, nothing is said by the WB Corporate policy about what type of decision can be made, neither the powers (suspension, annulment? indemnification?) that could be mobilized. The policy just mentions that the decision will be final unless, within 10 business days, the protestor files a written appeal with the Director of GSD. </w:t>
      </w:r>
    </w:p>
    <w:p w14:paraId="0D22D375" w14:textId="77777777" w:rsidR="00C62DB5" w:rsidRPr="0074031E" w:rsidRDefault="00C62DB5" w:rsidP="0074031E">
      <w:pPr>
        <w:jc w:val="both"/>
        <w:rPr>
          <w:rFonts w:ascii="Times New Roman" w:hAnsi="Times New Roman" w:cs="Times New Roman"/>
          <w:sz w:val="24"/>
          <w:szCs w:val="24"/>
          <w:lang w:val="en-US"/>
        </w:rPr>
      </w:pPr>
    </w:p>
    <w:p w14:paraId="2E70B33B" w14:textId="021A231D" w:rsidR="00782435" w:rsidRPr="00C62DB5" w:rsidRDefault="00B55D06" w:rsidP="00C62DB5">
      <w:pPr>
        <w:jc w:val="center"/>
        <w:rPr>
          <w:rFonts w:ascii="Times New Roman" w:hAnsi="Times New Roman" w:cs="Times New Roman"/>
          <w:sz w:val="24"/>
          <w:szCs w:val="24"/>
          <w:lang w:val="en-US"/>
        </w:rPr>
      </w:pPr>
      <w:r w:rsidRPr="00C62DB5">
        <w:rPr>
          <w:rFonts w:ascii="Times New Roman" w:hAnsi="Times New Roman" w:cs="Times New Roman"/>
          <w:sz w:val="24"/>
          <w:szCs w:val="24"/>
          <w:lang w:val="en-US"/>
        </w:rPr>
        <w:t>3.</w:t>
      </w:r>
      <w:r w:rsidR="00C62DB5">
        <w:rPr>
          <w:rFonts w:ascii="Times New Roman" w:hAnsi="Times New Roman" w:cs="Times New Roman"/>
          <w:sz w:val="24"/>
          <w:szCs w:val="24"/>
          <w:lang w:val="en-US"/>
        </w:rPr>
        <w:t xml:space="preserve">3. - </w:t>
      </w:r>
      <w:r w:rsidRPr="00C62DB5">
        <w:rPr>
          <w:rFonts w:ascii="Times New Roman" w:hAnsi="Times New Roman" w:cs="Times New Roman"/>
          <w:sz w:val="24"/>
          <w:szCs w:val="24"/>
          <w:lang w:val="en-US"/>
        </w:rPr>
        <w:t xml:space="preserve"> </w:t>
      </w:r>
      <w:r w:rsidR="00782435" w:rsidRPr="00C62DB5">
        <w:rPr>
          <w:rFonts w:ascii="Times New Roman" w:hAnsi="Times New Roman" w:cs="Times New Roman"/>
          <w:sz w:val="24"/>
          <w:szCs w:val="24"/>
          <w:lang w:val="en-US"/>
        </w:rPr>
        <w:t xml:space="preserve"> </w:t>
      </w:r>
      <w:r w:rsidR="00782435" w:rsidRPr="00C62DB5">
        <w:rPr>
          <w:rFonts w:ascii="Times New Roman" w:hAnsi="Times New Roman" w:cs="Times New Roman"/>
          <w:i/>
          <w:sz w:val="24"/>
          <w:szCs w:val="24"/>
          <w:lang w:val="en-US"/>
        </w:rPr>
        <w:t>Sophisticated challenge rules backed by an external appeal mechanism</w:t>
      </w:r>
    </w:p>
    <w:p w14:paraId="0C16F065" w14:textId="77777777" w:rsidR="00C62DB5" w:rsidRDefault="00C62DB5" w:rsidP="0074031E">
      <w:pPr>
        <w:jc w:val="both"/>
        <w:rPr>
          <w:rFonts w:ascii="Times New Roman" w:hAnsi="Times New Roman" w:cs="Times New Roman"/>
          <w:sz w:val="24"/>
          <w:szCs w:val="24"/>
          <w:lang w:val="en-US"/>
        </w:rPr>
      </w:pPr>
    </w:p>
    <w:p w14:paraId="64571441" w14:textId="4A3F2993" w:rsidR="0046153D" w:rsidRPr="0074031E" w:rsidRDefault="00A55A2B" w:rsidP="00C62DB5">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In the EU, the Financial Regulation</w:t>
      </w:r>
      <w:r w:rsidRPr="0074031E">
        <w:rPr>
          <w:rStyle w:val="FootnoteReference"/>
          <w:rFonts w:ascii="Times New Roman" w:hAnsi="Times New Roman" w:cs="Times New Roman"/>
          <w:sz w:val="24"/>
          <w:szCs w:val="24"/>
          <w:lang w:val="en-US"/>
        </w:rPr>
        <w:footnoteReference w:id="63"/>
      </w:r>
      <w:r w:rsidRPr="0074031E">
        <w:rPr>
          <w:rFonts w:ascii="Times New Roman" w:hAnsi="Times New Roman" w:cs="Times New Roman"/>
          <w:sz w:val="24"/>
          <w:szCs w:val="24"/>
          <w:lang w:val="en-US"/>
        </w:rPr>
        <w:t>, and</w:t>
      </w:r>
      <w:r w:rsidR="00EA7CC4" w:rsidRPr="0074031E">
        <w:rPr>
          <w:rFonts w:ascii="Times New Roman" w:hAnsi="Times New Roman" w:cs="Times New Roman"/>
          <w:sz w:val="24"/>
          <w:szCs w:val="24"/>
          <w:lang w:val="en-US"/>
        </w:rPr>
        <w:t xml:space="preserve"> its </w:t>
      </w:r>
      <w:r w:rsidRPr="0074031E">
        <w:rPr>
          <w:rFonts w:ascii="Times New Roman" w:hAnsi="Times New Roman" w:cs="Times New Roman"/>
          <w:sz w:val="24"/>
          <w:szCs w:val="24"/>
          <w:lang w:val="en-US"/>
        </w:rPr>
        <w:t xml:space="preserve">Rules of </w:t>
      </w:r>
      <w:r w:rsidR="00341CCF" w:rsidRPr="0074031E">
        <w:rPr>
          <w:rFonts w:ascii="Times New Roman" w:hAnsi="Times New Roman" w:cs="Times New Roman"/>
          <w:sz w:val="24"/>
          <w:szCs w:val="24"/>
          <w:lang w:val="en-US"/>
        </w:rPr>
        <w:t>Application apply</w:t>
      </w:r>
      <w:r w:rsidR="00B55D06" w:rsidRPr="0074031E">
        <w:rPr>
          <w:rFonts w:ascii="Times New Roman" w:hAnsi="Times New Roman" w:cs="Times New Roman"/>
          <w:sz w:val="24"/>
          <w:szCs w:val="24"/>
          <w:lang w:val="en-US"/>
        </w:rPr>
        <w:t xml:space="preserve"> </w:t>
      </w:r>
      <w:r w:rsidRPr="0074031E">
        <w:rPr>
          <w:rFonts w:ascii="Times New Roman" w:hAnsi="Times New Roman" w:cs="Times New Roman"/>
          <w:sz w:val="24"/>
          <w:szCs w:val="24"/>
          <w:lang w:val="en-US"/>
        </w:rPr>
        <w:t xml:space="preserve">to procurement </w:t>
      </w:r>
      <w:r w:rsidR="00C62DB5">
        <w:rPr>
          <w:rFonts w:ascii="Times New Roman" w:hAnsi="Times New Roman" w:cs="Times New Roman"/>
          <w:sz w:val="24"/>
          <w:szCs w:val="24"/>
          <w:lang w:val="en-US"/>
        </w:rPr>
        <w:t xml:space="preserve">conducted by </w:t>
      </w:r>
      <w:r w:rsidRPr="0074031E">
        <w:rPr>
          <w:rFonts w:ascii="Times New Roman" w:hAnsi="Times New Roman" w:cs="Times New Roman"/>
          <w:sz w:val="24"/>
          <w:szCs w:val="24"/>
          <w:lang w:val="en-US"/>
        </w:rPr>
        <w:t>European institutions (see above)</w:t>
      </w:r>
      <w:r w:rsidR="00C62DB5">
        <w:rPr>
          <w:rFonts w:ascii="Times New Roman" w:hAnsi="Times New Roman" w:cs="Times New Roman"/>
          <w:sz w:val="24"/>
          <w:szCs w:val="24"/>
          <w:lang w:val="en-US"/>
        </w:rPr>
        <w:t>,</w:t>
      </w:r>
      <w:r w:rsidRPr="0074031E">
        <w:rPr>
          <w:rFonts w:ascii="Times New Roman" w:hAnsi="Times New Roman" w:cs="Times New Roman"/>
          <w:sz w:val="24"/>
          <w:szCs w:val="24"/>
          <w:lang w:val="en-US"/>
        </w:rPr>
        <w:t xml:space="preserve"> </w:t>
      </w:r>
      <w:r w:rsidR="00EA7CC4" w:rsidRPr="0074031E">
        <w:rPr>
          <w:rFonts w:ascii="Times New Roman" w:hAnsi="Times New Roman" w:cs="Times New Roman"/>
          <w:sz w:val="24"/>
          <w:szCs w:val="24"/>
          <w:lang w:val="en-US"/>
        </w:rPr>
        <w:t xml:space="preserve">but </w:t>
      </w:r>
      <w:r w:rsidR="00341CCF" w:rsidRPr="0074031E">
        <w:rPr>
          <w:rFonts w:ascii="Times New Roman" w:hAnsi="Times New Roman" w:cs="Times New Roman"/>
          <w:sz w:val="24"/>
          <w:szCs w:val="24"/>
          <w:lang w:val="en-US"/>
        </w:rPr>
        <w:t>with</w:t>
      </w:r>
      <w:r w:rsidR="00EA7CC4" w:rsidRPr="0074031E">
        <w:rPr>
          <w:rFonts w:ascii="Times New Roman" w:hAnsi="Times New Roman" w:cs="Times New Roman"/>
          <w:sz w:val="24"/>
          <w:szCs w:val="24"/>
          <w:lang w:val="en-US"/>
        </w:rPr>
        <w:t>out any</w:t>
      </w:r>
      <w:r w:rsidR="00341CCF" w:rsidRPr="0074031E">
        <w:rPr>
          <w:rFonts w:ascii="Times New Roman" w:hAnsi="Times New Roman" w:cs="Times New Roman"/>
          <w:sz w:val="24"/>
          <w:szCs w:val="24"/>
          <w:lang w:val="en-US"/>
        </w:rPr>
        <w:t xml:space="preserve"> specific</w:t>
      </w:r>
      <w:r w:rsidRPr="0074031E">
        <w:rPr>
          <w:rFonts w:ascii="Times New Roman" w:hAnsi="Times New Roman" w:cs="Times New Roman"/>
          <w:sz w:val="24"/>
          <w:szCs w:val="24"/>
          <w:lang w:val="en-US"/>
        </w:rPr>
        <w:t xml:space="preserve"> reference to the </w:t>
      </w:r>
      <w:r w:rsidRPr="0074031E">
        <w:rPr>
          <w:rFonts w:ascii="Times New Roman" w:hAnsi="Times New Roman" w:cs="Times New Roman"/>
          <w:sz w:val="24"/>
          <w:szCs w:val="24"/>
          <w:lang w:val="en-US"/>
        </w:rPr>
        <w:lastRenderedPageBreak/>
        <w:t xml:space="preserve">Remedies Directive or to an equivalent system of protest. Nevertheless, it endeavors to lay the groundwork for an effective review mechanism. </w:t>
      </w:r>
    </w:p>
    <w:p w14:paraId="06511A6A" w14:textId="11B25094" w:rsidR="00135734" w:rsidRPr="00EA0D2C" w:rsidRDefault="00EA7CC4" w:rsidP="00C62DB5">
      <w:pPr>
        <w:ind w:firstLine="708"/>
        <w:jc w:val="both"/>
        <w:rPr>
          <w:rFonts w:ascii="Times New Roman" w:hAnsi="Times New Roman" w:cs="Times New Roman"/>
          <w:sz w:val="24"/>
          <w:szCs w:val="24"/>
        </w:rPr>
      </w:pPr>
      <w:r w:rsidRPr="0074031E">
        <w:rPr>
          <w:rFonts w:ascii="Times New Roman" w:hAnsi="Times New Roman" w:cs="Times New Roman"/>
          <w:sz w:val="24"/>
          <w:szCs w:val="24"/>
          <w:lang w:val="en-US"/>
        </w:rPr>
        <w:t xml:space="preserve">First of all, the </w:t>
      </w:r>
      <w:r w:rsidR="00341CCF" w:rsidRPr="0074031E">
        <w:rPr>
          <w:rFonts w:ascii="Times New Roman" w:hAnsi="Times New Roman" w:cs="Times New Roman"/>
          <w:sz w:val="24"/>
          <w:szCs w:val="24"/>
          <w:lang w:val="en-US"/>
        </w:rPr>
        <w:t>Financial Regulation makes a clear distinction between clarification asked by the bidders (FR article 112 &amp; RAP art. 160), information about the award and grounds for rejection of the offer</w:t>
      </w:r>
      <w:r w:rsidR="00C62DB5">
        <w:rPr>
          <w:rFonts w:ascii="Times New Roman" w:hAnsi="Times New Roman" w:cs="Times New Roman"/>
          <w:sz w:val="24"/>
          <w:szCs w:val="24"/>
          <w:lang w:val="en-US"/>
        </w:rPr>
        <w:t xml:space="preserve"> (FR article 113), and challenge</w:t>
      </w:r>
      <w:r w:rsidR="00341CCF" w:rsidRPr="0074031E">
        <w:rPr>
          <w:rFonts w:ascii="Times New Roman" w:hAnsi="Times New Roman" w:cs="Times New Roman"/>
          <w:sz w:val="24"/>
          <w:szCs w:val="24"/>
          <w:lang w:val="en-US"/>
        </w:rPr>
        <w:t xml:space="preserve">. Standstill period lasts 10 days with electronic procedures and 15 days with other means (FR art 118). </w:t>
      </w:r>
      <w:r w:rsidRPr="0074031E">
        <w:rPr>
          <w:rFonts w:ascii="Times New Roman" w:hAnsi="Times New Roman" w:cs="Times New Roman"/>
          <w:sz w:val="24"/>
          <w:szCs w:val="24"/>
          <w:lang w:val="en-US"/>
        </w:rPr>
        <w:t>Although there is no equivalent of the Remedies Directive for contracts entered into by European Institutions, bidders can challenge the award based on article 263 of the TFEU (former 230 EC</w:t>
      </w:r>
      <w:r w:rsidR="00C62DB5">
        <w:rPr>
          <w:rStyle w:val="FootnoteReference"/>
          <w:rFonts w:ascii="Times New Roman" w:hAnsi="Times New Roman" w:cs="Times New Roman"/>
          <w:sz w:val="24"/>
          <w:szCs w:val="24"/>
          <w:lang w:val="en-US"/>
        </w:rPr>
        <w:footnoteReference w:id="64"/>
      </w:r>
      <w:r w:rsidRPr="0074031E">
        <w:rPr>
          <w:rFonts w:ascii="Times New Roman" w:hAnsi="Times New Roman" w:cs="Times New Roman"/>
          <w:sz w:val="24"/>
          <w:szCs w:val="24"/>
          <w:lang w:val="en-US"/>
        </w:rPr>
        <w:t xml:space="preserve">). </w:t>
      </w:r>
      <w:r w:rsidR="00782435" w:rsidRPr="0074031E">
        <w:rPr>
          <w:rFonts w:ascii="Times New Roman" w:hAnsi="Times New Roman" w:cs="Times New Roman"/>
          <w:sz w:val="24"/>
          <w:szCs w:val="24"/>
          <w:lang w:val="en-US"/>
        </w:rPr>
        <w:t xml:space="preserve">With a more elaborated system backed by the European Court of Justice, European institutions have </w:t>
      </w:r>
      <w:r w:rsidR="00C62DB5">
        <w:rPr>
          <w:rFonts w:ascii="Times New Roman" w:hAnsi="Times New Roman" w:cs="Times New Roman"/>
          <w:sz w:val="24"/>
          <w:szCs w:val="24"/>
          <w:lang w:val="en-US"/>
        </w:rPr>
        <w:t>been able to organize a robust</w:t>
      </w:r>
      <w:r w:rsidR="00782435" w:rsidRPr="0074031E">
        <w:rPr>
          <w:rFonts w:ascii="Times New Roman" w:hAnsi="Times New Roman" w:cs="Times New Roman"/>
          <w:sz w:val="24"/>
          <w:szCs w:val="24"/>
          <w:lang w:val="en-US"/>
        </w:rPr>
        <w:t xml:space="preserve"> appeal mechanism. </w:t>
      </w:r>
      <w:r w:rsidR="00A55A2B" w:rsidRPr="0074031E">
        <w:rPr>
          <w:rFonts w:ascii="Times New Roman" w:hAnsi="Times New Roman" w:cs="Times New Roman"/>
          <w:sz w:val="24"/>
          <w:szCs w:val="24"/>
          <w:lang w:val="en-US"/>
        </w:rPr>
        <w:t xml:space="preserve">As stated by article 240 of the EU Treaty (ex-art. </w:t>
      </w:r>
      <w:r w:rsidR="00A55A2B" w:rsidRPr="0074031E">
        <w:rPr>
          <w:rFonts w:ascii="Times New Roman" w:hAnsi="Times New Roman" w:cs="Times New Roman"/>
          <w:sz w:val="24"/>
          <w:szCs w:val="24"/>
        </w:rPr>
        <w:t xml:space="preserve">183) « </w:t>
      </w:r>
      <w:r w:rsidR="00A55A2B" w:rsidRPr="00F97AB6">
        <w:rPr>
          <w:rFonts w:ascii="Times New Roman" w:hAnsi="Times New Roman" w:cs="Times New Roman"/>
          <w:i/>
          <w:iCs/>
          <w:sz w:val="24"/>
          <w:szCs w:val="24"/>
        </w:rPr>
        <w:t>sous réserve des compétences attribuées à la Cour de justice par le présent traité, les litiges auxquels la Communauté est partie ne sont pas, de ce chef, soustraits à la compétence des juridictions nationales</w:t>
      </w:r>
      <w:r w:rsidR="00A55A2B" w:rsidRPr="0074031E">
        <w:rPr>
          <w:rFonts w:ascii="Times New Roman" w:hAnsi="Times New Roman" w:cs="Times New Roman"/>
          <w:sz w:val="24"/>
          <w:szCs w:val="24"/>
        </w:rPr>
        <w:t xml:space="preserve"> ». </w:t>
      </w:r>
    </w:p>
    <w:p w14:paraId="03D3124D" w14:textId="33DA182C" w:rsidR="00782435" w:rsidRPr="0074031E" w:rsidRDefault="00135734" w:rsidP="00C62DB5">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As for the EU institutions</w:t>
      </w:r>
      <w:r w:rsidR="00B55D06" w:rsidRPr="0074031E">
        <w:rPr>
          <w:rFonts w:ascii="Times New Roman" w:hAnsi="Times New Roman" w:cs="Times New Roman"/>
          <w:sz w:val="24"/>
          <w:szCs w:val="24"/>
          <w:lang w:val="en-US"/>
        </w:rPr>
        <w:t xml:space="preserve"> with their own protest mechanisms</w:t>
      </w:r>
      <w:r w:rsidR="00782435" w:rsidRPr="0074031E">
        <w:rPr>
          <w:rFonts w:ascii="Times New Roman" w:hAnsi="Times New Roman" w:cs="Times New Roman"/>
          <w:sz w:val="24"/>
          <w:szCs w:val="24"/>
          <w:lang w:val="en-US"/>
        </w:rPr>
        <w:t xml:space="preserve">, the </w:t>
      </w:r>
      <w:r w:rsidRPr="0074031E">
        <w:rPr>
          <w:rFonts w:ascii="Times New Roman" w:hAnsi="Times New Roman" w:cs="Times New Roman"/>
          <w:sz w:val="24"/>
          <w:szCs w:val="24"/>
          <w:lang w:val="en-US"/>
        </w:rPr>
        <w:t xml:space="preserve">example of </w:t>
      </w:r>
      <w:r w:rsidR="00782435" w:rsidRPr="0074031E">
        <w:rPr>
          <w:rFonts w:ascii="Times New Roman" w:hAnsi="Times New Roman" w:cs="Times New Roman"/>
          <w:sz w:val="24"/>
          <w:szCs w:val="24"/>
          <w:lang w:val="en-US"/>
        </w:rPr>
        <w:t>Central Bank procurement rules of 2007 (art.33 – now art. 39 since 2016)</w:t>
      </w:r>
      <w:r w:rsidR="00782435" w:rsidRPr="0074031E">
        <w:rPr>
          <w:rStyle w:val="FootnoteReference"/>
          <w:rFonts w:ascii="Times New Roman" w:hAnsi="Times New Roman" w:cs="Times New Roman"/>
          <w:sz w:val="24"/>
          <w:szCs w:val="24"/>
          <w:lang w:val="en-US"/>
        </w:rPr>
        <w:footnoteReference w:id="65"/>
      </w:r>
      <w:r w:rsidR="00782435" w:rsidRPr="0074031E">
        <w:rPr>
          <w:rFonts w:ascii="Times New Roman" w:hAnsi="Times New Roman" w:cs="Times New Roman"/>
          <w:sz w:val="24"/>
          <w:szCs w:val="24"/>
          <w:lang w:val="en-US"/>
        </w:rPr>
        <w:t xml:space="preserve"> have designed an “Appeal procedure” before the ECB’s Procurement review Body (PRB). Tenderers and candidates have 15 days from the receipt of the information or of the notification to challenge in writing. “</w:t>
      </w:r>
      <w:r w:rsidR="00782435" w:rsidRPr="0074031E">
        <w:rPr>
          <w:rFonts w:ascii="Times New Roman" w:hAnsi="Times New Roman" w:cs="Times New Roman"/>
          <w:i/>
          <w:sz w:val="24"/>
          <w:szCs w:val="24"/>
          <w:lang w:val="en-US"/>
        </w:rPr>
        <w:t>If the PRB considers that the decision to reject the appellant’s application or tender infringes this decision or general principles of procurement law it shall either order that the tender procedure or parts of it are reiterated or take a final decision. Otherwise the appeal shall be rejected</w:t>
      </w:r>
      <w:r w:rsidR="00782435" w:rsidRPr="0074031E">
        <w:rPr>
          <w:rFonts w:ascii="Times New Roman" w:hAnsi="Times New Roman" w:cs="Times New Roman"/>
          <w:sz w:val="24"/>
          <w:szCs w:val="24"/>
          <w:lang w:val="en-US"/>
        </w:rPr>
        <w:t>”. The PRB shall notify the appellant in writing of its decision within one month following the receipt of the appeal. The decision shall state the reasons on which it is based. The appeal shall not have suspensive effect. If deemed appropriate, the PRB may suspend the procurement procedure or the award of the contract. According to article 34, the ECJ shall have exclusive jurisdiction in any dispute between the ECB and a supplier relating to a procurement procedure. However, the appeal must be exhausted before bringing the matter to the ECJ. “</w:t>
      </w:r>
      <w:r w:rsidR="00782435" w:rsidRPr="0074031E">
        <w:rPr>
          <w:rFonts w:ascii="Times New Roman" w:hAnsi="Times New Roman" w:cs="Times New Roman"/>
          <w:i/>
          <w:sz w:val="24"/>
          <w:szCs w:val="24"/>
          <w:lang w:val="en-US"/>
        </w:rPr>
        <w:t>Time limits set out in the Treaty shall begin to run from the receipt of the appeal decision</w:t>
      </w:r>
      <w:r w:rsidR="00782435" w:rsidRPr="0074031E">
        <w:rPr>
          <w:rFonts w:ascii="Times New Roman" w:hAnsi="Times New Roman" w:cs="Times New Roman"/>
          <w:sz w:val="24"/>
          <w:szCs w:val="24"/>
          <w:lang w:val="en-US"/>
        </w:rPr>
        <w:t xml:space="preserve">”. </w:t>
      </w:r>
    </w:p>
    <w:p w14:paraId="472217DA" w14:textId="02ACDD68" w:rsidR="00782435" w:rsidRPr="0074031E" w:rsidRDefault="00782435" w:rsidP="00C62DB5">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To take care of ECJ decisions on time limit</w:t>
      </w:r>
      <w:r w:rsidRPr="0074031E">
        <w:rPr>
          <w:rStyle w:val="FootnoteReference"/>
          <w:rFonts w:ascii="Times New Roman" w:hAnsi="Times New Roman" w:cs="Times New Roman"/>
          <w:sz w:val="24"/>
          <w:szCs w:val="24"/>
          <w:lang w:val="en-US"/>
        </w:rPr>
        <w:footnoteReference w:id="66"/>
      </w:r>
      <w:r w:rsidRPr="0074031E">
        <w:rPr>
          <w:rFonts w:ascii="Times New Roman" w:hAnsi="Times New Roman" w:cs="Times New Roman"/>
          <w:sz w:val="24"/>
          <w:szCs w:val="24"/>
          <w:lang w:val="en-US"/>
        </w:rPr>
        <w:t xml:space="preserve">, the time frame for raising objections was revised in 2010, to run either from the receipt of the documentation or from the moment the candidates or tenderers become aware of the irregularity or could reasonably have become aware of it (now art.28.2 of the 2016 ECB Procurement rules). </w:t>
      </w:r>
    </w:p>
    <w:p w14:paraId="04F3A978" w14:textId="77777777" w:rsidR="00135734" w:rsidRPr="0074031E" w:rsidRDefault="00135734" w:rsidP="00C62DB5">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For its part, EuropeAid has set up precontractual review mechanisms, distinguishing whether the measure at the origin of the dispute was taken by the Commission or by a country receiving aid. In the first case, Community procedures apply. That is, under Articles 225 and 230 of the EC Treaty (consolidated version), the Court of First Instance shall have jurisdiction in proceedings for cancellation instituted within two months of publication of the measure, of </w:t>
      </w:r>
      <w:r w:rsidRPr="0074031E">
        <w:rPr>
          <w:rFonts w:ascii="Times New Roman" w:hAnsi="Times New Roman" w:cs="Times New Roman"/>
          <w:sz w:val="24"/>
          <w:szCs w:val="24"/>
          <w:lang w:val="en-US"/>
        </w:rPr>
        <w:lastRenderedPageBreak/>
        <w:t>its notification to the plaintiff, or, in the absence thereof, of the day on which it came to the knowledge of the latter. It may also have jurisdiction in proceedings for compensation under Articles 225, 235 and 238 of the EC Treaty (consolidated version). If the disputed precontractual act originates in a third country which is an aid recipient, the enterprise will have to fall back on national review mechanisms, to the extent that they exist. Having been informed of this dispute, the Commission will make its opinion known to the State concerned and may seek an amicable settlement. If the dispute is related to failure to follow the Practical Guide to Contract Procedures for EC External Actions, the Commission may suspend, withhold or recover funding for the contracts concerned.</w:t>
      </w:r>
    </w:p>
    <w:p w14:paraId="09B4D33A" w14:textId="01A2C3E2" w:rsidR="00782435" w:rsidRPr="00F97AB6" w:rsidRDefault="00782435" w:rsidP="00F97AB6">
      <w:pPr>
        <w:ind w:firstLine="708"/>
        <w:jc w:val="both"/>
        <w:rPr>
          <w:rFonts w:ascii="Times New Roman" w:hAnsi="Times New Roman" w:cs="Times New Roman"/>
          <w:sz w:val="24"/>
          <w:szCs w:val="24"/>
        </w:rPr>
      </w:pPr>
      <w:r w:rsidRPr="0074031E">
        <w:rPr>
          <w:rFonts w:ascii="Times New Roman" w:hAnsi="Times New Roman" w:cs="Times New Roman"/>
          <w:sz w:val="24"/>
          <w:szCs w:val="24"/>
          <w:lang w:val="en-US"/>
        </w:rPr>
        <w:t xml:space="preserve">For contracts related to EU external actions, protest are mainly governed </w:t>
      </w:r>
      <w:r w:rsidR="00B55D06" w:rsidRPr="0074031E">
        <w:rPr>
          <w:rFonts w:ascii="Times New Roman" w:hAnsi="Times New Roman" w:cs="Times New Roman"/>
          <w:sz w:val="24"/>
          <w:szCs w:val="24"/>
          <w:lang w:val="en-US"/>
        </w:rPr>
        <w:t xml:space="preserve">by the EU PRAG 2016 </w:t>
      </w:r>
      <w:r w:rsidRPr="0074031E">
        <w:rPr>
          <w:rFonts w:ascii="Times New Roman" w:hAnsi="Times New Roman" w:cs="Times New Roman"/>
          <w:sz w:val="24"/>
          <w:szCs w:val="24"/>
          <w:lang w:val="en-US"/>
        </w:rPr>
        <w:t>which provides for legal remedies</w:t>
      </w:r>
      <w:r w:rsidRPr="0074031E">
        <w:rPr>
          <w:rStyle w:val="FootnoteReference"/>
          <w:rFonts w:ascii="Times New Roman" w:hAnsi="Times New Roman" w:cs="Times New Roman"/>
          <w:sz w:val="24"/>
          <w:szCs w:val="24"/>
          <w:lang w:val="en-US"/>
        </w:rPr>
        <w:footnoteReference w:id="67"/>
      </w:r>
      <w:r w:rsidRPr="0074031E">
        <w:rPr>
          <w:rFonts w:ascii="Times New Roman" w:hAnsi="Times New Roman" w:cs="Times New Roman"/>
          <w:sz w:val="24"/>
          <w:szCs w:val="24"/>
          <w:lang w:val="en-US"/>
        </w:rPr>
        <w:t>. It displays rules for Complaints to the contracting authority, complaints to the European Ombudsman, and ordinary actions. According to the first category, (PRAG 2.4.15.1.) “</w:t>
      </w:r>
      <w:r w:rsidRPr="0074031E">
        <w:rPr>
          <w:rFonts w:ascii="Times New Roman" w:hAnsi="Times New Roman" w:cs="Times New Roman"/>
          <w:i/>
          <w:sz w:val="24"/>
          <w:szCs w:val="24"/>
          <w:lang w:val="en-US"/>
        </w:rPr>
        <w:t>where the European Commission is the contracting authority, the complaint will be sent to the person who took the contested decision, who will endeavor to investigate the complaint and respond within 15 working days. Alternatively, if the candidate, tenderer or applicant is not satisfied with the answer received, he may refer to the relevant geographical director in headquarters. The complaint shall be substantiated and its sole subject shall not be to obtain a second evaluation for no reason other than the complainant disagrees with the final award decision</w:t>
      </w:r>
      <w:r w:rsidRPr="0074031E">
        <w:rPr>
          <w:rFonts w:ascii="Times New Roman" w:hAnsi="Times New Roman" w:cs="Times New Roman"/>
          <w:sz w:val="24"/>
          <w:szCs w:val="24"/>
          <w:lang w:val="en-US"/>
        </w:rPr>
        <w:t>.” Alternatively, the bidder  (PRAG 2016, 2.4.15.3. Ordinary Actions) “adversely affected by an error or irregularity allegedly committed as part of a selection procedure or procurement”, may also file ordinary actions before domestic courts</w:t>
      </w:r>
      <w:r w:rsidRPr="00F97AB6">
        <w:rPr>
          <w:rFonts w:ascii="Times New Roman" w:hAnsi="Times New Roman" w:cs="Times New Roman"/>
          <w:sz w:val="24"/>
          <w:szCs w:val="24"/>
          <w:lang w:val="en-US"/>
        </w:rPr>
        <w:t xml:space="preserve">. </w:t>
      </w:r>
      <w:r w:rsidR="00135734" w:rsidRPr="00F97AB6">
        <w:rPr>
          <w:rFonts w:ascii="Times New Roman" w:hAnsi="Times New Roman" w:cs="Times New Roman"/>
          <w:sz w:val="24"/>
          <w:szCs w:val="24"/>
          <w:lang w:val="en-US"/>
        </w:rPr>
        <w:t>Where the European Commission is the contracting authority, the action shall be launched, in accordance with the rules set out by the TFEU, before the EU General Court which has jurisdiction over acts of the European Commission intended to produce legal effects vis-à-vis third parties - pursuant to Articles 256 and 263 of the Treaty on the Functioning of the European Union (TFEU). The deadline to introduce an action for annulment before the EU General Court against the European Commission's decisions runs from the moment of the publication of the measure, or of its notification to the plaintiff, or, in the absence thereof, of the day on which it came to the knowledge of the latter, as the case may be (pursuant to the TFEU</w:t>
      </w:r>
      <w:r w:rsidR="00B55D06" w:rsidRPr="00F97AB6">
        <w:rPr>
          <w:rFonts w:ascii="Times New Roman" w:hAnsi="Times New Roman" w:cs="Times New Roman"/>
          <w:sz w:val="24"/>
          <w:szCs w:val="24"/>
          <w:lang w:val="en-US"/>
        </w:rPr>
        <w:t>)</w:t>
      </w:r>
      <w:r w:rsidR="00135734" w:rsidRPr="00F97AB6">
        <w:rPr>
          <w:rFonts w:ascii="Times New Roman" w:hAnsi="Times New Roman" w:cs="Times New Roman"/>
          <w:sz w:val="24"/>
          <w:szCs w:val="24"/>
          <w:lang w:val="en-US"/>
        </w:rPr>
        <w:t>.</w:t>
      </w:r>
      <w:r w:rsidR="00B55D06" w:rsidRPr="00F97AB6">
        <w:rPr>
          <w:rFonts w:ascii="Times New Roman" w:hAnsi="Times New Roman" w:cs="Times New Roman"/>
          <w:sz w:val="24"/>
          <w:szCs w:val="24"/>
          <w:lang w:val="en-US"/>
        </w:rPr>
        <w:t xml:space="preserve"> </w:t>
      </w:r>
      <w:r w:rsidR="00B55D06" w:rsidRPr="00F97AB6">
        <w:rPr>
          <w:rFonts w:ascii="Times New Roman" w:hAnsi="Times New Roman" w:cs="Times New Roman"/>
          <w:sz w:val="24"/>
          <w:szCs w:val="24"/>
        </w:rPr>
        <w:t xml:space="preserve">ECJ can </w:t>
      </w:r>
      <w:proofErr w:type="spellStart"/>
      <w:r w:rsidR="00B55D06" w:rsidRPr="00F97AB6">
        <w:rPr>
          <w:rFonts w:ascii="Times New Roman" w:hAnsi="Times New Roman" w:cs="Times New Roman"/>
          <w:sz w:val="24"/>
          <w:szCs w:val="24"/>
        </w:rPr>
        <w:t>annul</w:t>
      </w:r>
      <w:proofErr w:type="spellEnd"/>
      <w:r w:rsidR="00B55D06" w:rsidRPr="00F97AB6">
        <w:rPr>
          <w:rFonts w:ascii="Times New Roman" w:hAnsi="Times New Roman" w:cs="Times New Roman"/>
          <w:sz w:val="24"/>
          <w:szCs w:val="24"/>
        </w:rPr>
        <w:t xml:space="preserve"> the </w:t>
      </w:r>
      <w:proofErr w:type="spellStart"/>
      <w:r w:rsidR="00B55D06" w:rsidRPr="00F97AB6">
        <w:rPr>
          <w:rFonts w:ascii="Times New Roman" w:hAnsi="Times New Roman" w:cs="Times New Roman"/>
          <w:sz w:val="24"/>
          <w:szCs w:val="24"/>
        </w:rPr>
        <w:t>precontractual</w:t>
      </w:r>
      <w:proofErr w:type="spellEnd"/>
      <w:r w:rsidR="00B55D06" w:rsidRPr="00F97AB6">
        <w:rPr>
          <w:rFonts w:ascii="Times New Roman" w:hAnsi="Times New Roman" w:cs="Times New Roman"/>
          <w:sz w:val="24"/>
          <w:szCs w:val="24"/>
        </w:rPr>
        <w:t xml:space="preserve"> </w:t>
      </w:r>
      <w:proofErr w:type="spellStart"/>
      <w:r w:rsidR="00B55D06" w:rsidRPr="00F97AB6">
        <w:rPr>
          <w:rFonts w:ascii="Times New Roman" w:hAnsi="Times New Roman" w:cs="Times New Roman"/>
          <w:sz w:val="24"/>
          <w:szCs w:val="24"/>
        </w:rPr>
        <w:t>acts</w:t>
      </w:r>
      <w:proofErr w:type="spellEnd"/>
      <w:r w:rsidRPr="00F97AB6">
        <w:rPr>
          <w:rFonts w:ascii="Times New Roman" w:hAnsi="Times New Roman" w:cs="Times New Roman"/>
          <w:sz w:val="24"/>
          <w:szCs w:val="24"/>
        </w:rPr>
        <w:t xml:space="preserve">. </w:t>
      </w:r>
    </w:p>
    <w:p w14:paraId="02C159E7" w14:textId="33417276" w:rsidR="00C67361" w:rsidRPr="0074031E" w:rsidRDefault="00C62DB5" w:rsidP="00F97AB6">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46153D" w:rsidRPr="00C62DB5">
        <w:rPr>
          <w:rFonts w:ascii="Times New Roman" w:hAnsi="Times New Roman" w:cs="Times New Roman"/>
          <w:sz w:val="24"/>
          <w:szCs w:val="24"/>
          <w:lang w:val="en-US"/>
        </w:rPr>
        <w:t>.</w:t>
      </w:r>
      <w:r w:rsidR="00C67361" w:rsidRPr="00C62D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67361" w:rsidRPr="00C62DB5">
        <w:rPr>
          <w:rFonts w:ascii="Times New Roman" w:hAnsi="Times New Roman" w:cs="Times New Roman"/>
          <w:i/>
          <w:sz w:val="24"/>
          <w:szCs w:val="24"/>
          <w:lang w:val="en-US"/>
        </w:rPr>
        <w:t>Remaining issues</w:t>
      </w:r>
    </w:p>
    <w:p w14:paraId="5537D7BD" w14:textId="25177B36" w:rsidR="006B4BD1" w:rsidRPr="00C62DB5" w:rsidRDefault="00C62DB5" w:rsidP="00C62DB5">
      <w:pPr>
        <w:jc w:val="center"/>
        <w:rPr>
          <w:rFonts w:ascii="Times New Roman" w:hAnsi="Times New Roman" w:cs="Times New Roman"/>
          <w:i/>
          <w:sz w:val="24"/>
          <w:szCs w:val="24"/>
          <w:lang w:val="en-US"/>
        </w:rPr>
      </w:pPr>
      <w:r>
        <w:rPr>
          <w:rFonts w:ascii="Times New Roman" w:hAnsi="Times New Roman" w:cs="Times New Roman"/>
          <w:sz w:val="24"/>
          <w:szCs w:val="24"/>
          <w:lang w:val="en-US"/>
        </w:rPr>
        <w:t>4</w:t>
      </w:r>
      <w:r w:rsidR="00670B40" w:rsidRPr="00C62DB5">
        <w:rPr>
          <w:rFonts w:ascii="Times New Roman" w:hAnsi="Times New Roman" w:cs="Times New Roman"/>
          <w:sz w:val="24"/>
          <w:szCs w:val="24"/>
          <w:lang w:val="en-US"/>
        </w:rPr>
        <w:t>.1</w:t>
      </w:r>
      <w:r w:rsidR="00BC2AB8" w:rsidRPr="00C62DB5">
        <w:rPr>
          <w:rFonts w:ascii="Times New Roman" w:hAnsi="Times New Roman" w:cs="Times New Roman"/>
          <w:sz w:val="24"/>
          <w:szCs w:val="24"/>
          <w:lang w:val="en-US"/>
        </w:rPr>
        <w:t xml:space="preserve">. </w:t>
      </w:r>
      <w:r w:rsidR="00C67361" w:rsidRPr="00C62DB5">
        <w:rPr>
          <w:rFonts w:ascii="Times New Roman" w:hAnsi="Times New Roman" w:cs="Times New Roman"/>
          <w:i/>
          <w:sz w:val="24"/>
          <w:szCs w:val="24"/>
          <w:lang w:val="en-US"/>
        </w:rPr>
        <w:t>Standing</w:t>
      </w:r>
    </w:p>
    <w:p w14:paraId="0624B017" w14:textId="77777777" w:rsidR="00C62DB5" w:rsidRDefault="00C62DB5" w:rsidP="0074031E">
      <w:pPr>
        <w:jc w:val="both"/>
        <w:rPr>
          <w:rFonts w:ascii="Times New Roman" w:hAnsi="Times New Roman" w:cs="Times New Roman"/>
          <w:sz w:val="24"/>
          <w:szCs w:val="24"/>
          <w:lang w:val="en-US"/>
        </w:rPr>
      </w:pPr>
    </w:p>
    <w:p w14:paraId="55B76F63" w14:textId="1EC26141" w:rsidR="006D6042" w:rsidRPr="0074031E" w:rsidRDefault="00C67361" w:rsidP="00C62DB5">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Standing, or the right to protest, is essentially restricted to bidders. </w:t>
      </w:r>
      <w:r w:rsidR="006D6042" w:rsidRPr="0074031E">
        <w:rPr>
          <w:rFonts w:ascii="Times New Roman" w:hAnsi="Times New Roman" w:cs="Times New Roman"/>
          <w:sz w:val="24"/>
          <w:szCs w:val="24"/>
          <w:lang w:val="en-US"/>
        </w:rPr>
        <w:t xml:space="preserve">In the practice of the IOs studied, only companies that have actually participated in the selection procedure have standing to dispute the outcome or the manner in which it was carried out. These conditions for admissibility of the protest therefore exclude potentially interested firms which were unable or unwilling to submit a bid, and of course citizens. </w:t>
      </w:r>
    </w:p>
    <w:p w14:paraId="1969B7AF" w14:textId="43380E4B" w:rsidR="006D6042" w:rsidRPr="0074031E" w:rsidRDefault="00782435" w:rsidP="00C62DB5">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lastRenderedPageBreak/>
        <w:t>W</w:t>
      </w:r>
      <w:r w:rsidR="006B4BD1" w:rsidRPr="0074031E">
        <w:rPr>
          <w:rFonts w:ascii="Times New Roman" w:hAnsi="Times New Roman" w:cs="Times New Roman"/>
          <w:sz w:val="24"/>
          <w:szCs w:val="24"/>
          <w:lang w:val="en-US"/>
        </w:rPr>
        <w:t xml:space="preserve">orld </w:t>
      </w:r>
      <w:r w:rsidRPr="0074031E">
        <w:rPr>
          <w:rFonts w:ascii="Times New Roman" w:hAnsi="Times New Roman" w:cs="Times New Roman"/>
          <w:sz w:val="24"/>
          <w:szCs w:val="24"/>
          <w:lang w:val="en-US"/>
        </w:rPr>
        <w:t>B</w:t>
      </w:r>
      <w:r w:rsidR="006B4BD1" w:rsidRPr="0074031E">
        <w:rPr>
          <w:rFonts w:ascii="Times New Roman" w:hAnsi="Times New Roman" w:cs="Times New Roman"/>
          <w:sz w:val="24"/>
          <w:szCs w:val="24"/>
          <w:lang w:val="en-US"/>
        </w:rPr>
        <w:t>ank</w:t>
      </w:r>
      <w:r w:rsidRPr="0074031E">
        <w:rPr>
          <w:rFonts w:ascii="Times New Roman" w:hAnsi="Times New Roman" w:cs="Times New Roman"/>
          <w:sz w:val="24"/>
          <w:szCs w:val="24"/>
          <w:lang w:val="en-US"/>
        </w:rPr>
        <w:t xml:space="preserve"> Corporate policy strictly defines standing: Award Debriefing and Protests procedures are available only to offerors/bidders who participated in a Bank Group competitive solicitation and who were not awarded a purchase order or contract. Such procedures are not “available to vendors who did not participate in the solicitation; non-responsive or late offerors/bidders; or when the solicitatio</w:t>
      </w:r>
      <w:r w:rsidR="006B4BD1" w:rsidRPr="0074031E">
        <w:rPr>
          <w:rFonts w:ascii="Times New Roman" w:hAnsi="Times New Roman" w:cs="Times New Roman"/>
          <w:sz w:val="24"/>
          <w:szCs w:val="24"/>
          <w:lang w:val="en-US"/>
        </w:rPr>
        <w:t>n was cancelled by Bank Group”.</w:t>
      </w:r>
      <w:r w:rsidR="00C62DB5">
        <w:rPr>
          <w:rFonts w:ascii="Times New Roman" w:hAnsi="Times New Roman" w:cs="Times New Roman"/>
          <w:sz w:val="24"/>
          <w:szCs w:val="24"/>
          <w:lang w:val="en-US"/>
        </w:rPr>
        <w:t xml:space="preserve"> </w:t>
      </w:r>
      <w:r w:rsidRPr="0074031E">
        <w:rPr>
          <w:rFonts w:ascii="Times New Roman" w:hAnsi="Times New Roman" w:cs="Times New Roman"/>
          <w:sz w:val="24"/>
          <w:szCs w:val="24"/>
          <w:lang w:val="en-US"/>
        </w:rPr>
        <w:t>The African Dev</w:t>
      </w:r>
      <w:r w:rsidR="00C67361" w:rsidRPr="0074031E">
        <w:rPr>
          <w:rFonts w:ascii="Times New Roman" w:hAnsi="Times New Roman" w:cs="Times New Roman"/>
          <w:sz w:val="24"/>
          <w:szCs w:val="24"/>
          <w:lang w:val="en-US"/>
        </w:rPr>
        <w:t>.</w:t>
      </w:r>
      <w:r w:rsidRPr="0074031E">
        <w:rPr>
          <w:rFonts w:ascii="Times New Roman" w:hAnsi="Times New Roman" w:cs="Times New Roman"/>
          <w:sz w:val="24"/>
          <w:szCs w:val="24"/>
          <w:lang w:val="en-US"/>
        </w:rPr>
        <w:t xml:space="preserve"> Bank also restrains protest only to effective bidders who participated but were unsuccessful. Indeed, the Guideline Award Protest Procedure gives a list of “qualification criteria for submitting a protest: the bidder </w:t>
      </w:r>
      <w:r w:rsidR="00670B40" w:rsidRPr="0074031E">
        <w:rPr>
          <w:rFonts w:ascii="Times New Roman" w:hAnsi="Times New Roman" w:cs="Times New Roman"/>
          <w:sz w:val="24"/>
          <w:szCs w:val="24"/>
          <w:lang w:val="en-US"/>
        </w:rPr>
        <w:t>must submit</w:t>
      </w:r>
      <w:r w:rsidRPr="0074031E">
        <w:rPr>
          <w:rFonts w:ascii="Times New Roman" w:hAnsi="Times New Roman" w:cs="Times New Roman"/>
          <w:sz w:val="24"/>
          <w:szCs w:val="24"/>
          <w:lang w:val="en-US"/>
        </w:rPr>
        <w:t xml:space="preserve"> a proposal, on time, for a procurement which was not cancelled by the AFD and his letter of protest was received by the Bank within seven (7) calendar days of issuance of the Bank’s regret letter or debriefing by the Bank. </w:t>
      </w:r>
    </w:p>
    <w:p w14:paraId="3CBB0A1F" w14:textId="3CA23F83" w:rsidR="00670B40" w:rsidRPr="0074031E" w:rsidRDefault="00670B40" w:rsidP="00C62DB5">
      <w:pPr>
        <w:pStyle w:val="FootnoteText"/>
        <w:spacing w:line="276" w:lineRule="auto"/>
        <w:ind w:firstLine="708"/>
        <w:jc w:val="both"/>
        <w:rPr>
          <w:sz w:val="24"/>
          <w:szCs w:val="24"/>
          <w:lang w:val="en-US"/>
        </w:rPr>
      </w:pPr>
      <w:r w:rsidRPr="0074031E">
        <w:rPr>
          <w:sz w:val="24"/>
          <w:szCs w:val="24"/>
          <w:lang w:val="en-US"/>
        </w:rPr>
        <w:t>However, under the PRAG 2016 (2.4.15.2), third parties may bring a complaint to the European Ombudsman: “any citizen of the European Union or any natural or legal person residing or having its registered office in a Member State has the right to complain to the Ombudsman for any instance of maladministration by the European Union institutions (Article 228 of the Treaty on the Functioning of the European Union (TFEU</w:t>
      </w:r>
      <w:r w:rsidRPr="0074031E">
        <w:rPr>
          <w:rStyle w:val="FootnoteReference"/>
          <w:sz w:val="24"/>
          <w:szCs w:val="24"/>
          <w:lang w:val="en-US"/>
        </w:rPr>
        <w:footnoteReference w:id="68"/>
      </w:r>
      <w:r w:rsidRPr="0074031E">
        <w:rPr>
          <w:sz w:val="24"/>
          <w:szCs w:val="24"/>
          <w:lang w:val="en-US"/>
        </w:rPr>
        <w:t xml:space="preserve">)). </w:t>
      </w:r>
    </w:p>
    <w:p w14:paraId="2B92396F" w14:textId="33B5FD2A" w:rsidR="004B097E" w:rsidRPr="0074031E" w:rsidRDefault="004B097E" w:rsidP="00C62DB5">
      <w:pPr>
        <w:jc w:val="both"/>
        <w:rPr>
          <w:rFonts w:ascii="Times New Roman" w:hAnsi="Times New Roman" w:cs="Times New Roman"/>
          <w:sz w:val="24"/>
          <w:szCs w:val="24"/>
          <w:lang w:val="en-US"/>
        </w:rPr>
      </w:pPr>
    </w:p>
    <w:p w14:paraId="15A6BFC5" w14:textId="252AB606" w:rsidR="00670B40" w:rsidRPr="003451AC" w:rsidRDefault="003451AC" w:rsidP="003451A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4.2 - </w:t>
      </w:r>
      <w:r w:rsidR="00670B40" w:rsidRPr="003451AC">
        <w:rPr>
          <w:rFonts w:ascii="Times New Roman" w:hAnsi="Times New Roman" w:cs="Times New Roman"/>
          <w:i/>
          <w:sz w:val="24"/>
          <w:szCs w:val="24"/>
          <w:lang w:val="en-US"/>
        </w:rPr>
        <w:t>Deadlines for protests</w:t>
      </w:r>
    </w:p>
    <w:p w14:paraId="05E0DE36" w14:textId="77777777" w:rsidR="003451AC" w:rsidRDefault="00670B40" w:rsidP="0074031E">
      <w:pPr>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ab/>
      </w:r>
    </w:p>
    <w:p w14:paraId="3917AD5A" w14:textId="46D27530" w:rsidR="00670B40" w:rsidRPr="0074031E" w:rsidRDefault="003451AC" w:rsidP="003451A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I.O.s rules governing protest have usually set limited deadlines. However they often vary from one I.O. to another, without forgetting rules about prior award or post award challenge. </w:t>
      </w:r>
      <w:r w:rsidR="00670B40" w:rsidRPr="0074031E">
        <w:rPr>
          <w:rFonts w:ascii="Times New Roman" w:hAnsi="Times New Roman" w:cs="Times New Roman"/>
          <w:sz w:val="24"/>
          <w:szCs w:val="24"/>
          <w:lang w:val="en-US"/>
        </w:rPr>
        <w:t>Only claims which are filed immediately after the contract is awarded may be accepted. According to EUMETSAT’s General Conditions of Contract, a 30 day period begins to run after the award. This period is reduced to ten days in UNDP and World Bank contracts.</w:t>
      </w:r>
    </w:p>
    <w:p w14:paraId="5C6225CB" w14:textId="3A48D3EA" w:rsidR="00670B40" w:rsidRPr="0074031E" w:rsidRDefault="00670B40" w:rsidP="003451AC">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The African Dev. Bank also restrains protest to limited deadlines. The letter of protest shall be received by the Bank within seven (7) calendar days of issuance of the Bank’s regret letter or debriefing by the Bank. Considering the cross-border nature of these contracts, this very short timeframe seems quite unrealistic and may prevent many unsuccessful bidders to exercise their rights. Although the protest is sent by email, at least sparing days of postal service, this short delay contrasts with the 5 working days allowed for the Bank’s acknowledgment of receiving the complaint and no time frame at all for rendering its decision. The appeal time frame is slightly extended with 7 working days granted. </w:t>
      </w:r>
    </w:p>
    <w:p w14:paraId="251F5629" w14:textId="2B32DF88" w:rsidR="003451AC" w:rsidRDefault="003451AC" w:rsidP="003451A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Such discrepancies among delays not only create obstacles for bidders but they also question the will of I.O.s to align their protest rules with international standards which now rely at least on a 10 days standstill period.</w:t>
      </w:r>
    </w:p>
    <w:p w14:paraId="50C7A236" w14:textId="3E39364A" w:rsidR="00670B40" w:rsidRPr="0074031E" w:rsidRDefault="003451AC" w:rsidP="003451A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B44DE8F" w14:textId="6C1E6261" w:rsidR="00A218B9" w:rsidRPr="003451AC" w:rsidRDefault="003451AC" w:rsidP="003451AC">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r w:rsidR="008B115A" w:rsidRPr="003451AC">
        <w:rPr>
          <w:rFonts w:ascii="Times New Roman" w:hAnsi="Times New Roman" w:cs="Times New Roman"/>
          <w:sz w:val="24"/>
          <w:szCs w:val="24"/>
          <w:lang w:val="en-US"/>
        </w:rPr>
        <w:t xml:space="preserve">. - </w:t>
      </w:r>
      <w:r w:rsidR="008B115A" w:rsidRPr="003451AC">
        <w:rPr>
          <w:rFonts w:ascii="Times New Roman" w:hAnsi="Times New Roman" w:cs="Times New Roman"/>
          <w:i/>
          <w:sz w:val="24"/>
          <w:szCs w:val="24"/>
          <w:lang w:val="en-US"/>
        </w:rPr>
        <w:t xml:space="preserve">The lack of an </w:t>
      </w:r>
      <w:r w:rsidR="00C358A3">
        <w:rPr>
          <w:rFonts w:ascii="Times New Roman" w:hAnsi="Times New Roman" w:cs="Times New Roman"/>
          <w:i/>
          <w:sz w:val="24"/>
          <w:szCs w:val="24"/>
          <w:lang w:val="en-US"/>
        </w:rPr>
        <w:t xml:space="preserve">independent </w:t>
      </w:r>
      <w:r w:rsidR="008B115A" w:rsidRPr="003451AC">
        <w:rPr>
          <w:rFonts w:ascii="Times New Roman" w:hAnsi="Times New Roman" w:cs="Times New Roman"/>
          <w:i/>
          <w:sz w:val="24"/>
          <w:szCs w:val="24"/>
          <w:lang w:val="en-US"/>
        </w:rPr>
        <w:t>appeal</w:t>
      </w:r>
    </w:p>
    <w:p w14:paraId="0289E7F8" w14:textId="77777777" w:rsidR="006D6042" w:rsidRPr="0074031E" w:rsidRDefault="006D6042" w:rsidP="0074031E">
      <w:pPr>
        <w:jc w:val="both"/>
        <w:rPr>
          <w:rFonts w:ascii="Times New Roman" w:hAnsi="Times New Roman" w:cs="Times New Roman"/>
          <w:sz w:val="24"/>
          <w:szCs w:val="24"/>
          <w:lang w:val="en-US"/>
        </w:rPr>
      </w:pPr>
    </w:p>
    <w:p w14:paraId="7E9D7508" w14:textId="22B03514" w:rsidR="003451AC" w:rsidRPr="0074031E" w:rsidRDefault="008E4327" w:rsidP="003451AC">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One of the main critics </w:t>
      </w:r>
      <w:r w:rsidR="00670B40" w:rsidRPr="0074031E">
        <w:rPr>
          <w:rFonts w:ascii="Times New Roman" w:hAnsi="Times New Roman" w:cs="Times New Roman"/>
          <w:sz w:val="24"/>
          <w:szCs w:val="24"/>
          <w:lang w:val="en-US"/>
        </w:rPr>
        <w:t>raised about the current protest system before I.Os is the</w:t>
      </w:r>
      <w:r w:rsidRPr="0074031E">
        <w:rPr>
          <w:rFonts w:ascii="Times New Roman" w:hAnsi="Times New Roman" w:cs="Times New Roman"/>
          <w:sz w:val="24"/>
          <w:szCs w:val="24"/>
          <w:lang w:val="en-US"/>
        </w:rPr>
        <w:t xml:space="preserve"> absence of a </w:t>
      </w:r>
      <w:r w:rsidR="008B115A" w:rsidRPr="0074031E">
        <w:rPr>
          <w:rFonts w:ascii="Times New Roman" w:hAnsi="Times New Roman" w:cs="Times New Roman"/>
          <w:sz w:val="24"/>
          <w:szCs w:val="24"/>
          <w:lang w:val="en-US"/>
        </w:rPr>
        <w:t>neutral forum for appeal</w:t>
      </w:r>
      <w:r w:rsidRPr="0074031E">
        <w:rPr>
          <w:rFonts w:ascii="Times New Roman" w:hAnsi="Times New Roman" w:cs="Times New Roman"/>
          <w:sz w:val="24"/>
          <w:szCs w:val="24"/>
          <w:lang w:val="en-US"/>
        </w:rPr>
        <w:t xml:space="preserve">. </w:t>
      </w:r>
      <w:r w:rsidR="00670B40" w:rsidRPr="0074031E">
        <w:rPr>
          <w:rFonts w:ascii="Times New Roman" w:hAnsi="Times New Roman" w:cs="Times New Roman"/>
          <w:sz w:val="24"/>
          <w:szCs w:val="24"/>
          <w:lang w:val="en-US"/>
        </w:rPr>
        <w:t>Usually</w:t>
      </w:r>
      <w:r w:rsidR="008B115A" w:rsidRPr="0074031E">
        <w:rPr>
          <w:rFonts w:ascii="Times New Roman" w:hAnsi="Times New Roman" w:cs="Times New Roman"/>
          <w:sz w:val="24"/>
          <w:szCs w:val="24"/>
          <w:lang w:val="en-US"/>
        </w:rPr>
        <w:t xml:space="preserve">, the protest is addressed either </w:t>
      </w:r>
      <w:r w:rsidR="003451AC">
        <w:rPr>
          <w:rFonts w:ascii="Times New Roman" w:hAnsi="Times New Roman" w:cs="Times New Roman"/>
          <w:sz w:val="24"/>
          <w:szCs w:val="24"/>
          <w:lang w:val="en-US"/>
        </w:rPr>
        <w:t>to the author of the decision</w:t>
      </w:r>
      <w:r w:rsidR="008B115A" w:rsidRPr="0074031E">
        <w:rPr>
          <w:rFonts w:ascii="Times New Roman" w:hAnsi="Times New Roman" w:cs="Times New Roman"/>
          <w:sz w:val="24"/>
          <w:szCs w:val="24"/>
          <w:lang w:val="en-US"/>
        </w:rPr>
        <w:t xml:space="preserve"> reject</w:t>
      </w:r>
      <w:r w:rsidR="003451AC">
        <w:rPr>
          <w:rFonts w:ascii="Times New Roman" w:hAnsi="Times New Roman" w:cs="Times New Roman"/>
          <w:sz w:val="24"/>
          <w:szCs w:val="24"/>
          <w:lang w:val="en-US"/>
        </w:rPr>
        <w:t>ing</w:t>
      </w:r>
      <w:r w:rsidR="008B115A" w:rsidRPr="0074031E">
        <w:rPr>
          <w:rFonts w:ascii="Times New Roman" w:hAnsi="Times New Roman" w:cs="Times New Roman"/>
          <w:sz w:val="24"/>
          <w:szCs w:val="24"/>
          <w:lang w:val="en-US"/>
        </w:rPr>
        <w:t xml:space="preserve"> the bid, or to his</w:t>
      </w:r>
      <w:r w:rsidR="003451AC">
        <w:rPr>
          <w:rFonts w:ascii="Times New Roman" w:hAnsi="Times New Roman" w:cs="Times New Roman"/>
          <w:sz w:val="24"/>
          <w:szCs w:val="24"/>
          <w:lang w:val="en-US"/>
        </w:rPr>
        <w:t>/her</w:t>
      </w:r>
      <w:r w:rsidR="008B115A" w:rsidRPr="0074031E">
        <w:rPr>
          <w:rFonts w:ascii="Times New Roman" w:hAnsi="Times New Roman" w:cs="Times New Roman"/>
          <w:sz w:val="24"/>
          <w:szCs w:val="24"/>
          <w:lang w:val="en-US"/>
        </w:rPr>
        <w:t xml:space="preserve"> immediate supervisor when he</w:t>
      </w:r>
      <w:r w:rsidR="003451AC">
        <w:rPr>
          <w:rFonts w:ascii="Times New Roman" w:hAnsi="Times New Roman" w:cs="Times New Roman"/>
          <w:sz w:val="24"/>
          <w:szCs w:val="24"/>
          <w:lang w:val="en-US"/>
        </w:rPr>
        <w:t>/she</w:t>
      </w:r>
      <w:r w:rsidR="008B115A" w:rsidRPr="0074031E">
        <w:rPr>
          <w:rFonts w:ascii="Times New Roman" w:hAnsi="Times New Roman" w:cs="Times New Roman"/>
          <w:sz w:val="24"/>
          <w:szCs w:val="24"/>
          <w:lang w:val="en-US"/>
        </w:rPr>
        <w:t xml:space="preserve"> is the chief of procurement (as in the case of EUMETSAT</w:t>
      </w:r>
      <w:r w:rsidR="003451AC">
        <w:rPr>
          <w:rFonts w:ascii="Times New Roman" w:hAnsi="Times New Roman" w:cs="Times New Roman"/>
          <w:sz w:val="24"/>
          <w:szCs w:val="24"/>
          <w:lang w:val="en-US"/>
        </w:rPr>
        <w:t>) or to the Vice-President in charge of corporate s</w:t>
      </w:r>
      <w:r w:rsidR="008B115A" w:rsidRPr="0074031E">
        <w:rPr>
          <w:rFonts w:ascii="Times New Roman" w:hAnsi="Times New Roman" w:cs="Times New Roman"/>
          <w:sz w:val="24"/>
          <w:szCs w:val="24"/>
          <w:lang w:val="en-US"/>
        </w:rPr>
        <w:t>ervices</w:t>
      </w:r>
      <w:r w:rsidR="003451AC">
        <w:rPr>
          <w:rFonts w:ascii="Times New Roman" w:hAnsi="Times New Roman" w:cs="Times New Roman"/>
          <w:sz w:val="24"/>
          <w:szCs w:val="24"/>
          <w:lang w:val="en-US"/>
        </w:rPr>
        <w:t>,</w:t>
      </w:r>
      <w:r w:rsidR="008B115A" w:rsidRPr="0074031E">
        <w:rPr>
          <w:rFonts w:ascii="Times New Roman" w:hAnsi="Times New Roman" w:cs="Times New Roman"/>
          <w:sz w:val="24"/>
          <w:szCs w:val="24"/>
          <w:lang w:val="en-US"/>
        </w:rPr>
        <w:t xml:space="preserve"> but in consultation with the Director of Procurement and Fiduciary Services Department who has initially decided the case (African Dev</w:t>
      </w:r>
      <w:r w:rsidR="006D6042" w:rsidRPr="0074031E">
        <w:rPr>
          <w:rFonts w:ascii="Times New Roman" w:hAnsi="Times New Roman" w:cs="Times New Roman"/>
          <w:sz w:val="24"/>
          <w:szCs w:val="24"/>
          <w:lang w:val="en-US"/>
        </w:rPr>
        <w:t>.</w:t>
      </w:r>
      <w:r w:rsidR="008B115A" w:rsidRPr="0074031E">
        <w:rPr>
          <w:rFonts w:ascii="Times New Roman" w:hAnsi="Times New Roman" w:cs="Times New Roman"/>
          <w:sz w:val="24"/>
          <w:szCs w:val="24"/>
          <w:lang w:val="en-US"/>
        </w:rPr>
        <w:t xml:space="preserve"> Bank). </w:t>
      </w:r>
      <w:r w:rsidR="003451AC" w:rsidRPr="0074031E">
        <w:rPr>
          <w:rFonts w:ascii="Times New Roman" w:hAnsi="Times New Roman" w:cs="Times New Roman"/>
          <w:sz w:val="24"/>
          <w:szCs w:val="24"/>
          <w:lang w:val="en-US"/>
        </w:rPr>
        <w:t xml:space="preserve">Only in EU, </w:t>
      </w:r>
      <w:r w:rsidR="003451AC">
        <w:rPr>
          <w:rFonts w:ascii="Times New Roman" w:hAnsi="Times New Roman" w:cs="Times New Roman"/>
          <w:sz w:val="24"/>
          <w:szCs w:val="24"/>
          <w:lang w:val="en-US"/>
        </w:rPr>
        <w:t xml:space="preserve">truly </w:t>
      </w:r>
      <w:r w:rsidR="003451AC" w:rsidRPr="0074031E">
        <w:rPr>
          <w:rFonts w:ascii="Times New Roman" w:hAnsi="Times New Roman" w:cs="Times New Roman"/>
          <w:sz w:val="24"/>
          <w:szCs w:val="24"/>
          <w:lang w:val="en-US"/>
        </w:rPr>
        <w:t>external review mechanisms are available, such as the European Ombudsman. (</w:t>
      </w:r>
      <w:r w:rsidR="003451AC" w:rsidRPr="00F97AB6">
        <w:rPr>
          <w:rFonts w:ascii="Times New Roman" w:hAnsi="Times New Roman" w:cs="Times New Roman"/>
          <w:bCs/>
          <w:sz w:val="24"/>
          <w:szCs w:val="24"/>
          <w:lang w:val="en-US"/>
        </w:rPr>
        <w:t>EU : PRAG 2014</w:t>
      </w:r>
      <w:r w:rsidR="003451AC" w:rsidRPr="0074031E">
        <w:rPr>
          <w:rFonts w:ascii="Times New Roman" w:hAnsi="Times New Roman" w:cs="Times New Roman"/>
          <w:sz w:val="24"/>
          <w:szCs w:val="24"/>
          <w:lang w:val="en-US"/>
        </w:rPr>
        <w:t xml:space="preserve"> 2.4.15.2)</w:t>
      </w:r>
      <w:r w:rsidR="003451AC" w:rsidRPr="0074031E">
        <w:rPr>
          <w:rStyle w:val="FootnoteReference"/>
          <w:rFonts w:ascii="Times New Roman" w:hAnsi="Times New Roman" w:cs="Times New Roman"/>
          <w:sz w:val="24"/>
          <w:szCs w:val="24"/>
          <w:lang w:val="en-US"/>
        </w:rPr>
        <w:footnoteReference w:id="69"/>
      </w:r>
      <w:r w:rsidR="003451AC">
        <w:rPr>
          <w:rFonts w:ascii="Times New Roman" w:hAnsi="Times New Roman" w:cs="Times New Roman"/>
          <w:sz w:val="24"/>
          <w:szCs w:val="24"/>
          <w:lang w:val="en-US"/>
        </w:rPr>
        <w:t>,</w:t>
      </w:r>
      <w:r w:rsidR="003451AC" w:rsidRPr="0074031E">
        <w:rPr>
          <w:rFonts w:ascii="Times New Roman" w:hAnsi="Times New Roman" w:cs="Times New Roman"/>
          <w:sz w:val="24"/>
          <w:szCs w:val="24"/>
          <w:lang w:val="en-US"/>
        </w:rPr>
        <w:t xml:space="preserve"> and </w:t>
      </w:r>
      <w:r w:rsidR="003451AC">
        <w:rPr>
          <w:rFonts w:ascii="Times New Roman" w:hAnsi="Times New Roman" w:cs="Times New Roman"/>
          <w:sz w:val="24"/>
          <w:szCs w:val="24"/>
          <w:lang w:val="en-US"/>
        </w:rPr>
        <w:t xml:space="preserve">then the </w:t>
      </w:r>
      <w:r w:rsidR="003451AC" w:rsidRPr="0074031E">
        <w:rPr>
          <w:rFonts w:ascii="Times New Roman" w:hAnsi="Times New Roman" w:cs="Times New Roman"/>
          <w:sz w:val="24"/>
          <w:szCs w:val="24"/>
          <w:lang w:val="en-US"/>
        </w:rPr>
        <w:t>appeal before the ECJ.</w:t>
      </w:r>
    </w:p>
    <w:p w14:paraId="19CD1648" w14:textId="66B66715" w:rsidR="00670B40" w:rsidRPr="0074031E" w:rsidRDefault="003451AC" w:rsidP="003451A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I.O.s try to mitigate the potential criticism of partiality by having a collective decision deciding on the merits of the challenge. </w:t>
      </w:r>
      <w:r w:rsidR="006D6042" w:rsidRPr="0074031E">
        <w:rPr>
          <w:rFonts w:ascii="Times New Roman" w:hAnsi="Times New Roman" w:cs="Times New Roman"/>
          <w:sz w:val="24"/>
          <w:szCs w:val="24"/>
          <w:lang w:val="en-US"/>
        </w:rPr>
        <w:t>At EBRD, the review of any complaints with respect to Tendering and Contract awards shall be referred to the Procurement Complaints Committee ("PCC"). Complaints relating to fraud or corruption must be referred to the Office of the Chief Compliance Officer for further investigation (2014 Corporate Procurement policy). However, in al</w:t>
      </w:r>
      <w:r>
        <w:rPr>
          <w:rFonts w:ascii="Times New Roman" w:hAnsi="Times New Roman" w:cs="Times New Roman"/>
          <w:sz w:val="24"/>
          <w:szCs w:val="24"/>
          <w:lang w:val="en-US"/>
        </w:rPr>
        <w:t>l these</w:t>
      </w:r>
      <w:r w:rsidR="006D6042" w:rsidRPr="0074031E">
        <w:rPr>
          <w:rFonts w:ascii="Times New Roman" w:hAnsi="Times New Roman" w:cs="Times New Roman"/>
          <w:sz w:val="24"/>
          <w:szCs w:val="24"/>
          <w:lang w:val="en-US"/>
        </w:rPr>
        <w:t xml:space="preserve"> examples, t</w:t>
      </w:r>
      <w:r w:rsidR="008B115A" w:rsidRPr="0074031E">
        <w:rPr>
          <w:rFonts w:ascii="Times New Roman" w:hAnsi="Times New Roman" w:cs="Times New Roman"/>
          <w:sz w:val="24"/>
          <w:szCs w:val="24"/>
          <w:lang w:val="en-US"/>
        </w:rPr>
        <w:t>here is no neutral forum to hear the protest.</w:t>
      </w:r>
    </w:p>
    <w:p w14:paraId="1281E9BB" w14:textId="77777777" w:rsidR="003451AC" w:rsidRDefault="003451AC" w:rsidP="003451AC">
      <w:pPr>
        <w:ind w:firstLine="708"/>
        <w:jc w:val="both"/>
        <w:rPr>
          <w:rFonts w:ascii="Times New Roman" w:hAnsi="Times New Roman" w:cs="Times New Roman"/>
          <w:sz w:val="24"/>
          <w:szCs w:val="24"/>
          <w:lang w:val="en-US"/>
        </w:rPr>
      </w:pPr>
      <w:r w:rsidRPr="003451AC">
        <w:rPr>
          <w:rFonts w:ascii="Times New Roman" w:hAnsi="Times New Roman" w:cs="Times New Roman"/>
          <w:sz w:val="24"/>
          <w:szCs w:val="24"/>
          <w:lang w:val="en-US"/>
        </w:rPr>
        <w:t>The efficiency of the appeal also relies on the p</w:t>
      </w:r>
      <w:r w:rsidR="00697FF6" w:rsidRPr="003451AC">
        <w:rPr>
          <w:rFonts w:ascii="Times New Roman" w:hAnsi="Times New Roman" w:cs="Times New Roman"/>
          <w:sz w:val="24"/>
          <w:szCs w:val="24"/>
          <w:lang w:val="en-US"/>
        </w:rPr>
        <w:t xml:space="preserve">owers </w:t>
      </w:r>
      <w:r w:rsidR="00670B40" w:rsidRPr="003451AC">
        <w:rPr>
          <w:rFonts w:ascii="Times New Roman" w:hAnsi="Times New Roman" w:cs="Times New Roman"/>
          <w:sz w:val="24"/>
          <w:szCs w:val="24"/>
          <w:lang w:val="en-US"/>
        </w:rPr>
        <w:t>granted to the 2</w:t>
      </w:r>
      <w:r w:rsidR="00670B40" w:rsidRPr="003451AC">
        <w:rPr>
          <w:rFonts w:ascii="Times New Roman" w:hAnsi="Times New Roman" w:cs="Times New Roman"/>
          <w:sz w:val="24"/>
          <w:szCs w:val="24"/>
          <w:vertAlign w:val="superscript"/>
          <w:lang w:val="en-US"/>
        </w:rPr>
        <w:t>nd</w:t>
      </w:r>
      <w:r w:rsidR="00670B40" w:rsidRPr="003451AC">
        <w:rPr>
          <w:rFonts w:ascii="Times New Roman" w:hAnsi="Times New Roman" w:cs="Times New Roman"/>
          <w:sz w:val="24"/>
          <w:szCs w:val="24"/>
          <w:lang w:val="en-US"/>
        </w:rPr>
        <w:t xml:space="preserve"> Tier</w:t>
      </w:r>
      <w:r w:rsidR="00670B40" w:rsidRPr="0074031E">
        <w:rPr>
          <w:rFonts w:ascii="Times New Roman" w:hAnsi="Times New Roman" w:cs="Times New Roman"/>
          <w:b/>
          <w:sz w:val="24"/>
          <w:szCs w:val="24"/>
          <w:lang w:val="en-US"/>
        </w:rPr>
        <w:t xml:space="preserve"> </w:t>
      </w:r>
      <w:r>
        <w:rPr>
          <w:rFonts w:ascii="Times New Roman" w:hAnsi="Times New Roman" w:cs="Times New Roman"/>
          <w:sz w:val="24"/>
          <w:szCs w:val="24"/>
          <w:lang w:val="en-US"/>
        </w:rPr>
        <w:t>review body</w:t>
      </w:r>
      <w:r w:rsidR="00670B40" w:rsidRPr="0074031E">
        <w:rPr>
          <w:rFonts w:ascii="Times New Roman" w:hAnsi="Times New Roman" w:cs="Times New Roman"/>
          <w:sz w:val="24"/>
          <w:szCs w:val="24"/>
          <w:lang w:val="en-US"/>
        </w:rPr>
        <w:t xml:space="preserve">. Detailed provisions </w:t>
      </w:r>
      <w:r>
        <w:rPr>
          <w:rFonts w:ascii="Times New Roman" w:hAnsi="Times New Roman" w:cs="Times New Roman"/>
          <w:sz w:val="24"/>
          <w:szCs w:val="24"/>
          <w:lang w:val="en-US"/>
        </w:rPr>
        <w:t xml:space="preserve">on this crucial parameter </w:t>
      </w:r>
      <w:r w:rsidR="00670B40" w:rsidRPr="0074031E">
        <w:rPr>
          <w:rFonts w:ascii="Times New Roman" w:hAnsi="Times New Roman" w:cs="Times New Roman"/>
          <w:sz w:val="24"/>
          <w:szCs w:val="24"/>
          <w:lang w:val="en-US"/>
        </w:rPr>
        <w:t>are often missing</w:t>
      </w:r>
      <w:r>
        <w:rPr>
          <w:rFonts w:ascii="Times New Roman" w:hAnsi="Times New Roman" w:cs="Times New Roman"/>
          <w:sz w:val="24"/>
          <w:szCs w:val="24"/>
          <w:lang w:val="en-US"/>
        </w:rPr>
        <w:t xml:space="preserve"> in I.O.s procurement rules</w:t>
      </w:r>
      <w:r w:rsidR="00670B40" w:rsidRPr="0074031E">
        <w:rPr>
          <w:rFonts w:ascii="Times New Roman" w:hAnsi="Times New Roman" w:cs="Times New Roman"/>
          <w:sz w:val="24"/>
          <w:szCs w:val="24"/>
          <w:lang w:val="en-US"/>
        </w:rPr>
        <w:t xml:space="preserve">. </w:t>
      </w:r>
      <w:r w:rsidR="00670B40" w:rsidRPr="00F97AB6">
        <w:rPr>
          <w:rFonts w:ascii="Times New Roman" w:hAnsi="Times New Roman" w:cs="Times New Roman"/>
          <w:sz w:val="24"/>
          <w:szCs w:val="24"/>
          <w:lang w:val="en-US"/>
        </w:rPr>
        <w:t xml:space="preserve">For the EU, </w:t>
      </w:r>
      <w:r w:rsidR="00697FF6" w:rsidRPr="00F97AB6">
        <w:rPr>
          <w:rFonts w:ascii="Times New Roman" w:hAnsi="Times New Roman" w:cs="Times New Roman"/>
          <w:sz w:val="24"/>
          <w:szCs w:val="24"/>
          <w:lang w:val="en-US"/>
        </w:rPr>
        <w:t>Article 153 of the Commission’s implement</w:t>
      </w:r>
      <w:r w:rsidR="00670B40" w:rsidRPr="00F97AB6">
        <w:rPr>
          <w:rFonts w:ascii="Times New Roman" w:hAnsi="Times New Roman" w:cs="Times New Roman"/>
          <w:sz w:val="24"/>
          <w:szCs w:val="24"/>
          <w:lang w:val="en-US"/>
        </w:rPr>
        <w:t>ing regulation stipulates that</w:t>
      </w:r>
      <w:r w:rsidR="00670B40" w:rsidRPr="0074031E">
        <w:rPr>
          <w:rFonts w:ascii="Times New Roman" w:hAnsi="Times New Roman" w:cs="Times New Roman"/>
          <w:sz w:val="24"/>
          <w:szCs w:val="24"/>
          <w:lang w:val="en-US"/>
        </w:rPr>
        <w:t xml:space="preserve">: </w:t>
      </w:r>
    </w:p>
    <w:p w14:paraId="4E70BC26" w14:textId="490078F7" w:rsidR="003451AC" w:rsidRDefault="00697FF6" w:rsidP="003451AC">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“1.</w:t>
      </w:r>
      <w:r w:rsidRPr="0074031E">
        <w:rPr>
          <w:rFonts w:ascii="Times New Roman" w:hAnsi="Times New Roman" w:cs="Times New Roman"/>
          <w:sz w:val="24"/>
          <w:szCs w:val="24"/>
          <w:lang w:val="en-US"/>
        </w:rPr>
        <w:tab/>
        <w:t>Contracts shall be suspended under Article 103 of the Financial Regulation in order to verify whether presumed substantial errors or irregularities or fraud have actually occurred. If they are not confirmed, performance of the contract sh</w:t>
      </w:r>
      <w:r w:rsidR="00670B40" w:rsidRPr="0074031E">
        <w:rPr>
          <w:rFonts w:ascii="Times New Roman" w:hAnsi="Times New Roman" w:cs="Times New Roman"/>
          <w:sz w:val="24"/>
          <w:szCs w:val="24"/>
          <w:lang w:val="en-US"/>
        </w:rPr>
        <w:t>al</w:t>
      </w:r>
      <w:r w:rsidR="003451AC">
        <w:rPr>
          <w:rFonts w:ascii="Times New Roman" w:hAnsi="Times New Roman" w:cs="Times New Roman"/>
          <w:sz w:val="24"/>
          <w:szCs w:val="24"/>
          <w:lang w:val="en-US"/>
        </w:rPr>
        <w:t>l resume as soon as possible (…)</w:t>
      </w:r>
      <w:r w:rsidRPr="0074031E">
        <w:rPr>
          <w:rFonts w:ascii="Times New Roman" w:hAnsi="Times New Roman" w:cs="Times New Roman"/>
          <w:sz w:val="24"/>
          <w:szCs w:val="24"/>
          <w:lang w:val="en-US"/>
        </w:rPr>
        <w:t xml:space="preserve"> substantial error or irregularity shall be any infringement of a provision of a contract or regulation resulting from an act or an omission which causes or might cause a</w:t>
      </w:r>
      <w:r w:rsidR="003451AC">
        <w:rPr>
          <w:rFonts w:ascii="Times New Roman" w:hAnsi="Times New Roman" w:cs="Times New Roman"/>
          <w:sz w:val="24"/>
          <w:szCs w:val="24"/>
          <w:lang w:val="en-US"/>
        </w:rPr>
        <w:t xml:space="preserve"> loss to the Community budget</w:t>
      </w:r>
      <w:r w:rsidR="00670B40" w:rsidRPr="0074031E">
        <w:rPr>
          <w:rFonts w:ascii="Times New Roman" w:hAnsi="Times New Roman" w:cs="Times New Roman"/>
          <w:sz w:val="24"/>
          <w:szCs w:val="24"/>
          <w:lang w:val="en-US"/>
        </w:rPr>
        <w:t>”</w:t>
      </w:r>
      <w:r w:rsidR="003451AC">
        <w:rPr>
          <w:rFonts w:ascii="Times New Roman" w:hAnsi="Times New Roman" w:cs="Times New Roman"/>
          <w:sz w:val="24"/>
          <w:szCs w:val="24"/>
          <w:lang w:val="en-US"/>
        </w:rPr>
        <w:t>.</w:t>
      </w:r>
    </w:p>
    <w:p w14:paraId="6721162C" w14:textId="55EEE44E" w:rsidR="00697FF6" w:rsidRPr="0074031E" w:rsidRDefault="00670B40" w:rsidP="003451AC">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 </w:t>
      </w:r>
      <w:r w:rsidR="00697FF6" w:rsidRPr="00F97AB6">
        <w:rPr>
          <w:rFonts w:ascii="Times New Roman" w:hAnsi="Times New Roman" w:cs="Times New Roman"/>
          <w:sz w:val="24"/>
          <w:szCs w:val="24"/>
          <w:lang w:val="en-US"/>
        </w:rPr>
        <w:t>However, nothing specific is said in these texts about the conditions for termination of the contract if irregularities are found. It</w:t>
      </w:r>
      <w:r w:rsidR="00697FF6" w:rsidRPr="0074031E">
        <w:rPr>
          <w:rFonts w:ascii="Times New Roman" w:hAnsi="Times New Roman" w:cs="Times New Roman"/>
          <w:sz w:val="24"/>
          <w:szCs w:val="24"/>
          <w:lang w:val="en-US"/>
        </w:rPr>
        <w:t xml:space="preserve"> would be advisable to distinguish between the termination hypotheses, which are applicable going forward, and the cancellation hypotheses, which are retroactive in scope. </w:t>
      </w:r>
    </w:p>
    <w:p w14:paraId="54DDB991" w14:textId="77777777" w:rsidR="00670B40" w:rsidRPr="0074031E" w:rsidRDefault="00670B40" w:rsidP="0074031E">
      <w:pPr>
        <w:jc w:val="both"/>
        <w:rPr>
          <w:rFonts w:ascii="Times New Roman" w:hAnsi="Times New Roman" w:cs="Times New Roman"/>
          <w:b/>
          <w:sz w:val="24"/>
          <w:szCs w:val="24"/>
          <w:lang w:val="en-US"/>
        </w:rPr>
      </w:pPr>
    </w:p>
    <w:p w14:paraId="5924BF8C" w14:textId="33B229C8" w:rsidR="00670B40" w:rsidRPr="003C1DB2" w:rsidRDefault="003C1DB2" w:rsidP="003C1DB2">
      <w:pPr>
        <w:jc w:val="center"/>
        <w:rPr>
          <w:rFonts w:ascii="Times New Roman" w:hAnsi="Times New Roman" w:cs="Times New Roman"/>
          <w:i/>
          <w:sz w:val="24"/>
          <w:szCs w:val="24"/>
          <w:lang w:val="en-US"/>
        </w:rPr>
      </w:pPr>
      <w:r>
        <w:rPr>
          <w:rFonts w:ascii="Times New Roman" w:hAnsi="Times New Roman" w:cs="Times New Roman"/>
          <w:sz w:val="24"/>
          <w:szCs w:val="24"/>
          <w:lang w:val="en-US"/>
        </w:rPr>
        <w:t>4.4</w:t>
      </w:r>
      <w:r w:rsidR="00670B40" w:rsidRPr="003C1DB2">
        <w:rPr>
          <w:rFonts w:ascii="Times New Roman" w:hAnsi="Times New Roman" w:cs="Times New Roman"/>
          <w:sz w:val="24"/>
          <w:szCs w:val="24"/>
          <w:lang w:val="en-US"/>
        </w:rPr>
        <w:t xml:space="preserve">. </w:t>
      </w:r>
      <w:r w:rsidR="00670B40" w:rsidRPr="003C1DB2">
        <w:rPr>
          <w:rFonts w:ascii="Times New Roman" w:hAnsi="Times New Roman" w:cs="Times New Roman"/>
          <w:i/>
          <w:sz w:val="24"/>
          <w:szCs w:val="24"/>
          <w:lang w:val="en-US"/>
        </w:rPr>
        <w:t>Still fragmented rules governing bidders’ rights in I.Os</w:t>
      </w:r>
    </w:p>
    <w:p w14:paraId="5CF103C6" w14:textId="77777777" w:rsidR="003451AC" w:rsidRPr="003451AC" w:rsidRDefault="003451AC" w:rsidP="003451AC">
      <w:pPr>
        <w:rPr>
          <w:lang w:val="en-US"/>
        </w:rPr>
      </w:pPr>
    </w:p>
    <w:p w14:paraId="71D54FD3" w14:textId="362A899C" w:rsidR="00670B40" w:rsidRPr="0074031E" w:rsidRDefault="00670B40" w:rsidP="003C1DB2">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In </w:t>
      </w:r>
      <w:r w:rsidR="003C1DB2">
        <w:rPr>
          <w:rFonts w:ascii="Times New Roman" w:hAnsi="Times New Roman" w:cs="Times New Roman"/>
          <w:sz w:val="24"/>
          <w:szCs w:val="24"/>
          <w:lang w:val="en-US"/>
        </w:rPr>
        <w:t xml:space="preserve">our first assessment of the matter, conducted in </w:t>
      </w:r>
      <w:r w:rsidRPr="0074031E">
        <w:rPr>
          <w:rFonts w:ascii="Times New Roman" w:hAnsi="Times New Roman" w:cs="Times New Roman"/>
          <w:sz w:val="24"/>
          <w:szCs w:val="24"/>
          <w:lang w:val="en-US"/>
        </w:rPr>
        <w:t>2008, infrequently formalize</w:t>
      </w:r>
      <w:r w:rsidR="003C1DB2">
        <w:rPr>
          <w:rFonts w:ascii="Times New Roman" w:hAnsi="Times New Roman" w:cs="Times New Roman"/>
          <w:sz w:val="24"/>
          <w:szCs w:val="24"/>
          <w:lang w:val="en-US"/>
        </w:rPr>
        <w:t xml:space="preserve">d and rarely sophisticated </w:t>
      </w:r>
      <w:r w:rsidRPr="0074031E">
        <w:rPr>
          <w:rFonts w:ascii="Times New Roman" w:hAnsi="Times New Roman" w:cs="Times New Roman"/>
          <w:sz w:val="24"/>
          <w:szCs w:val="24"/>
          <w:lang w:val="en-US"/>
        </w:rPr>
        <w:t xml:space="preserve">rules </w:t>
      </w:r>
      <w:r w:rsidR="003C1DB2">
        <w:rPr>
          <w:rFonts w:ascii="Times New Roman" w:hAnsi="Times New Roman" w:cs="Times New Roman"/>
          <w:sz w:val="24"/>
          <w:szCs w:val="24"/>
          <w:lang w:val="en-US"/>
        </w:rPr>
        <w:t xml:space="preserve">were </w:t>
      </w:r>
      <w:r w:rsidRPr="0074031E">
        <w:rPr>
          <w:rFonts w:ascii="Times New Roman" w:hAnsi="Times New Roman" w:cs="Times New Roman"/>
          <w:sz w:val="24"/>
          <w:szCs w:val="24"/>
          <w:lang w:val="en-US"/>
        </w:rPr>
        <w:t>prevailing in</w:t>
      </w:r>
      <w:r w:rsidR="003C1DB2">
        <w:rPr>
          <w:rFonts w:ascii="Times New Roman" w:hAnsi="Times New Roman" w:cs="Times New Roman"/>
          <w:sz w:val="24"/>
          <w:szCs w:val="24"/>
          <w:lang w:val="en-US"/>
        </w:rPr>
        <w:t xml:space="preserve"> the I.Os</w:t>
      </w:r>
      <w:r w:rsidRPr="0074031E">
        <w:rPr>
          <w:rFonts w:ascii="Times New Roman" w:hAnsi="Times New Roman" w:cs="Times New Roman"/>
          <w:sz w:val="24"/>
          <w:szCs w:val="24"/>
          <w:lang w:val="en-US"/>
        </w:rPr>
        <w:t xml:space="preserve"> </w:t>
      </w:r>
      <w:r w:rsidR="003C1DB2">
        <w:rPr>
          <w:rFonts w:ascii="Times New Roman" w:hAnsi="Times New Roman" w:cs="Times New Roman"/>
          <w:sz w:val="24"/>
          <w:szCs w:val="24"/>
          <w:lang w:val="en-US"/>
        </w:rPr>
        <w:t xml:space="preserve">regulations, demonstrating </w:t>
      </w:r>
      <w:r w:rsidRPr="0074031E">
        <w:rPr>
          <w:rFonts w:ascii="Times New Roman" w:hAnsi="Times New Roman" w:cs="Times New Roman"/>
          <w:sz w:val="24"/>
          <w:szCs w:val="24"/>
          <w:lang w:val="en-US"/>
        </w:rPr>
        <w:t>the scant attention paid up to the is</w:t>
      </w:r>
      <w:r w:rsidR="003C1DB2">
        <w:rPr>
          <w:rFonts w:ascii="Times New Roman" w:hAnsi="Times New Roman" w:cs="Times New Roman"/>
          <w:sz w:val="24"/>
          <w:szCs w:val="24"/>
          <w:lang w:val="en-US"/>
        </w:rPr>
        <w:t>sue of complaints in corporate contracts</w:t>
      </w:r>
      <w:r w:rsidRPr="0074031E">
        <w:rPr>
          <w:rFonts w:ascii="Times New Roman" w:hAnsi="Times New Roman" w:cs="Times New Roman"/>
          <w:sz w:val="24"/>
          <w:szCs w:val="24"/>
          <w:lang w:val="en-US"/>
        </w:rPr>
        <w:t>. Among the meagre</w:t>
      </w:r>
      <w:r w:rsidR="003C1DB2">
        <w:rPr>
          <w:rFonts w:ascii="Times New Roman" w:hAnsi="Times New Roman" w:cs="Times New Roman"/>
          <w:sz w:val="24"/>
          <w:szCs w:val="24"/>
          <w:lang w:val="en-US"/>
        </w:rPr>
        <w:t xml:space="preserve"> </w:t>
      </w:r>
      <w:r w:rsidR="003C1DB2">
        <w:rPr>
          <w:rFonts w:ascii="Times New Roman" w:hAnsi="Times New Roman" w:cs="Times New Roman"/>
          <w:sz w:val="24"/>
          <w:szCs w:val="24"/>
          <w:lang w:val="en-US"/>
        </w:rPr>
        <w:lastRenderedPageBreak/>
        <w:t>regulations available, one could note</w:t>
      </w:r>
      <w:r w:rsidRPr="0074031E">
        <w:rPr>
          <w:rFonts w:ascii="Times New Roman" w:hAnsi="Times New Roman" w:cs="Times New Roman"/>
          <w:sz w:val="24"/>
          <w:szCs w:val="24"/>
          <w:lang w:val="en-US"/>
        </w:rPr>
        <w:t>, with few exceptions, a degree of confusion between the right to information and the right of the company to file a protest. Moreover, the I</w:t>
      </w:r>
      <w:r w:rsidR="003C1DB2">
        <w:rPr>
          <w:rFonts w:ascii="Times New Roman" w:hAnsi="Times New Roman" w:cs="Times New Roman"/>
          <w:sz w:val="24"/>
          <w:szCs w:val="24"/>
          <w:lang w:val="en-US"/>
        </w:rPr>
        <w:t>.</w:t>
      </w:r>
      <w:r w:rsidRPr="0074031E">
        <w:rPr>
          <w:rFonts w:ascii="Times New Roman" w:hAnsi="Times New Roman" w:cs="Times New Roman"/>
          <w:sz w:val="24"/>
          <w:szCs w:val="24"/>
          <w:lang w:val="en-US"/>
        </w:rPr>
        <w:t>Os’ authorities responsible for ex</w:t>
      </w:r>
      <w:r w:rsidR="003C1DB2">
        <w:rPr>
          <w:rFonts w:ascii="Times New Roman" w:hAnsi="Times New Roman" w:cs="Times New Roman"/>
          <w:sz w:val="24"/>
          <w:szCs w:val="24"/>
          <w:lang w:val="en-US"/>
        </w:rPr>
        <w:t>amining challenges were mixed</w:t>
      </w:r>
      <w:r w:rsidRPr="0074031E">
        <w:rPr>
          <w:rFonts w:ascii="Times New Roman" w:hAnsi="Times New Roman" w:cs="Times New Roman"/>
          <w:sz w:val="24"/>
          <w:szCs w:val="24"/>
          <w:lang w:val="en-US"/>
        </w:rPr>
        <w:t xml:space="preserve"> with the contracting authorities. Lastly, the entire procedure had a very limited scope. Yet some organizations, such as the WB and the ESA, had already implemented </w:t>
      </w:r>
      <w:r w:rsidR="003C1DB2">
        <w:rPr>
          <w:rFonts w:ascii="Times New Roman" w:hAnsi="Times New Roman" w:cs="Times New Roman"/>
          <w:sz w:val="24"/>
          <w:szCs w:val="24"/>
          <w:lang w:val="en-US"/>
        </w:rPr>
        <w:t xml:space="preserve">a sketch of </w:t>
      </w:r>
      <w:r w:rsidRPr="0074031E">
        <w:rPr>
          <w:rFonts w:ascii="Times New Roman" w:hAnsi="Times New Roman" w:cs="Times New Roman"/>
          <w:sz w:val="24"/>
          <w:szCs w:val="24"/>
          <w:lang w:val="en-US"/>
        </w:rPr>
        <w:t xml:space="preserve">protest rules, and other I.Os were poised to adopt codified procedures. In 2017, </w:t>
      </w:r>
      <w:r w:rsidR="003C1DB2">
        <w:rPr>
          <w:rFonts w:ascii="Times New Roman" w:hAnsi="Times New Roman" w:cs="Times New Roman"/>
          <w:sz w:val="24"/>
          <w:szCs w:val="24"/>
          <w:lang w:val="en-US"/>
        </w:rPr>
        <w:t xml:space="preserve">we may consider that </w:t>
      </w:r>
      <w:r w:rsidRPr="0074031E">
        <w:rPr>
          <w:rFonts w:ascii="Times New Roman" w:hAnsi="Times New Roman" w:cs="Times New Roman"/>
          <w:sz w:val="24"/>
          <w:szCs w:val="24"/>
          <w:lang w:val="en-US"/>
        </w:rPr>
        <w:t xml:space="preserve">notable progress have been made but heterogeneity remains, with challenge rules set by I.Os ranging from banning any action to the design of quite sophisticated mechanisms. </w:t>
      </w:r>
    </w:p>
    <w:p w14:paraId="1F64360F" w14:textId="77777777" w:rsidR="00670B40" w:rsidRPr="0074031E" w:rsidRDefault="00670B40" w:rsidP="003C1DB2">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To begin with, it is worth mentioning that the access to the challenge policy may itself be an issue for certain I.O.s. Not only it prevents any analysis of their policy, but it raise critics about the transparency of their whole procurement system.</w:t>
      </w:r>
      <w:r w:rsidRPr="0074031E">
        <w:rPr>
          <w:rFonts w:ascii="Times New Roman" w:hAnsi="Times New Roman" w:cs="Times New Roman"/>
          <w:b/>
          <w:sz w:val="24"/>
          <w:szCs w:val="24"/>
          <w:lang w:val="en-US"/>
        </w:rPr>
        <w:t xml:space="preserve"> </w:t>
      </w:r>
      <w:r w:rsidRPr="0074031E">
        <w:rPr>
          <w:rFonts w:ascii="Times New Roman" w:hAnsi="Times New Roman" w:cs="Times New Roman"/>
          <w:sz w:val="24"/>
          <w:szCs w:val="24"/>
          <w:lang w:val="en-US"/>
        </w:rPr>
        <w:t>As an example, the European Organization for the Exploitation of Meteorological Satellites (EUMETSAT) provides, in its EUMITS User Guides</w:t>
      </w:r>
      <w:r w:rsidRPr="0074031E">
        <w:rPr>
          <w:rStyle w:val="FootnoteReference"/>
          <w:rFonts w:ascii="Times New Roman" w:hAnsi="Times New Roman" w:cs="Times New Roman"/>
          <w:sz w:val="24"/>
          <w:szCs w:val="24"/>
          <w:lang w:val="en-US"/>
        </w:rPr>
        <w:footnoteReference w:id="70"/>
      </w:r>
      <w:r w:rsidRPr="0074031E">
        <w:rPr>
          <w:rFonts w:ascii="Times New Roman" w:hAnsi="Times New Roman" w:cs="Times New Roman"/>
          <w:sz w:val="24"/>
          <w:szCs w:val="24"/>
          <w:lang w:val="en-US"/>
        </w:rPr>
        <w:t xml:space="preserve"> for a list of documents that might have provisions about how to protest or challenge a procurement decision. However, only registered companies may now have access to these information. That was not the case in 2008 when the initial report on protest was established and it underscores a reflux of transparency. </w:t>
      </w:r>
    </w:p>
    <w:p w14:paraId="627AA035" w14:textId="3FBEA834" w:rsidR="00670B40" w:rsidRPr="0074031E" w:rsidRDefault="00670B40" w:rsidP="003C1DB2">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When accessible, the protest policy may not provide for detailed information to the potential protestors. As one of the most engaged UN agencies in </w:t>
      </w:r>
      <w:r w:rsidR="003C1DB2">
        <w:rPr>
          <w:rFonts w:ascii="Times New Roman" w:hAnsi="Times New Roman" w:cs="Times New Roman"/>
          <w:sz w:val="24"/>
          <w:szCs w:val="24"/>
          <w:lang w:val="en-US"/>
        </w:rPr>
        <w:t xml:space="preserve">development projects, the UNDP </w:t>
      </w:r>
      <w:r w:rsidRPr="0074031E">
        <w:rPr>
          <w:rFonts w:ascii="Times New Roman" w:hAnsi="Times New Roman" w:cs="Times New Roman"/>
          <w:sz w:val="24"/>
          <w:szCs w:val="24"/>
          <w:lang w:val="en-US"/>
        </w:rPr>
        <w:t>advertises on its website about a protest procedure. All procurement protests should be addressed to the UNDP Country Office or HQ Business Unit that undertook the procurement action. If the matter is not resolved satisfactorily, it may be raised to PSO by the Co</w:t>
      </w:r>
      <w:r w:rsidR="003C1DB2">
        <w:rPr>
          <w:rFonts w:ascii="Times New Roman" w:hAnsi="Times New Roman" w:cs="Times New Roman"/>
          <w:sz w:val="24"/>
          <w:szCs w:val="24"/>
          <w:lang w:val="en-US"/>
        </w:rPr>
        <w:t xml:space="preserve">untry Office or Business Unit. </w:t>
      </w:r>
      <w:r w:rsidRPr="0074031E">
        <w:rPr>
          <w:rFonts w:ascii="Times New Roman" w:hAnsi="Times New Roman" w:cs="Times New Roman"/>
          <w:sz w:val="24"/>
          <w:szCs w:val="24"/>
          <w:lang w:val="en-US"/>
        </w:rPr>
        <w:t xml:space="preserve">What is presented, however, is more a list of the </w:t>
      </w:r>
      <w:r w:rsidR="003C1DB2">
        <w:rPr>
          <w:rFonts w:ascii="Times New Roman" w:hAnsi="Times New Roman" w:cs="Times New Roman"/>
          <w:sz w:val="24"/>
          <w:szCs w:val="24"/>
          <w:lang w:val="en-US"/>
        </w:rPr>
        <w:t>substantive basic information that a bidder</w:t>
      </w:r>
      <w:r w:rsidRPr="0074031E">
        <w:rPr>
          <w:rFonts w:ascii="Times New Roman" w:hAnsi="Times New Roman" w:cs="Times New Roman"/>
          <w:sz w:val="24"/>
          <w:szCs w:val="24"/>
          <w:lang w:val="en-US"/>
        </w:rPr>
        <w:t>’s claim should submit rather than elements about the relevant organization’s procedure for the protest itself.</w:t>
      </w:r>
    </w:p>
    <w:p w14:paraId="15610B64" w14:textId="6252855C" w:rsidR="00670B40" w:rsidRPr="0074031E" w:rsidRDefault="003C1DB2" w:rsidP="003C1DB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Although less</w:t>
      </w:r>
      <w:r w:rsidR="00670B40" w:rsidRPr="0074031E">
        <w:rPr>
          <w:rFonts w:ascii="Times New Roman" w:hAnsi="Times New Roman" w:cs="Times New Roman"/>
          <w:sz w:val="24"/>
          <w:szCs w:val="24"/>
          <w:lang w:val="en-US"/>
        </w:rPr>
        <w:t xml:space="preserve"> than noticed</w:t>
      </w:r>
      <w:r>
        <w:rPr>
          <w:rFonts w:ascii="Times New Roman" w:hAnsi="Times New Roman" w:cs="Times New Roman"/>
          <w:sz w:val="24"/>
          <w:szCs w:val="24"/>
          <w:lang w:val="en-US"/>
        </w:rPr>
        <w:t xml:space="preserve"> 9 years ago</w:t>
      </w:r>
      <w:r w:rsidR="00670B40" w:rsidRPr="0074031E">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r w:rsidR="00670B40" w:rsidRPr="0074031E">
        <w:rPr>
          <w:rFonts w:ascii="Times New Roman" w:hAnsi="Times New Roman" w:cs="Times New Roman"/>
          <w:sz w:val="24"/>
          <w:szCs w:val="24"/>
          <w:lang w:val="en-US"/>
        </w:rPr>
        <w:t>2008</w:t>
      </w:r>
      <w:r>
        <w:rPr>
          <w:rFonts w:ascii="Times New Roman" w:hAnsi="Times New Roman" w:cs="Times New Roman"/>
          <w:sz w:val="24"/>
          <w:szCs w:val="24"/>
          <w:lang w:val="en-US"/>
        </w:rPr>
        <w:t xml:space="preserve"> study</w:t>
      </w:r>
      <w:r w:rsidR="00670B40" w:rsidRPr="0074031E">
        <w:rPr>
          <w:rFonts w:ascii="Times New Roman" w:hAnsi="Times New Roman" w:cs="Times New Roman"/>
          <w:sz w:val="24"/>
          <w:szCs w:val="24"/>
          <w:lang w:val="en-US"/>
        </w:rPr>
        <w:t xml:space="preserve">, the immunity status is still protecting some I.O.s from the requirement of setting up a transparent challenge policy for their corporate contracts. Even the OECD which is well known for preparing procurement policy advises for countries does not offer such challenge mechanism for its own corporate vendors. By contrast, </w:t>
      </w:r>
      <w:r>
        <w:rPr>
          <w:rFonts w:ascii="Times New Roman" w:hAnsi="Times New Roman" w:cs="Times New Roman"/>
          <w:sz w:val="24"/>
          <w:szCs w:val="24"/>
          <w:lang w:val="en-US"/>
        </w:rPr>
        <w:t xml:space="preserve">it is worth mentioning that </w:t>
      </w:r>
      <w:r w:rsidR="00670B40" w:rsidRPr="0074031E">
        <w:rPr>
          <w:rFonts w:ascii="Times New Roman" w:hAnsi="Times New Roman" w:cs="Times New Roman"/>
          <w:sz w:val="24"/>
          <w:szCs w:val="24"/>
          <w:lang w:val="en-US"/>
        </w:rPr>
        <w:t>the 2015 OECD Recommendations on Public Procurement insist that countries should: “handle complaints in a fair, timely and transparent way through the establishment of effective courses of action for challenging procurement decisions to correct defects, prevent wrong-doing and build confidence of bidders, including foreign competitors, in the integrity and fairness of the public procurement system. Additional key aspects of an effective complaint system are dedicated and independent review an adequate redress”.</w:t>
      </w:r>
    </w:p>
    <w:p w14:paraId="46FEB1A7" w14:textId="0B3C8030" w:rsidR="00670B40" w:rsidRPr="0074031E" w:rsidRDefault="00670B40" w:rsidP="003C1DB2">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 xml:space="preserve">Indeed, some I.O.s </w:t>
      </w:r>
      <w:r w:rsidR="003C1DB2">
        <w:rPr>
          <w:rFonts w:ascii="Times New Roman" w:hAnsi="Times New Roman" w:cs="Times New Roman"/>
          <w:sz w:val="24"/>
          <w:szCs w:val="24"/>
          <w:lang w:val="en-US"/>
        </w:rPr>
        <w:t xml:space="preserve">still </w:t>
      </w:r>
      <w:r w:rsidRPr="0074031E">
        <w:rPr>
          <w:rFonts w:ascii="Times New Roman" w:hAnsi="Times New Roman" w:cs="Times New Roman"/>
          <w:sz w:val="24"/>
          <w:szCs w:val="24"/>
          <w:lang w:val="en-US"/>
        </w:rPr>
        <w:t xml:space="preserve">do not have any challenge policy at all. As an example, the OSCE still does not provide for any specific challenge procedure and its procurement policy proclaims through a legal notice: “The OSCE reserves the right to accept or reject any bid, and </w:t>
      </w:r>
      <w:r w:rsidRPr="0074031E">
        <w:rPr>
          <w:rFonts w:ascii="Times New Roman" w:hAnsi="Times New Roman" w:cs="Times New Roman"/>
          <w:sz w:val="24"/>
          <w:szCs w:val="24"/>
          <w:lang w:val="en-US"/>
        </w:rPr>
        <w:lastRenderedPageBreak/>
        <w:t>to annul, in whole or in part, or to suspend the bidding process and reject all bids at any time prior to contract award, without thereby incurring any liability to the affected bidder or bidders or any obligation to inform the affected bidder or bidders of th</w:t>
      </w:r>
      <w:r w:rsidR="003C1DB2">
        <w:rPr>
          <w:rFonts w:ascii="Times New Roman" w:hAnsi="Times New Roman" w:cs="Times New Roman"/>
          <w:sz w:val="24"/>
          <w:szCs w:val="24"/>
          <w:lang w:val="en-US"/>
        </w:rPr>
        <w:t>e reasons for the OSCE's action</w:t>
      </w:r>
      <w:r w:rsidRPr="0074031E">
        <w:rPr>
          <w:rFonts w:ascii="Times New Roman" w:hAnsi="Times New Roman" w:cs="Times New Roman"/>
          <w:sz w:val="24"/>
          <w:szCs w:val="24"/>
          <w:lang w:val="en-US"/>
        </w:rPr>
        <w:t>”</w:t>
      </w:r>
      <w:r w:rsidR="003C1DB2">
        <w:rPr>
          <w:rFonts w:ascii="Times New Roman" w:hAnsi="Times New Roman" w:cs="Times New Roman"/>
          <w:sz w:val="24"/>
          <w:szCs w:val="24"/>
          <w:lang w:val="en-US"/>
        </w:rPr>
        <w:t>. Moreover,</w:t>
      </w:r>
      <w:r w:rsidRPr="0074031E">
        <w:rPr>
          <w:rFonts w:ascii="Times New Roman" w:hAnsi="Times New Roman" w:cs="Times New Roman"/>
          <w:sz w:val="24"/>
          <w:szCs w:val="24"/>
          <w:lang w:val="en-US"/>
        </w:rPr>
        <w:t xml:space="preserve"> it is interesting to note that this organization had initially developed protest practices that, in 2008, were to be codified in regulations. The soon-to-be challenge provisions should have provided for a letter to be sent, at the express request of the enterprise, drafted by the Chief of Procurement and containing the reasons for rejection of the offer, but without disclosing the merits of other offers. </w:t>
      </w:r>
      <w:r w:rsidR="00E461C2">
        <w:rPr>
          <w:rFonts w:ascii="Times New Roman" w:hAnsi="Times New Roman" w:cs="Times New Roman"/>
          <w:sz w:val="24"/>
          <w:szCs w:val="24"/>
          <w:lang w:val="en-US"/>
        </w:rPr>
        <w:t xml:space="preserve">These provisions were never enacted. </w:t>
      </w:r>
      <w:r w:rsidRPr="0074031E">
        <w:rPr>
          <w:rFonts w:ascii="Times New Roman" w:hAnsi="Times New Roman" w:cs="Times New Roman"/>
          <w:sz w:val="24"/>
          <w:szCs w:val="24"/>
          <w:lang w:val="en-US"/>
        </w:rPr>
        <w:t>Obvious</w:t>
      </w:r>
      <w:r w:rsidR="00E461C2">
        <w:rPr>
          <w:rFonts w:ascii="Times New Roman" w:hAnsi="Times New Roman" w:cs="Times New Roman"/>
          <w:sz w:val="24"/>
          <w:szCs w:val="24"/>
          <w:lang w:val="en-US"/>
        </w:rPr>
        <w:t xml:space="preserve">ly, the policy choice was </w:t>
      </w:r>
      <w:r w:rsidRPr="0074031E">
        <w:rPr>
          <w:rFonts w:ascii="Times New Roman" w:hAnsi="Times New Roman" w:cs="Times New Roman"/>
          <w:sz w:val="24"/>
          <w:szCs w:val="24"/>
          <w:lang w:val="en-US"/>
        </w:rPr>
        <w:t>made to shield from any bidders protest, claiming the protection of the international status.</w:t>
      </w:r>
    </w:p>
    <w:p w14:paraId="33F22198" w14:textId="4BFF3C62" w:rsidR="00670B40" w:rsidRPr="0074031E" w:rsidRDefault="00670B40" w:rsidP="00E461C2">
      <w:pPr>
        <w:ind w:firstLine="708"/>
        <w:jc w:val="both"/>
        <w:rPr>
          <w:rFonts w:ascii="Times New Roman" w:hAnsi="Times New Roman" w:cs="Times New Roman"/>
          <w:sz w:val="24"/>
          <w:szCs w:val="24"/>
          <w:lang w:val="en-US"/>
        </w:rPr>
      </w:pPr>
      <w:r w:rsidRPr="0074031E">
        <w:rPr>
          <w:rFonts w:ascii="Times New Roman" w:hAnsi="Times New Roman" w:cs="Times New Roman"/>
          <w:sz w:val="24"/>
          <w:szCs w:val="24"/>
          <w:lang w:val="en-US"/>
        </w:rPr>
        <w:t>To explain such position, paying attention to the main mandate of the I</w:t>
      </w:r>
      <w:r w:rsidR="00E461C2">
        <w:rPr>
          <w:rFonts w:ascii="Times New Roman" w:hAnsi="Times New Roman" w:cs="Times New Roman"/>
          <w:sz w:val="24"/>
          <w:szCs w:val="24"/>
          <w:lang w:val="en-US"/>
        </w:rPr>
        <w:t>.</w:t>
      </w:r>
      <w:r w:rsidRPr="0074031E">
        <w:rPr>
          <w:rFonts w:ascii="Times New Roman" w:hAnsi="Times New Roman" w:cs="Times New Roman"/>
          <w:sz w:val="24"/>
          <w:szCs w:val="24"/>
          <w:lang w:val="en-US"/>
        </w:rPr>
        <w:t>O</w:t>
      </w:r>
      <w:r w:rsidR="00E461C2">
        <w:rPr>
          <w:rFonts w:ascii="Times New Roman" w:hAnsi="Times New Roman" w:cs="Times New Roman"/>
          <w:sz w:val="24"/>
          <w:szCs w:val="24"/>
          <w:lang w:val="en-US"/>
        </w:rPr>
        <w:t>.</w:t>
      </w:r>
      <w:r w:rsidRPr="0074031E">
        <w:rPr>
          <w:rFonts w:ascii="Times New Roman" w:hAnsi="Times New Roman" w:cs="Times New Roman"/>
          <w:sz w:val="24"/>
          <w:szCs w:val="24"/>
          <w:lang w:val="en-US"/>
        </w:rPr>
        <w:t xml:space="preserve"> might be relevant. Among dozens of existing I.O.s, several do not pursue an economic goal, such as the ones dedicated to protecting security or promoting human rights. One may understand that contracts’ law (and fairness) is not their first priority. For example, the International Criminal Court is both an intergovernmental organization and an international tribunal launched in 2002 under the Rome Statute currently signed by 124 countries, created to prosecute international crimes of genocide, crimes against humanity and war crimes. Administration and financed issues are handled by the Registry.  Its vendors’ webpages apply the ICC Financial Regulations and Rules</w:t>
      </w:r>
      <w:r w:rsidRPr="0074031E">
        <w:rPr>
          <w:rStyle w:val="FootnoteReference"/>
          <w:rFonts w:ascii="Times New Roman" w:hAnsi="Times New Roman" w:cs="Times New Roman"/>
          <w:sz w:val="24"/>
          <w:szCs w:val="24"/>
          <w:lang w:val="en-US"/>
        </w:rPr>
        <w:footnoteReference w:id="71"/>
      </w:r>
      <w:r w:rsidRPr="0074031E">
        <w:rPr>
          <w:rFonts w:ascii="Times New Roman" w:hAnsi="Times New Roman" w:cs="Times New Roman"/>
          <w:sz w:val="24"/>
          <w:szCs w:val="24"/>
          <w:lang w:val="en-US"/>
        </w:rPr>
        <w:t xml:space="preserve">, with Rules 110.12 to 110.19 governing ICC procurement. However, these rules lack provision looking at complaint, debriefing, or any transparency requirements. </w:t>
      </w:r>
      <w:r w:rsidR="00E461C2">
        <w:rPr>
          <w:rFonts w:ascii="Times New Roman" w:hAnsi="Times New Roman" w:cs="Times New Roman"/>
          <w:sz w:val="24"/>
          <w:szCs w:val="24"/>
          <w:lang w:val="en-US"/>
        </w:rPr>
        <w:t>However, with international standards progressing around minimal procurement rules and protest mechanism, with t</w:t>
      </w:r>
      <w:r w:rsidRPr="0074031E">
        <w:rPr>
          <w:rFonts w:ascii="Times New Roman" w:hAnsi="Times New Roman" w:cs="Times New Roman"/>
          <w:sz w:val="24"/>
          <w:szCs w:val="24"/>
          <w:lang w:val="en-US"/>
        </w:rPr>
        <w:t xml:space="preserve">ransparency and accountability </w:t>
      </w:r>
      <w:r w:rsidR="00E461C2">
        <w:rPr>
          <w:rFonts w:ascii="Times New Roman" w:hAnsi="Times New Roman" w:cs="Times New Roman"/>
          <w:sz w:val="24"/>
          <w:szCs w:val="24"/>
          <w:lang w:val="en-US"/>
        </w:rPr>
        <w:t xml:space="preserve">being now recognized </w:t>
      </w:r>
      <w:r w:rsidRPr="0074031E">
        <w:rPr>
          <w:rFonts w:ascii="Times New Roman" w:hAnsi="Times New Roman" w:cs="Times New Roman"/>
          <w:sz w:val="24"/>
          <w:szCs w:val="24"/>
          <w:lang w:val="en-US"/>
        </w:rPr>
        <w:t xml:space="preserve">standards in public money spending, improvement in this area would be a noticeable move, </w:t>
      </w:r>
      <w:r w:rsidR="00E461C2">
        <w:rPr>
          <w:rFonts w:ascii="Times New Roman" w:hAnsi="Times New Roman" w:cs="Times New Roman"/>
          <w:sz w:val="24"/>
          <w:szCs w:val="24"/>
          <w:lang w:val="en-US"/>
        </w:rPr>
        <w:t xml:space="preserve">at the least </w:t>
      </w:r>
      <w:r w:rsidRPr="0074031E">
        <w:rPr>
          <w:rFonts w:ascii="Times New Roman" w:hAnsi="Times New Roman" w:cs="Times New Roman"/>
          <w:sz w:val="24"/>
          <w:szCs w:val="24"/>
          <w:lang w:val="en-US"/>
        </w:rPr>
        <w:t>forging the credibility of such organizations in the</w:t>
      </w:r>
      <w:r w:rsidR="00E461C2">
        <w:rPr>
          <w:rFonts w:ascii="Times New Roman" w:hAnsi="Times New Roman" w:cs="Times New Roman"/>
          <w:sz w:val="24"/>
          <w:szCs w:val="24"/>
          <w:lang w:val="en-US"/>
        </w:rPr>
        <w:t xml:space="preserve"> way they are managing their budgets</w:t>
      </w:r>
      <w:r w:rsidRPr="0074031E">
        <w:rPr>
          <w:rStyle w:val="FootnoteReference"/>
          <w:rFonts w:ascii="Times New Roman" w:hAnsi="Times New Roman" w:cs="Times New Roman"/>
          <w:sz w:val="24"/>
          <w:szCs w:val="24"/>
          <w:lang w:val="en-US"/>
        </w:rPr>
        <w:footnoteReference w:id="72"/>
      </w:r>
      <w:r w:rsidRPr="0074031E">
        <w:rPr>
          <w:rFonts w:ascii="Times New Roman" w:hAnsi="Times New Roman" w:cs="Times New Roman"/>
          <w:sz w:val="24"/>
          <w:szCs w:val="24"/>
          <w:lang w:val="en-US"/>
        </w:rPr>
        <w:t>.</w:t>
      </w:r>
    </w:p>
    <w:p w14:paraId="21A8E566" w14:textId="0D549133" w:rsidR="00E461C2" w:rsidRDefault="00E461C2" w:rsidP="00E461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w:t>
      </w:r>
      <w:r w:rsidRPr="0074031E">
        <w:rPr>
          <w:rFonts w:ascii="Times New Roman" w:hAnsi="Times New Roman" w:cs="Times New Roman"/>
          <w:sz w:val="24"/>
          <w:szCs w:val="24"/>
          <w:lang w:val="en-US"/>
        </w:rPr>
        <w:t xml:space="preserve">remaining recalcitrant, many more </w:t>
      </w:r>
      <w:r w:rsidR="00F97AB6">
        <w:rPr>
          <w:rFonts w:ascii="Times New Roman" w:hAnsi="Times New Roman" w:cs="Times New Roman"/>
          <w:sz w:val="24"/>
          <w:szCs w:val="24"/>
          <w:lang w:val="en-US"/>
        </w:rPr>
        <w:t xml:space="preserve">I.O.s </w:t>
      </w:r>
      <w:r w:rsidRPr="0074031E">
        <w:rPr>
          <w:rFonts w:ascii="Times New Roman" w:hAnsi="Times New Roman" w:cs="Times New Roman"/>
          <w:sz w:val="24"/>
          <w:szCs w:val="24"/>
          <w:lang w:val="en-US"/>
        </w:rPr>
        <w:t xml:space="preserve">are now enacting internal rules offering protection and right of protest to their vendors. This is certainly true for I.O.s involved in implementing the Development agenda. For many years, a paradoxical situation could have been noticed with, at the same time as some I.Os were lobbying for transparency to be observed in national systems, they themselves were still free of this obligation when acting as contracting entities. This position, if justified from a legal point of view based on the immunity protection, </w:t>
      </w:r>
      <w:r>
        <w:rPr>
          <w:rFonts w:ascii="Times New Roman" w:hAnsi="Times New Roman" w:cs="Times New Roman"/>
          <w:sz w:val="24"/>
          <w:szCs w:val="24"/>
          <w:lang w:val="en-US"/>
        </w:rPr>
        <w:t xml:space="preserve">was hardly defendable </w:t>
      </w:r>
      <w:r w:rsidRPr="0074031E">
        <w:rPr>
          <w:rFonts w:ascii="Times New Roman" w:hAnsi="Times New Roman" w:cs="Times New Roman"/>
          <w:sz w:val="24"/>
          <w:szCs w:val="24"/>
          <w:lang w:val="en-US"/>
        </w:rPr>
        <w:t>from a political perspective, while the I.Os involved in Development were also committed to promote good governance and transparency, notably through the Millennium goals. This is even less defendable while the U.N. Sustainable Development Goals, adopted in 2015, encourage vendors to adhere to compliance programs, and mandate countries to reform their domestic public contracts policies. These factors have concurred toward setting major reforms in I.O.s complaint procurement policies</w:t>
      </w:r>
      <w:r>
        <w:rPr>
          <w:rFonts w:ascii="Times New Roman" w:hAnsi="Times New Roman" w:cs="Times New Roman"/>
          <w:sz w:val="24"/>
          <w:szCs w:val="24"/>
          <w:lang w:val="en-US"/>
        </w:rPr>
        <w:t>, that will need to be monitored in the coming years</w:t>
      </w:r>
      <w:r w:rsidRPr="0074031E">
        <w:rPr>
          <w:rFonts w:ascii="Times New Roman" w:hAnsi="Times New Roman" w:cs="Times New Roman"/>
          <w:sz w:val="24"/>
          <w:szCs w:val="24"/>
          <w:lang w:val="en-US"/>
        </w:rPr>
        <w:t>.</w:t>
      </w:r>
    </w:p>
    <w:p w14:paraId="5BD5836C" w14:textId="10F6775F" w:rsidR="00E461C2" w:rsidRDefault="00865795" w:rsidP="00E461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Ultimately, t</w:t>
      </w:r>
      <w:r w:rsidR="00E461C2">
        <w:rPr>
          <w:rFonts w:ascii="Times New Roman" w:hAnsi="Times New Roman" w:cs="Times New Roman"/>
          <w:sz w:val="24"/>
          <w:szCs w:val="24"/>
          <w:lang w:val="en-US"/>
        </w:rPr>
        <w:t xml:space="preserve">his ongoing process </w:t>
      </w:r>
      <w:r>
        <w:rPr>
          <w:rFonts w:ascii="Times New Roman" w:hAnsi="Times New Roman" w:cs="Times New Roman"/>
          <w:sz w:val="24"/>
          <w:szCs w:val="24"/>
          <w:lang w:val="en-US"/>
        </w:rPr>
        <w:t>should be compared to a related area which has gained much attention recently. It does</w:t>
      </w:r>
      <w:r w:rsidR="00E461C2">
        <w:rPr>
          <w:rFonts w:ascii="Times New Roman" w:hAnsi="Times New Roman" w:cs="Times New Roman"/>
          <w:sz w:val="24"/>
          <w:szCs w:val="24"/>
          <w:lang w:val="en-US"/>
        </w:rPr>
        <w:t xml:space="preserve"> drastically contrast with the rapid implementation of sanctions and d</w:t>
      </w:r>
      <w:r>
        <w:rPr>
          <w:rFonts w:ascii="Times New Roman" w:hAnsi="Times New Roman" w:cs="Times New Roman"/>
          <w:sz w:val="24"/>
          <w:szCs w:val="24"/>
          <w:lang w:val="en-US"/>
        </w:rPr>
        <w:t xml:space="preserve">ebarment procedures </w:t>
      </w:r>
      <w:r w:rsidR="00E461C2">
        <w:rPr>
          <w:rFonts w:ascii="Times New Roman" w:hAnsi="Times New Roman" w:cs="Times New Roman"/>
          <w:sz w:val="24"/>
          <w:szCs w:val="24"/>
          <w:lang w:val="en-US"/>
        </w:rPr>
        <w:t xml:space="preserve">in several I.O.s rules. Designed to prevent awarding contracts to companies convicted of wrong doing, including fraud and corruption, these rules are meant to protect  the fiduciary obligations of the I.Os. However they may also raise other issues related to the right for companies </w:t>
      </w:r>
      <w:r>
        <w:rPr>
          <w:rFonts w:ascii="Times New Roman" w:hAnsi="Times New Roman" w:cs="Times New Roman"/>
          <w:sz w:val="24"/>
          <w:szCs w:val="24"/>
          <w:lang w:val="en-US"/>
        </w:rPr>
        <w:t>as being registered vendors</w:t>
      </w:r>
      <w:r>
        <w:rPr>
          <w:rStyle w:val="FootnoteReference"/>
          <w:rFonts w:ascii="Times New Roman" w:hAnsi="Times New Roman" w:cs="Times New Roman"/>
          <w:sz w:val="24"/>
          <w:szCs w:val="24"/>
          <w:lang w:val="en-US"/>
        </w:rPr>
        <w:footnoteReference w:id="73"/>
      </w:r>
      <w:r>
        <w:rPr>
          <w:rFonts w:ascii="Times New Roman" w:hAnsi="Times New Roman" w:cs="Times New Roman"/>
          <w:sz w:val="24"/>
          <w:szCs w:val="24"/>
          <w:lang w:val="en-US"/>
        </w:rPr>
        <w:t xml:space="preserve">, and furthermore </w:t>
      </w:r>
      <w:r w:rsidR="00E461C2">
        <w:rPr>
          <w:rFonts w:ascii="Times New Roman" w:hAnsi="Times New Roman" w:cs="Times New Roman"/>
          <w:sz w:val="24"/>
          <w:szCs w:val="24"/>
          <w:lang w:val="en-US"/>
        </w:rPr>
        <w:t>for due process and consideration for the proportionality of the sanctions</w:t>
      </w:r>
      <w:r w:rsidR="00E461C2">
        <w:rPr>
          <w:rStyle w:val="FootnoteReference"/>
          <w:rFonts w:ascii="Times New Roman" w:hAnsi="Times New Roman" w:cs="Times New Roman"/>
          <w:sz w:val="24"/>
          <w:szCs w:val="24"/>
          <w:lang w:val="en-US"/>
        </w:rPr>
        <w:footnoteReference w:id="74"/>
      </w:r>
      <w:r w:rsidR="00E461C2">
        <w:rPr>
          <w:rFonts w:ascii="Times New Roman" w:hAnsi="Times New Roman" w:cs="Times New Roman"/>
          <w:sz w:val="24"/>
          <w:szCs w:val="24"/>
          <w:lang w:val="en-US"/>
        </w:rPr>
        <w:t>.</w:t>
      </w:r>
    </w:p>
    <w:p w14:paraId="00F34979" w14:textId="005301DC" w:rsidR="00C62DB5" w:rsidRPr="0074031E" w:rsidRDefault="00C62DB5" w:rsidP="0074031E">
      <w:pPr>
        <w:jc w:val="both"/>
        <w:rPr>
          <w:rFonts w:ascii="Times New Roman" w:hAnsi="Times New Roman" w:cs="Times New Roman"/>
          <w:sz w:val="24"/>
          <w:szCs w:val="24"/>
          <w:lang w:val="en-US"/>
        </w:rPr>
      </w:pPr>
    </w:p>
    <w:sectPr w:rsidR="00C62DB5" w:rsidRPr="0074031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49951" w14:textId="77777777" w:rsidR="00D104EF" w:rsidRDefault="00D104EF" w:rsidP="005120F0">
      <w:pPr>
        <w:spacing w:after="0" w:line="240" w:lineRule="auto"/>
      </w:pPr>
      <w:r>
        <w:separator/>
      </w:r>
    </w:p>
  </w:endnote>
  <w:endnote w:type="continuationSeparator" w:id="0">
    <w:p w14:paraId="10DE9D73" w14:textId="77777777" w:rsidR="00D104EF" w:rsidRDefault="00D104EF" w:rsidP="0051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422471"/>
      <w:docPartObj>
        <w:docPartGallery w:val="Page Numbers (Bottom of Page)"/>
        <w:docPartUnique/>
      </w:docPartObj>
    </w:sdtPr>
    <w:sdtEndPr/>
    <w:sdtContent>
      <w:p w14:paraId="0B9A6FAC" w14:textId="77777777" w:rsidR="00B55D06" w:rsidRDefault="00B55D06">
        <w:pPr>
          <w:pStyle w:val="Footer"/>
          <w:jc w:val="center"/>
        </w:pPr>
        <w:r>
          <w:fldChar w:fldCharType="begin"/>
        </w:r>
        <w:r>
          <w:instrText>PAGE   \* MERGEFORMAT</w:instrText>
        </w:r>
        <w:r>
          <w:fldChar w:fldCharType="separate"/>
        </w:r>
        <w:r w:rsidR="003F0467">
          <w:rPr>
            <w:noProof/>
          </w:rPr>
          <w:t>16</w:t>
        </w:r>
        <w:r>
          <w:fldChar w:fldCharType="end"/>
        </w:r>
      </w:p>
    </w:sdtContent>
  </w:sdt>
  <w:p w14:paraId="3EBABE46" w14:textId="77777777" w:rsidR="00B55D06" w:rsidRDefault="00B5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9FBF" w14:textId="77777777" w:rsidR="00D104EF" w:rsidRDefault="00D104EF" w:rsidP="005120F0">
      <w:pPr>
        <w:spacing w:after="0" w:line="240" w:lineRule="auto"/>
      </w:pPr>
      <w:r>
        <w:separator/>
      </w:r>
    </w:p>
  </w:footnote>
  <w:footnote w:type="continuationSeparator" w:id="0">
    <w:p w14:paraId="54A9C308" w14:textId="77777777" w:rsidR="00D104EF" w:rsidRDefault="00D104EF" w:rsidP="005120F0">
      <w:pPr>
        <w:spacing w:after="0" w:line="240" w:lineRule="auto"/>
      </w:pPr>
      <w:r>
        <w:continuationSeparator/>
      </w:r>
    </w:p>
  </w:footnote>
  <w:footnote w:id="1">
    <w:p w14:paraId="704804A9" w14:textId="4BE09E01" w:rsidR="00B55D06" w:rsidRPr="0074031E" w:rsidRDefault="00B55D06" w:rsidP="00886F11">
      <w:pPr>
        <w:pStyle w:val="FootnoteText"/>
        <w:jc w:val="both"/>
        <w:rPr>
          <w:sz w:val="18"/>
          <w:szCs w:val="18"/>
          <w:lang w:val="en-US"/>
        </w:rPr>
      </w:pPr>
      <w:r>
        <w:rPr>
          <w:rStyle w:val="FootnoteReference"/>
        </w:rPr>
        <w:footnoteRef/>
      </w:r>
      <w:r w:rsidRPr="0074031E">
        <w:rPr>
          <w:sz w:val="18"/>
          <w:szCs w:val="18"/>
          <w:lang w:val="en-US"/>
        </w:rPr>
        <w:t>L. F</w:t>
      </w:r>
      <w:r w:rsidR="00886F11" w:rsidRPr="00886F11">
        <w:rPr>
          <w:sz w:val="14"/>
          <w:szCs w:val="18"/>
          <w:lang w:val="en-US"/>
        </w:rPr>
        <w:t>OLLIOT</w:t>
      </w:r>
      <w:r w:rsidR="00886F11">
        <w:rPr>
          <w:sz w:val="18"/>
          <w:szCs w:val="18"/>
          <w:lang w:val="en-US"/>
        </w:rPr>
        <w:t xml:space="preserve"> L</w:t>
      </w:r>
      <w:r w:rsidR="00886F11" w:rsidRPr="00886F11">
        <w:rPr>
          <w:sz w:val="14"/>
          <w:szCs w:val="18"/>
          <w:lang w:val="en-US"/>
        </w:rPr>
        <w:t>ALLIOT</w:t>
      </w:r>
      <w:r w:rsidRPr="0074031E">
        <w:rPr>
          <w:sz w:val="18"/>
          <w:szCs w:val="18"/>
          <w:lang w:val="en-US"/>
        </w:rPr>
        <w:t xml:space="preserve">, </w:t>
      </w:r>
      <w:r w:rsidR="00886F11">
        <w:rPr>
          <w:sz w:val="18"/>
          <w:szCs w:val="18"/>
          <w:lang w:val="en-US"/>
        </w:rPr>
        <w:t>“</w:t>
      </w:r>
      <w:r w:rsidRPr="0074031E">
        <w:rPr>
          <w:sz w:val="18"/>
          <w:szCs w:val="18"/>
          <w:lang w:val="en-US"/>
        </w:rPr>
        <w:t xml:space="preserve">From the Internationalization of Rules to the Internationalization of Public Contracts: How International  </w:t>
      </w:r>
      <w:r w:rsidRPr="0074031E">
        <w:rPr>
          <w:sz w:val="18"/>
          <w:szCs w:val="18"/>
        </w:rPr>
        <w:t>Instruments Are Reshaping Domestic Procurement Systems</w:t>
      </w:r>
      <w:r w:rsidR="00886F11">
        <w:rPr>
          <w:sz w:val="18"/>
          <w:szCs w:val="18"/>
        </w:rPr>
        <w:t>”</w:t>
      </w:r>
      <w:r w:rsidRPr="0074031E">
        <w:rPr>
          <w:sz w:val="18"/>
          <w:szCs w:val="18"/>
        </w:rPr>
        <w:t xml:space="preserve">, </w:t>
      </w:r>
      <w:r w:rsidRPr="0074031E">
        <w:rPr>
          <w:sz w:val="18"/>
          <w:szCs w:val="18"/>
          <w:lang w:val="en-US"/>
        </w:rPr>
        <w:t xml:space="preserve">in </w:t>
      </w:r>
      <w:r w:rsidRPr="00886F11">
        <w:rPr>
          <w:i/>
          <w:sz w:val="18"/>
          <w:szCs w:val="18"/>
          <w:lang w:val="en-US"/>
        </w:rPr>
        <w:t>Transnational Law of Public Contracts</w:t>
      </w:r>
      <w:r w:rsidRPr="0074031E">
        <w:rPr>
          <w:sz w:val="18"/>
          <w:szCs w:val="18"/>
          <w:lang w:val="en-US"/>
        </w:rPr>
        <w:t xml:space="preserve">, </w:t>
      </w:r>
      <w:r w:rsidR="00886F11" w:rsidRPr="0074031E">
        <w:rPr>
          <w:sz w:val="18"/>
          <w:szCs w:val="18"/>
          <w:lang w:val="en-US"/>
        </w:rPr>
        <w:t xml:space="preserve">M. </w:t>
      </w:r>
      <w:r w:rsidR="00886F11">
        <w:rPr>
          <w:sz w:val="18"/>
          <w:szCs w:val="18"/>
          <w:lang w:val="en-US"/>
        </w:rPr>
        <w:t>A</w:t>
      </w:r>
      <w:r w:rsidR="00886F11" w:rsidRPr="00886F11">
        <w:rPr>
          <w:sz w:val="14"/>
          <w:szCs w:val="18"/>
          <w:lang w:val="en-US"/>
        </w:rPr>
        <w:t>UDIT</w:t>
      </w:r>
      <w:r w:rsidR="00886F11" w:rsidRPr="0074031E">
        <w:rPr>
          <w:sz w:val="18"/>
          <w:szCs w:val="18"/>
          <w:lang w:val="en-US"/>
        </w:rPr>
        <w:t xml:space="preserve"> &amp; S. S</w:t>
      </w:r>
      <w:r w:rsidR="00886F11" w:rsidRPr="00886F11">
        <w:rPr>
          <w:sz w:val="14"/>
          <w:szCs w:val="18"/>
          <w:lang w:val="en-US"/>
        </w:rPr>
        <w:t>CHILL</w:t>
      </w:r>
      <w:r w:rsidR="00886F11">
        <w:rPr>
          <w:sz w:val="18"/>
          <w:szCs w:val="18"/>
          <w:lang w:val="en-US"/>
        </w:rPr>
        <w:t xml:space="preserve"> (eds.), </w:t>
      </w:r>
      <w:proofErr w:type="spellStart"/>
      <w:r w:rsidRPr="0074031E">
        <w:rPr>
          <w:sz w:val="18"/>
          <w:szCs w:val="18"/>
          <w:lang w:val="en-US"/>
        </w:rPr>
        <w:t>Bruylant</w:t>
      </w:r>
      <w:proofErr w:type="spellEnd"/>
      <w:r w:rsidRPr="0074031E">
        <w:rPr>
          <w:sz w:val="18"/>
          <w:szCs w:val="18"/>
          <w:lang w:val="en-US"/>
        </w:rPr>
        <w:t>, 2016.</w:t>
      </w:r>
    </w:p>
  </w:footnote>
  <w:footnote w:id="2">
    <w:p w14:paraId="75B92328" w14:textId="031A5F50"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Source UNOPS, </w:t>
      </w:r>
      <w:hyperlink r:id="rId1" w:history="1">
        <w:r w:rsidRPr="0074031E">
          <w:rPr>
            <w:rStyle w:val="Hyperlink"/>
            <w:sz w:val="18"/>
            <w:szCs w:val="18"/>
            <w:lang w:val="en-US"/>
          </w:rPr>
          <w:t>http://www.unops.org/english/whatwedo/news/Pages/UN_procurement_reaches_154_billion_in_2012.aspx</w:t>
        </w:r>
      </w:hyperlink>
      <w:r w:rsidRPr="0074031E">
        <w:rPr>
          <w:sz w:val="18"/>
          <w:szCs w:val="18"/>
          <w:lang w:val="en-US"/>
        </w:rPr>
        <w:t>, last visited January 14, 2017.</w:t>
      </w:r>
    </w:p>
  </w:footnote>
  <w:footnote w:id="3">
    <w:p w14:paraId="68A60FB2" w14:textId="30B1577A" w:rsidR="00B55D06" w:rsidRPr="0074031E" w:rsidRDefault="00B55D06" w:rsidP="00886F11">
      <w:pPr>
        <w:jc w:val="both"/>
        <w:rPr>
          <w:rFonts w:ascii="Times New Roman" w:eastAsia="Times New Roman" w:hAnsi="Times New Roman" w:cs="Times New Roman"/>
          <w:sz w:val="18"/>
          <w:szCs w:val="18"/>
          <w:lang w:eastAsia="en-GB"/>
        </w:rPr>
      </w:pPr>
      <w:r w:rsidRPr="0074031E">
        <w:rPr>
          <w:rStyle w:val="FootnoteReference"/>
          <w:sz w:val="18"/>
          <w:szCs w:val="18"/>
        </w:rPr>
        <w:footnoteRef/>
      </w:r>
      <w:r w:rsidRPr="0074031E">
        <w:rPr>
          <w:sz w:val="18"/>
          <w:szCs w:val="18"/>
        </w:rPr>
        <w:t xml:space="preserve"> </w:t>
      </w:r>
      <w:r w:rsidR="00886F11">
        <w:rPr>
          <w:rFonts w:ascii="Times New Roman" w:eastAsia="Times New Roman" w:hAnsi="Times New Roman" w:cs="Times New Roman"/>
          <w:sz w:val="18"/>
          <w:szCs w:val="18"/>
          <w:lang w:eastAsia="en-GB"/>
        </w:rPr>
        <w:t>D. M</w:t>
      </w:r>
      <w:r w:rsidR="00886F11" w:rsidRPr="00886F11">
        <w:rPr>
          <w:rFonts w:ascii="Times New Roman" w:eastAsia="Times New Roman" w:hAnsi="Times New Roman" w:cs="Times New Roman"/>
          <w:sz w:val="14"/>
          <w:szCs w:val="18"/>
          <w:lang w:eastAsia="en-GB"/>
        </w:rPr>
        <w:t>EYER</w:t>
      </w:r>
      <w:r w:rsidR="00886F11">
        <w:rPr>
          <w:rFonts w:ascii="Times New Roman" w:eastAsia="Times New Roman" w:hAnsi="Times New Roman" w:cs="Times New Roman"/>
          <w:sz w:val="18"/>
          <w:szCs w:val="18"/>
          <w:lang w:eastAsia="en-GB"/>
        </w:rPr>
        <w:t>, « </w:t>
      </w:r>
      <w:r w:rsidRPr="0074031E">
        <w:rPr>
          <w:rFonts w:ascii="Times New Roman" w:eastAsia="Times New Roman" w:hAnsi="Times New Roman" w:cs="Times New Roman"/>
          <w:sz w:val="18"/>
          <w:szCs w:val="18"/>
          <w:lang w:eastAsia="en-GB"/>
        </w:rPr>
        <w:t>Les contrats de fourniture de biens et services dans le cadre des opérations de maintien de la paix</w:t>
      </w:r>
      <w:r w:rsidR="00886F11">
        <w:rPr>
          <w:rFonts w:ascii="Times New Roman" w:eastAsia="Times New Roman" w:hAnsi="Times New Roman" w:cs="Times New Roman"/>
          <w:sz w:val="18"/>
          <w:szCs w:val="18"/>
          <w:lang w:eastAsia="en-GB"/>
        </w:rPr>
        <w:t> »,</w:t>
      </w:r>
      <w:r w:rsidRPr="0074031E">
        <w:rPr>
          <w:rFonts w:ascii="Times New Roman" w:eastAsia="Times New Roman" w:hAnsi="Times New Roman" w:cs="Times New Roman"/>
          <w:sz w:val="18"/>
          <w:szCs w:val="18"/>
          <w:lang w:eastAsia="en-GB"/>
        </w:rPr>
        <w:t xml:space="preserve"> </w:t>
      </w:r>
      <w:r w:rsidRPr="00886F11">
        <w:rPr>
          <w:rFonts w:ascii="Times New Roman" w:eastAsia="Times New Roman" w:hAnsi="Times New Roman" w:cs="Times New Roman"/>
          <w:i/>
          <w:sz w:val="18"/>
          <w:szCs w:val="18"/>
          <w:lang w:eastAsia="en-GB"/>
        </w:rPr>
        <w:t>Annuaire français de droit international,</w:t>
      </w:r>
      <w:r w:rsidRPr="0074031E">
        <w:rPr>
          <w:rFonts w:ascii="Times New Roman" w:eastAsia="Times New Roman" w:hAnsi="Times New Roman" w:cs="Times New Roman"/>
          <w:sz w:val="18"/>
          <w:szCs w:val="18"/>
          <w:lang w:eastAsia="en-GB"/>
        </w:rPr>
        <w:t xml:space="preserve"> volume 42, 1996. pp. 79-117.</w:t>
      </w:r>
    </w:p>
  </w:footnote>
  <w:footnote w:id="4">
    <w:p w14:paraId="5A86ADDD" w14:textId="50343684" w:rsidR="00B55D06" w:rsidRPr="0074031E" w:rsidRDefault="00B55D06" w:rsidP="00886F11">
      <w:pPr>
        <w:pStyle w:val="FootnoteText"/>
        <w:jc w:val="both"/>
        <w:rPr>
          <w:sz w:val="18"/>
          <w:szCs w:val="18"/>
          <w:lang w:val="fr-FR"/>
        </w:rPr>
      </w:pPr>
      <w:r w:rsidRPr="0074031E">
        <w:rPr>
          <w:rStyle w:val="FootnoteReference"/>
          <w:sz w:val="18"/>
          <w:szCs w:val="18"/>
        </w:rPr>
        <w:footnoteRef/>
      </w:r>
      <w:r w:rsidRPr="0074031E">
        <w:rPr>
          <w:sz w:val="18"/>
          <w:szCs w:val="18"/>
          <w:lang w:val="fr-FR"/>
        </w:rPr>
        <w:t xml:space="preserve"> M. A</w:t>
      </w:r>
      <w:r w:rsidR="0074031E" w:rsidRPr="00886F11">
        <w:rPr>
          <w:sz w:val="14"/>
          <w:szCs w:val="18"/>
          <w:lang w:val="fr-FR"/>
        </w:rPr>
        <w:t>UDIT</w:t>
      </w:r>
      <w:r w:rsidRPr="0074031E">
        <w:rPr>
          <w:sz w:val="18"/>
          <w:szCs w:val="18"/>
          <w:lang w:val="fr-FR"/>
        </w:rPr>
        <w:t>, S. B</w:t>
      </w:r>
      <w:r w:rsidR="0074031E" w:rsidRPr="00886F11">
        <w:rPr>
          <w:sz w:val="14"/>
          <w:szCs w:val="18"/>
          <w:lang w:val="fr-FR"/>
        </w:rPr>
        <w:t>OLLEE</w:t>
      </w:r>
      <w:r w:rsidRPr="0074031E">
        <w:rPr>
          <w:sz w:val="18"/>
          <w:szCs w:val="18"/>
          <w:lang w:val="fr-FR"/>
        </w:rPr>
        <w:t xml:space="preserve"> et P. C</w:t>
      </w:r>
      <w:r w:rsidR="0074031E" w:rsidRPr="00886F11">
        <w:rPr>
          <w:sz w:val="14"/>
          <w:szCs w:val="18"/>
          <w:lang w:val="fr-FR"/>
        </w:rPr>
        <w:t>ALLE</w:t>
      </w:r>
      <w:r w:rsidRPr="0074031E">
        <w:rPr>
          <w:sz w:val="18"/>
          <w:szCs w:val="18"/>
          <w:lang w:val="fr-FR"/>
        </w:rPr>
        <w:t xml:space="preserve">, Droit du commerce international et des investissements, LGDJ 2014, n° 254 et s. </w:t>
      </w:r>
    </w:p>
  </w:footnote>
  <w:footnote w:id="5">
    <w:p w14:paraId="7BC8ECB2" w14:textId="7014355A"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Centre de </w:t>
      </w:r>
      <w:proofErr w:type="spellStart"/>
      <w:r w:rsidRPr="0074031E">
        <w:rPr>
          <w:sz w:val="18"/>
          <w:szCs w:val="18"/>
        </w:rPr>
        <w:t>Recherches</w:t>
      </w:r>
      <w:proofErr w:type="spellEnd"/>
      <w:r w:rsidRPr="0074031E">
        <w:rPr>
          <w:sz w:val="18"/>
          <w:szCs w:val="18"/>
        </w:rPr>
        <w:t xml:space="preserve"> </w:t>
      </w:r>
      <w:proofErr w:type="spellStart"/>
      <w:r w:rsidRPr="0074031E">
        <w:rPr>
          <w:sz w:val="18"/>
          <w:szCs w:val="18"/>
        </w:rPr>
        <w:t>en</w:t>
      </w:r>
      <w:proofErr w:type="spellEnd"/>
      <w:r w:rsidRPr="0074031E">
        <w:rPr>
          <w:sz w:val="18"/>
          <w:szCs w:val="18"/>
        </w:rPr>
        <w:t xml:space="preserve"> Droit Public (CRDP) and the Centre de Droit International de Nanterre (CEDIN), </w:t>
      </w:r>
      <w:proofErr w:type="spellStart"/>
      <w:r w:rsidRPr="0074031E">
        <w:rPr>
          <w:sz w:val="18"/>
          <w:szCs w:val="18"/>
        </w:rPr>
        <w:t>Université</w:t>
      </w:r>
      <w:proofErr w:type="spellEnd"/>
      <w:r w:rsidRPr="0074031E">
        <w:rPr>
          <w:sz w:val="18"/>
          <w:szCs w:val="18"/>
        </w:rPr>
        <w:t xml:space="preserve"> Paris-Ouest Nanterre, Enterprises and international organizations: what review mechanisms should be established in connection with public procurement by international organizations, prepared by L</w:t>
      </w:r>
      <w:r w:rsidR="00886F11">
        <w:rPr>
          <w:sz w:val="18"/>
          <w:szCs w:val="18"/>
        </w:rPr>
        <w:t xml:space="preserve">. </w:t>
      </w:r>
      <w:r w:rsidRPr="0074031E">
        <w:rPr>
          <w:sz w:val="18"/>
          <w:szCs w:val="18"/>
        </w:rPr>
        <w:t>F</w:t>
      </w:r>
      <w:r w:rsidR="00886F11" w:rsidRPr="00886F11">
        <w:rPr>
          <w:sz w:val="14"/>
          <w:szCs w:val="18"/>
        </w:rPr>
        <w:t>OLLIOT</w:t>
      </w:r>
      <w:r w:rsidR="00886F11">
        <w:rPr>
          <w:sz w:val="18"/>
          <w:szCs w:val="18"/>
        </w:rPr>
        <w:t xml:space="preserve"> </w:t>
      </w:r>
      <w:r w:rsidRPr="0074031E">
        <w:rPr>
          <w:sz w:val="18"/>
          <w:szCs w:val="18"/>
        </w:rPr>
        <w:t>L</w:t>
      </w:r>
      <w:r w:rsidR="00886F11" w:rsidRPr="00886F11">
        <w:rPr>
          <w:sz w:val="14"/>
          <w:szCs w:val="18"/>
        </w:rPr>
        <w:t>ALLIOT</w:t>
      </w:r>
      <w:r w:rsidRPr="0074031E">
        <w:rPr>
          <w:sz w:val="18"/>
          <w:szCs w:val="18"/>
        </w:rPr>
        <w:t>, C. P</w:t>
      </w:r>
      <w:r w:rsidR="0074031E" w:rsidRPr="00886F11">
        <w:rPr>
          <w:sz w:val="14"/>
          <w:szCs w:val="18"/>
        </w:rPr>
        <w:t>REBISSY</w:t>
      </w:r>
      <w:r w:rsidR="0074031E" w:rsidRPr="0074031E">
        <w:rPr>
          <w:sz w:val="18"/>
          <w:szCs w:val="18"/>
        </w:rPr>
        <w:t>-S</w:t>
      </w:r>
      <w:r w:rsidR="0074031E" w:rsidRPr="00886F11">
        <w:rPr>
          <w:sz w:val="14"/>
          <w:szCs w:val="18"/>
        </w:rPr>
        <w:t>CHNALL</w:t>
      </w:r>
      <w:r w:rsidR="0074031E" w:rsidRPr="0074031E">
        <w:rPr>
          <w:sz w:val="18"/>
          <w:szCs w:val="18"/>
        </w:rPr>
        <w:t>, and M.</w:t>
      </w:r>
      <w:r w:rsidRPr="0074031E">
        <w:rPr>
          <w:sz w:val="18"/>
          <w:szCs w:val="18"/>
        </w:rPr>
        <w:t xml:space="preserve"> B</w:t>
      </w:r>
      <w:r w:rsidR="0074031E" w:rsidRPr="00886F11">
        <w:rPr>
          <w:sz w:val="14"/>
          <w:szCs w:val="18"/>
        </w:rPr>
        <w:t>ERNARD</w:t>
      </w:r>
      <w:r w:rsidRPr="0074031E">
        <w:rPr>
          <w:sz w:val="18"/>
          <w:szCs w:val="18"/>
        </w:rPr>
        <w:t>, PHD Student in International Public Law (CEDIN), 2008, English translation OSCE 2008.</w:t>
      </w:r>
    </w:p>
  </w:footnote>
  <w:footnote w:id="6">
    <w:p w14:paraId="662D5AB4" w14:textId="1395DDF8"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This study was conducted from June to September 2008 by consulting I</w:t>
      </w:r>
      <w:r w:rsidR="0074031E" w:rsidRPr="0074031E">
        <w:rPr>
          <w:sz w:val="18"/>
          <w:szCs w:val="18"/>
        </w:rPr>
        <w:t>.</w:t>
      </w:r>
      <w:r w:rsidRPr="0074031E">
        <w:rPr>
          <w:sz w:val="18"/>
          <w:szCs w:val="18"/>
        </w:rPr>
        <w:t>Os procurement websites and through a number of interviews and gathering of replies to a questionnaire addressed to the public procurement services of several I</w:t>
      </w:r>
      <w:r w:rsidR="0074031E" w:rsidRPr="0074031E">
        <w:rPr>
          <w:sz w:val="18"/>
          <w:szCs w:val="18"/>
        </w:rPr>
        <w:t>.</w:t>
      </w:r>
      <w:r w:rsidRPr="0074031E">
        <w:rPr>
          <w:sz w:val="18"/>
          <w:szCs w:val="18"/>
        </w:rPr>
        <w:t>Os. Unfortunately, despite the interest aroused by this survey, not everyone responded. It is possible, therefore, that this study failed to take into account an effective claim system established by some organization, but that should not alter its general conclusions.</w:t>
      </w:r>
    </w:p>
  </w:footnote>
  <w:footnote w:id="7">
    <w:p w14:paraId="0928D8EB" w14:textId="0039278D" w:rsidR="00B55D06" w:rsidRPr="00886F11" w:rsidRDefault="00B55D06" w:rsidP="00886F11">
      <w:pPr>
        <w:pStyle w:val="FootnoteText"/>
        <w:jc w:val="both"/>
        <w:rPr>
          <w:sz w:val="18"/>
          <w:szCs w:val="18"/>
          <w:lang w:val="en-US"/>
        </w:rPr>
      </w:pPr>
      <w:r w:rsidRPr="00886F11">
        <w:rPr>
          <w:rStyle w:val="FootnoteReference"/>
          <w:sz w:val="18"/>
          <w:szCs w:val="18"/>
        </w:rPr>
        <w:footnoteRef/>
      </w:r>
      <w:r w:rsidRPr="00886F11">
        <w:rPr>
          <w:sz w:val="18"/>
          <w:szCs w:val="18"/>
        </w:rPr>
        <w:t xml:space="preserve"> </w:t>
      </w:r>
      <w:r w:rsidR="00886F11">
        <w:rPr>
          <w:sz w:val="18"/>
          <w:szCs w:val="18"/>
        </w:rPr>
        <w:t>A.</w:t>
      </w:r>
      <w:r w:rsidRPr="00886F11">
        <w:rPr>
          <w:sz w:val="18"/>
          <w:szCs w:val="18"/>
        </w:rPr>
        <w:t xml:space="preserve"> R</w:t>
      </w:r>
      <w:r w:rsidR="00886F11" w:rsidRPr="00886F11">
        <w:rPr>
          <w:sz w:val="14"/>
          <w:szCs w:val="18"/>
        </w:rPr>
        <w:t>EINISCH</w:t>
      </w:r>
      <w:r w:rsidRPr="00886F11">
        <w:rPr>
          <w:sz w:val="18"/>
          <w:szCs w:val="18"/>
        </w:rPr>
        <w:t xml:space="preserve">, </w:t>
      </w:r>
      <w:r w:rsidRPr="00886F11">
        <w:rPr>
          <w:i/>
          <w:sz w:val="18"/>
          <w:szCs w:val="18"/>
        </w:rPr>
        <w:t>International Organizations Before National Courts</w:t>
      </w:r>
      <w:r w:rsidRPr="00886F11">
        <w:rPr>
          <w:sz w:val="18"/>
          <w:szCs w:val="18"/>
        </w:rPr>
        <w:t>, Cambridge, 2000, p.28.</w:t>
      </w:r>
    </w:p>
  </w:footnote>
  <w:footnote w:id="8">
    <w:p w14:paraId="74FD96E9" w14:textId="141B91FB" w:rsidR="00B55D06" w:rsidRPr="00886F11" w:rsidRDefault="00B55D06" w:rsidP="00886F11">
      <w:pPr>
        <w:pStyle w:val="FootnoteText"/>
        <w:jc w:val="both"/>
        <w:rPr>
          <w:sz w:val="18"/>
          <w:szCs w:val="18"/>
          <w:lang w:val="en-US"/>
        </w:rPr>
      </w:pPr>
      <w:r w:rsidRPr="00886F11">
        <w:rPr>
          <w:rStyle w:val="FootnoteReference"/>
          <w:sz w:val="18"/>
          <w:szCs w:val="18"/>
        </w:rPr>
        <w:footnoteRef/>
      </w:r>
      <w:r w:rsidRPr="00886F11">
        <w:rPr>
          <w:sz w:val="18"/>
          <w:szCs w:val="18"/>
        </w:rPr>
        <w:t xml:space="preserve"> </w:t>
      </w:r>
      <w:r w:rsidR="00886F11">
        <w:rPr>
          <w:sz w:val="18"/>
          <w:szCs w:val="18"/>
          <w:lang w:val="en"/>
        </w:rPr>
        <w:t xml:space="preserve">B. </w:t>
      </w:r>
      <w:r w:rsidR="00886F11" w:rsidRPr="00886F11">
        <w:rPr>
          <w:sz w:val="16"/>
          <w:szCs w:val="18"/>
          <w:lang w:val="en"/>
        </w:rPr>
        <w:t>K</w:t>
      </w:r>
      <w:r w:rsidR="00886F11" w:rsidRPr="00886F11">
        <w:rPr>
          <w:sz w:val="14"/>
          <w:szCs w:val="18"/>
          <w:lang w:val="en"/>
        </w:rPr>
        <w:t>NAPP</w:t>
      </w:r>
      <w:r w:rsidRPr="00886F11">
        <w:rPr>
          <w:sz w:val="16"/>
          <w:szCs w:val="18"/>
          <w:lang w:val="en"/>
        </w:rPr>
        <w:t>,</w:t>
      </w:r>
      <w:r w:rsidRPr="00886F11">
        <w:rPr>
          <w:sz w:val="18"/>
          <w:szCs w:val="18"/>
          <w:lang w:val="en"/>
        </w:rPr>
        <w:t xml:space="preserve"> article 68, </w:t>
      </w:r>
      <w:proofErr w:type="spellStart"/>
      <w:r w:rsidRPr="00886F11">
        <w:rPr>
          <w:sz w:val="18"/>
          <w:szCs w:val="18"/>
          <w:lang w:val="en"/>
        </w:rPr>
        <w:t>Adde</w:t>
      </w:r>
      <w:proofErr w:type="spellEnd"/>
      <w:r w:rsidRPr="00886F11">
        <w:rPr>
          <w:sz w:val="18"/>
          <w:szCs w:val="18"/>
          <w:lang w:val="en"/>
        </w:rPr>
        <w:t xml:space="preserve"> M. S</w:t>
      </w:r>
      <w:r w:rsidR="00886F11" w:rsidRPr="00886F11">
        <w:rPr>
          <w:sz w:val="14"/>
          <w:szCs w:val="18"/>
          <w:lang w:val="en"/>
        </w:rPr>
        <w:t>INKONDO</w:t>
      </w:r>
      <w:r w:rsidRPr="00886F11">
        <w:rPr>
          <w:sz w:val="18"/>
          <w:szCs w:val="18"/>
          <w:lang w:val="en"/>
        </w:rPr>
        <w:t xml:space="preserve">, </w:t>
      </w:r>
      <w:r w:rsidRPr="00886F11">
        <w:rPr>
          <w:i/>
          <w:sz w:val="18"/>
          <w:szCs w:val="18"/>
          <w:lang w:val="en"/>
        </w:rPr>
        <w:t>International Law</w:t>
      </w:r>
      <w:r w:rsidR="00886F11">
        <w:rPr>
          <w:sz w:val="18"/>
          <w:szCs w:val="18"/>
          <w:lang w:val="en"/>
        </w:rPr>
        <w:t xml:space="preserve">, Ellipses, 1999, </w:t>
      </w:r>
      <w:r w:rsidRPr="00886F11">
        <w:rPr>
          <w:sz w:val="18"/>
          <w:szCs w:val="18"/>
          <w:lang w:val="en"/>
        </w:rPr>
        <w:t>p. 435-43 and Ph. C</w:t>
      </w:r>
      <w:r w:rsidR="00886F11" w:rsidRPr="00886F11">
        <w:rPr>
          <w:sz w:val="14"/>
          <w:szCs w:val="18"/>
          <w:lang w:val="en"/>
        </w:rPr>
        <w:t>AHIER</w:t>
      </w:r>
      <w:r w:rsidRPr="00886F11">
        <w:rPr>
          <w:sz w:val="18"/>
          <w:szCs w:val="18"/>
          <w:lang w:val="en"/>
        </w:rPr>
        <w:t xml:space="preserve">, </w:t>
      </w:r>
      <w:r w:rsidRPr="00886F11">
        <w:rPr>
          <w:i/>
          <w:sz w:val="18"/>
          <w:szCs w:val="18"/>
          <w:lang w:val="en"/>
        </w:rPr>
        <w:t>The internal legal order of international organizations in Handbook on int</w:t>
      </w:r>
      <w:r w:rsidR="00886F11" w:rsidRPr="00886F11">
        <w:rPr>
          <w:i/>
          <w:sz w:val="18"/>
          <w:szCs w:val="18"/>
          <w:lang w:val="en"/>
        </w:rPr>
        <w:t>ernational organizations</w:t>
      </w:r>
      <w:r w:rsidR="00886F11">
        <w:rPr>
          <w:sz w:val="18"/>
          <w:szCs w:val="18"/>
          <w:lang w:val="en"/>
        </w:rPr>
        <w:t>, dir. f</w:t>
      </w:r>
      <w:r w:rsidRPr="00886F11">
        <w:rPr>
          <w:sz w:val="18"/>
          <w:szCs w:val="18"/>
          <w:lang w:val="en"/>
        </w:rPr>
        <w:t>rom R.-J. D</w:t>
      </w:r>
      <w:r w:rsidR="00886F11" w:rsidRPr="00886F11">
        <w:rPr>
          <w:sz w:val="14"/>
          <w:szCs w:val="18"/>
          <w:lang w:val="en"/>
        </w:rPr>
        <w:t>UPUY</w:t>
      </w:r>
      <w:r w:rsidR="00886F11">
        <w:rPr>
          <w:sz w:val="18"/>
          <w:szCs w:val="18"/>
          <w:lang w:val="en"/>
        </w:rPr>
        <w:t>,</w:t>
      </w:r>
      <w:r w:rsidRPr="00886F11">
        <w:rPr>
          <w:sz w:val="18"/>
          <w:szCs w:val="18"/>
          <w:lang w:val="en"/>
        </w:rPr>
        <w:t xml:space="preserve"> </w:t>
      </w:r>
      <w:proofErr w:type="spellStart"/>
      <w:r w:rsidRPr="00886F11">
        <w:rPr>
          <w:sz w:val="18"/>
          <w:szCs w:val="18"/>
          <w:lang w:val="en"/>
        </w:rPr>
        <w:t>Martinus</w:t>
      </w:r>
      <w:proofErr w:type="spellEnd"/>
      <w:r w:rsidRPr="00886F11">
        <w:rPr>
          <w:sz w:val="18"/>
          <w:szCs w:val="18"/>
          <w:lang w:val="en"/>
        </w:rPr>
        <w:t xml:space="preserve"> </w:t>
      </w:r>
      <w:proofErr w:type="spellStart"/>
      <w:r w:rsidRPr="00886F11">
        <w:rPr>
          <w:sz w:val="18"/>
          <w:szCs w:val="18"/>
          <w:lang w:val="en"/>
        </w:rPr>
        <w:t>Nijhoff</w:t>
      </w:r>
      <w:proofErr w:type="spellEnd"/>
      <w:r w:rsidRPr="00886F11">
        <w:rPr>
          <w:sz w:val="18"/>
          <w:szCs w:val="18"/>
          <w:lang w:val="en"/>
        </w:rPr>
        <w:t>, 2nd ed. 1998</w:t>
      </w:r>
      <w:r w:rsidR="00886F11">
        <w:rPr>
          <w:sz w:val="18"/>
          <w:szCs w:val="18"/>
          <w:lang w:val="en"/>
        </w:rPr>
        <w:t>, p. 377 to 396</w:t>
      </w:r>
      <w:r w:rsidRPr="00886F11">
        <w:rPr>
          <w:sz w:val="18"/>
          <w:szCs w:val="18"/>
          <w:lang w:val="en"/>
        </w:rPr>
        <w:t xml:space="preserve">. </w:t>
      </w:r>
    </w:p>
  </w:footnote>
  <w:footnote w:id="9">
    <w:p w14:paraId="3F935B96" w14:textId="49A56F8C" w:rsidR="00B55D06" w:rsidRPr="00886F11" w:rsidRDefault="00B55D06" w:rsidP="00886F11">
      <w:pPr>
        <w:pStyle w:val="NoSpacing"/>
        <w:jc w:val="both"/>
        <w:rPr>
          <w:rFonts w:ascii="Times New Roman" w:hAnsi="Times New Roman" w:cs="Times New Roman"/>
          <w:sz w:val="18"/>
          <w:szCs w:val="18"/>
          <w:lang w:val="en-US"/>
        </w:rPr>
      </w:pPr>
      <w:r w:rsidRPr="00886F11">
        <w:rPr>
          <w:rStyle w:val="FootnoteReference"/>
          <w:rFonts w:ascii="Times New Roman" w:hAnsi="Times New Roman" w:cs="Times New Roman"/>
          <w:sz w:val="18"/>
          <w:szCs w:val="18"/>
        </w:rPr>
        <w:footnoteRef/>
      </w:r>
      <w:r w:rsidR="00886F11">
        <w:rPr>
          <w:rFonts w:ascii="Times New Roman" w:hAnsi="Times New Roman" w:cs="Times New Roman"/>
          <w:sz w:val="18"/>
          <w:szCs w:val="18"/>
        </w:rPr>
        <w:t xml:space="preserve"> M. A</w:t>
      </w:r>
      <w:r w:rsidR="00886F11" w:rsidRPr="00886F11">
        <w:rPr>
          <w:rFonts w:ascii="Times New Roman" w:hAnsi="Times New Roman" w:cs="Times New Roman"/>
          <w:sz w:val="14"/>
          <w:szCs w:val="18"/>
        </w:rPr>
        <w:t>UDIT</w:t>
      </w:r>
      <w:r w:rsidRPr="00886F11">
        <w:rPr>
          <w:rFonts w:ascii="Times New Roman" w:hAnsi="Times New Roman" w:cs="Times New Roman"/>
          <w:sz w:val="18"/>
          <w:szCs w:val="18"/>
        </w:rPr>
        <w:t xml:space="preserve">, Les marchés de travaux, de fournitures et de services passés par les organisations internationales - </w:t>
      </w:r>
      <w:r w:rsidRPr="00886F11">
        <w:rPr>
          <w:rFonts w:ascii="Times New Roman" w:hAnsi="Times New Roman" w:cs="Times New Roman"/>
          <w:i/>
          <w:sz w:val="18"/>
          <w:szCs w:val="18"/>
        </w:rPr>
        <w:t>Journal du droit international (</w:t>
      </w:r>
      <w:proofErr w:type="spellStart"/>
      <w:r w:rsidRPr="00886F11">
        <w:rPr>
          <w:rFonts w:ascii="Times New Roman" w:hAnsi="Times New Roman" w:cs="Times New Roman"/>
          <w:i/>
          <w:sz w:val="18"/>
          <w:szCs w:val="18"/>
        </w:rPr>
        <w:t>Clunet</w:t>
      </w:r>
      <w:proofErr w:type="spellEnd"/>
      <w:r w:rsidRPr="00886F11">
        <w:rPr>
          <w:rFonts w:ascii="Times New Roman" w:hAnsi="Times New Roman" w:cs="Times New Roman"/>
          <w:i/>
          <w:sz w:val="18"/>
          <w:szCs w:val="18"/>
        </w:rPr>
        <w:t>)</w:t>
      </w:r>
      <w:r w:rsidRPr="00886F11">
        <w:rPr>
          <w:rFonts w:ascii="Times New Roman" w:hAnsi="Times New Roman" w:cs="Times New Roman"/>
          <w:sz w:val="18"/>
          <w:szCs w:val="18"/>
        </w:rPr>
        <w:t xml:space="preserve"> n° 4, Octobre 2008, </w:t>
      </w:r>
      <w:proofErr w:type="spellStart"/>
      <w:r w:rsidRPr="00886F11">
        <w:rPr>
          <w:rFonts w:ascii="Times New Roman" w:hAnsi="Times New Roman" w:cs="Times New Roman"/>
          <w:sz w:val="18"/>
          <w:szCs w:val="18"/>
        </w:rPr>
        <w:t>doctr</w:t>
      </w:r>
      <w:proofErr w:type="spellEnd"/>
      <w:r w:rsidRPr="00886F11">
        <w:rPr>
          <w:rFonts w:ascii="Times New Roman" w:hAnsi="Times New Roman" w:cs="Times New Roman"/>
          <w:sz w:val="18"/>
          <w:szCs w:val="18"/>
        </w:rPr>
        <w:t xml:space="preserve">. </w:t>
      </w:r>
      <w:r w:rsidRPr="00886F11">
        <w:rPr>
          <w:rFonts w:ascii="Times New Roman" w:hAnsi="Times New Roman" w:cs="Times New Roman"/>
          <w:sz w:val="18"/>
          <w:szCs w:val="18"/>
          <w:lang w:val="en-US"/>
        </w:rPr>
        <w:t>8, n° 16 (translated).</w:t>
      </w:r>
    </w:p>
  </w:footnote>
  <w:footnote w:id="10">
    <w:p w14:paraId="75CEBFF4" w14:textId="480554B7" w:rsidR="00B55D06" w:rsidRPr="00886F11" w:rsidRDefault="00B55D06" w:rsidP="00886F11">
      <w:pPr>
        <w:pStyle w:val="NoSpacing"/>
        <w:rPr>
          <w:rFonts w:ascii="Times New Roman" w:hAnsi="Times New Roman" w:cs="Times New Roman"/>
          <w:sz w:val="18"/>
          <w:szCs w:val="18"/>
          <w:lang w:val="en-US"/>
        </w:rPr>
      </w:pPr>
      <w:r w:rsidRPr="00F97AB6">
        <w:rPr>
          <w:rStyle w:val="FootnoteReference"/>
          <w:rFonts w:ascii="Times New Roman" w:hAnsi="Times New Roman" w:cs="Times New Roman"/>
          <w:sz w:val="18"/>
          <w:szCs w:val="18"/>
        </w:rPr>
        <w:footnoteRef/>
      </w:r>
      <w:r w:rsidRPr="00F97AB6">
        <w:rPr>
          <w:rFonts w:ascii="Times New Roman" w:hAnsi="Times New Roman" w:cs="Times New Roman"/>
          <w:sz w:val="18"/>
          <w:szCs w:val="18"/>
          <w:lang w:val="en-US"/>
        </w:rPr>
        <w:t xml:space="preserve"> R.H. </w:t>
      </w:r>
      <w:proofErr w:type="spellStart"/>
      <w:r w:rsidRPr="00F97AB6">
        <w:rPr>
          <w:rFonts w:ascii="Times New Roman" w:hAnsi="Times New Roman" w:cs="Times New Roman"/>
          <w:sz w:val="18"/>
          <w:szCs w:val="18"/>
          <w:lang w:val="en-US"/>
        </w:rPr>
        <w:t>Harpignies</w:t>
      </w:r>
      <w:proofErr w:type="spellEnd"/>
      <w:r w:rsidRPr="00F97AB6">
        <w:rPr>
          <w:rFonts w:ascii="Times New Roman" w:hAnsi="Times New Roman" w:cs="Times New Roman"/>
          <w:sz w:val="18"/>
          <w:szCs w:val="18"/>
          <w:lang w:val="en-US"/>
        </w:rPr>
        <w:t xml:space="preserve">, Settlement of disputes of a private law character to which the United Nations is a party – A case in point : The arbitral award of 24 September 1969 in Re </w:t>
      </w:r>
      <w:proofErr w:type="spellStart"/>
      <w:r w:rsidRPr="00F97AB6">
        <w:rPr>
          <w:rFonts w:ascii="Times New Roman" w:hAnsi="Times New Roman" w:cs="Times New Roman"/>
          <w:sz w:val="18"/>
          <w:szCs w:val="18"/>
          <w:lang w:val="en-US"/>
        </w:rPr>
        <w:t>Starways</w:t>
      </w:r>
      <w:proofErr w:type="spellEnd"/>
      <w:r w:rsidRPr="00F97AB6">
        <w:rPr>
          <w:rFonts w:ascii="Times New Roman" w:hAnsi="Times New Roman" w:cs="Times New Roman"/>
          <w:sz w:val="18"/>
          <w:szCs w:val="18"/>
          <w:lang w:val="en-US"/>
        </w:rPr>
        <w:t xml:space="preserve"> Ltd. V. The United Nations : RBDI 1971, p. 451 à 468.</w:t>
      </w:r>
    </w:p>
  </w:footnote>
  <w:footnote w:id="11">
    <w:p w14:paraId="399ED86F" w14:textId="77777777" w:rsidR="00B55D06" w:rsidRPr="00555A61" w:rsidRDefault="00B55D06" w:rsidP="00886F11">
      <w:pPr>
        <w:pStyle w:val="NoSpacing"/>
        <w:rPr>
          <w:lang w:val="en-US"/>
        </w:rPr>
      </w:pPr>
      <w:r w:rsidRPr="00886F11">
        <w:rPr>
          <w:rStyle w:val="FootnoteReference"/>
          <w:rFonts w:ascii="Times New Roman" w:hAnsi="Times New Roman" w:cs="Times New Roman"/>
          <w:sz w:val="18"/>
          <w:szCs w:val="18"/>
        </w:rPr>
        <w:footnoteRef/>
      </w:r>
      <w:r w:rsidRPr="00555A61">
        <w:rPr>
          <w:rFonts w:ascii="Times New Roman" w:hAnsi="Times New Roman" w:cs="Times New Roman"/>
          <w:sz w:val="18"/>
          <w:szCs w:val="18"/>
          <w:lang w:val="en-US"/>
        </w:rPr>
        <w:t xml:space="preserve"> Corporate Procurement Policy Summary for Vendors Doing Business with the World Bank Group, available at </w:t>
      </w:r>
      <w:hyperlink r:id="rId2" w:history="1">
        <w:r w:rsidRPr="00555A61">
          <w:rPr>
            <w:rStyle w:val="Hyperlink"/>
            <w:rFonts w:ascii="Times New Roman" w:hAnsi="Times New Roman" w:cs="Times New Roman"/>
            <w:sz w:val="18"/>
            <w:szCs w:val="18"/>
            <w:lang w:val="en-US"/>
          </w:rPr>
          <w:t>http://siteresources.worldbank.org/EXTCORPPROCUREMENT/Resources/CorporateProcurementPolicySumma)ry_V7-13.pdf?resourceurlname=CorporateProcurementPolicySummary_V7-13.pdf</w:t>
        </w:r>
      </w:hyperlink>
      <w:r w:rsidRPr="00555A61">
        <w:rPr>
          <w:rFonts w:ascii="Times New Roman" w:hAnsi="Times New Roman" w:cs="Times New Roman"/>
          <w:sz w:val="18"/>
          <w:szCs w:val="18"/>
          <w:lang w:val="en-US"/>
        </w:rPr>
        <w:t xml:space="preserve"> (last visited December 2016)</w:t>
      </w:r>
    </w:p>
  </w:footnote>
  <w:footnote w:id="12">
    <w:p w14:paraId="1DE1DDFD" w14:textId="5C7BBBF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w:t>
      </w:r>
      <w:r w:rsidRPr="0074031E">
        <w:rPr>
          <w:sz w:val="18"/>
          <w:szCs w:val="18"/>
          <w:lang w:val="en-US"/>
        </w:rPr>
        <w:t>The former Policy Guide one was enacted in 2005, only two pages of explanations about the methods of procurement and the review procedures</w:t>
      </w:r>
      <w:r w:rsidR="00886F11">
        <w:rPr>
          <w:sz w:val="18"/>
          <w:szCs w:val="18"/>
          <w:lang w:val="en-US"/>
        </w:rPr>
        <w:t xml:space="preserve"> were </w:t>
      </w:r>
      <w:r w:rsidRPr="0074031E">
        <w:rPr>
          <w:sz w:val="18"/>
          <w:szCs w:val="18"/>
          <w:lang w:val="en-US"/>
        </w:rPr>
        <w:t>indirectly alluded to.</w:t>
      </w:r>
    </w:p>
  </w:footnote>
  <w:footnote w:id="13">
    <w:p w14:paraId="7D0DE735" w14:textId="77777777" w:rsidR="00B55D06" w:rsidRPr="0074031E" w:rsidRDefault="00B55D06" w:rsidP="00886F11">
      <w:pPr>
        <w:pStyle w:val="FootnoteText"/>
        <w:jc w:val="both"/>
        <w:rPr>
          <w:bCs/>
          <w:sz w:val="18"/>
          <w:szCs w:val="18"/>
          <w:lang w:val="en-US"/>
        </w:rPr>
      </w:pPr>
      <w:r w:rsidRPr="0074031E">
        <w:rPr>
          <w:rStyle w:val="FootnoteReference"/>
          <w:sz w:val="18"/>
          <w:szCs w:val="18"/>
        </w:rPr>
        <w:footnoteRef/>
      </w:r>
      <w:r w:rsidRPr="0074031E">
        <w:rPr>
          <w:sz w:val="18"/>
          <w:szCs w:val="18"/>
        </w:rPr>
        <w:t xml:space="preserve"> </w:t>
      </w:r>
      <w:r w:rsidRPr="0074031E">
        <w:rPr>
          <w:bCs/>
          <w:sz w:val="18"/>
          <w:szCs w:val="18"/>
          <w:lang w:val="en-US"/>
        </w:rPr>
        <w:t>The World Bank's new Procurement Framework, approved by the Board on July 21, 2015, modernizes the procurement policy.</w:t>
      </w:r>
      <w:r w:rsidRPr="0074031E">
        <w:rPr>
          <w:rFonts w:asciiTheme="minorHAnsi" w:eastAsiaTheme="minorHAnsi" w:hAnsiTheme="minorHAnsi" w:cstheme="minorBidi"/>
          <w:sz w:val="18"/>
          <w:szCs w:val="18"/>
          <w:lang w:val="en-US" w:eastAsia="en-US"/>
        </w:rPr>
        <w:t xml:space="preserve"> </w:t>
      </w:r>
      <w:r w:rsidRPr="0074031E">
        <w:rPr>
          <w:bCs/>
          <w:sz w:val="18"/>
          <w:szCs w:val="18"/>
          <w:lang w:val="en-US"/>
        </w:rPr>
        <w:t>To frame this new policy, the WB has enacted a genuine (and complex) internal hierarchy of norms made of  the Procurement Policy which sets the principles for Investment project financing, the Procurement Regulations, the Procurement Directive, the Procurement Procedure, and guidance notes, in force since July 2016.</w:t>
      </w:r>
    </w:p>
  </w:footnote>
  <w:footnote w:id="14">
    <w:p w14:paraId="196BD437"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Source: 2015 EBRD Report on corporate procurement</w:t>
      </w:r>
    </w:p>
  </w:footnote>
  <w:footnote w:id="15">
    <w:p w14:paraId="58B9147A"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hyperlink r:id="rId3" w:history="1">
        <w:r w:rsidRPr="0074031E">
          <w:rPr>
            <w:rStyle w:val="Hyperlink"/>
            <w:sz w:val="18"/>
            <w:szCs w:val="18"/>
          </w:rPr>
          <w:t>http://www.afdb.org/en/documents/corporate-procurement/</w:t>
        </w:r>
      </w:hyperlink>
      <w:r w:rsidRPr="0074031E">
        <w:rPr>
          <w:sz w:val="18"/>
          <w:szCs w:val="18"/>
        </w:rPr>
        <w:t xml:space="preserve"> last visited on May 15, 2014</w:t>
      </w:r>
    </w:p>
  </w:footnote>
  <w:footnote w:id="16">
    <w:p w14:paraId="4F5365A2" w14:textId="01ACC901" w:rsidR="00B55D06" w:rsidRPr="0074031E" w:rsidRDefault="00B55D06" w:rsidP="00886F11">
      <w:pPr>
        <w:pStyle w:val="FootnoteText"/>
        <w:jc w:val="both"/>
        <w:rPr>
          <w:sz w:val="18"/>
          <w:szCs w:val="18"/>
        </w:rPr>
      </w:pPr>
      <w:r w:rsidRPr="0074031E">
        <w:rPr>
          <w:rStyle w:val="FootnoteReference"/>
          <w:sz w:val="18"/>
          <w:szCs w:val="18"/>
        </w:rPr>
        <w:footnoteRef/>
      </w:r>
      <w:hyperlink r:id="rId4" w:history="1">
        <w:r w:rsidRPr="0074031E">
          <w:rPr>
            <w:rStyle w:val="Hyperlink"/>
            <w:sz w:val="18"/>
            <w:szCs w:val="18"/>
          </w:rPr>
          <w:t>http://www.afdb.org/fileadmin/uploads/afdb/Documents/Corporate-Procurement/Presidential%20Directive%20Concerning%20the%20Rules%20for%20Corporate%20Procurement%20Activities%20of%20the%20AfDB.pdf</w:t>
        </w:r>
      </w:hyperlink>
    </w:p>
  </w:footnote>
  <w:footnote w:id="17">
    <w:p w14:paraId="315E1857"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As promulgated by Secretary-General's Bulletin ST/SGB/2013/4 dated 1 July 2013.</w:t>
      </w:r>
    </w:p>
  </w:footnote>
  <w:footnote w:id="18">
    <w:p w14:paraId="01D8819A" w14:textId="5CA7E954"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The most recent version of the Procurement Manual is Revision 7.0 published on 1 July 2013, </w:t>
      </w:r>
      <w:hyperlink r:id="rId5" w:history="1">
        <w:r w:rsidRPr="0074031E">
          <w:rPr>
            <w:rStyle w:val="Hyperlink"/>
            <w:sz w:val="18"/>
            <w:szCs w:val="18"/>
            <w:lang w:val="en-US"/>
          </w:rPr>
          <w:t>https://www.un.org/Depts/ptd/sites/www.un.org.Depts.ptd/files/files/attachment/page/pdf/pm.pdf</w:t>
        </w:r>
      </w:hyperlink>
    </w:p>
  </w:footnote>
  <w:footnote w:id="19">
    <w:p w14:paraId="74BF5196"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hyperlink r:id="rId6" w:history="1">
        <w:r w:rsidRPr="0074031E">
          <w:rPr>
            <w:rStyle w:val="Hyperlink"/>
            <w:sz w:val="18"/>
            <w:szCs w:val="18"/>
          </w:rPr>
          <w:t>https://www.ungm.org/</w:t>
        </w:r>
      </w:hyperlink>
      <w:r w:rsidRPr="0074031E">
        <w:rPr>
          <w:sz w:val="18"/>
          <w:szCs w:val="18"/>
        </w:rPr>
        <w:t>, last visited February 2017</w:t>
      </w:r>
    </w:p>
  </w:footnote>
  <w:footnote w:id="20">
    <w:p w14:paraId="30635B2E"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 Directives 2014/23/EU (4) and 2014/24/EU (5) of the European Parliament and of the Council were adopted on 26 February 2014.</w:t>
      </w:r>
    </w:p>
  </w:footnote>
  <w:footnote w:id="21">
    <w:p w14:paraId="1A4C4793" w14:textId="77777777" w:rsidR="00B55D06" w:rsidRPr="0074031E" w:rsidRDefault="00B55D06" w:rsidP="00886F11">
      <w:pPr>
        <w:pStyle w:val="FootnoteText"/>
        <w:jc w:val="both"/>
        <w:rPr>
          <w:sz w:val="18"/>
          <w:szCs w:val="18"/>
        </w:rPr>
      </w:pPr>
      <w:r w:rsidRPr="00F97AB6">
        <w:rPr>
          <w:rStyle w:val="FootnoteReference"/>
          <w:sz w:val="18"/>
          <w:szCs w:val="18"/>
        </w:rPr>
        <w:footnoteRef/>
      </w:r>
      <w:r w:rsidRPr="00F97AB6">
        <w:rPr>
          <w:sz w:val="18"/>
          <w:szCs w:val="18"/>
          <w:lang w:val="fr-FR"/>
        </w:rPr>
        <w:t xml:space="preserve"> D. </w:t>
      </w:r>
      <w:proofErr w:type="spellStart"/>
      <w:r w:rsidRPr="00F97AB6">
        <w:rPr>
          <w:sz w:val="18"/>
          <w:szCs w:val="18"/>
          <w:lang w:val="fr-FR"/>
        </w:rPr>
        <w:t>Ritleng</w:t>
      </w:r>
      <w:proofErr w:type="spellEnd"/>
      <w:r w:rsidRPr="00F97AB6">
        <w:rPr>
          <w:sz w:val="18"/>
          <w:szCs w:val="18"/>
          <w:lang w:val="fr-FR"/>
        </w:rPr>
        <w:t xml:space="preserve">, Les contrats de l'administration communautaire in Droit administratif européen, </w:t>
      </w:r>
      <w:proofErr w:type="spellStart"/>
      <w:r w:rsidRPr="00F97AB6">
        <w:rPr>
          <w:sz w:val="18"/>
          <w:szCs w:val="18"/>
          <w:lang w:val="fr-FR"/>
        </w:rPr>
        <w:t>ss</w:t>
      </w:r>
      <w:proofErr w:type="spellEnd"/>
      <w:r w:rsidRPr="00F97AB6">
        <w:rPr>
          <w:sz w:val="18"/>
          <w:szCs w:val="18"/>
          <w:lang w:val="fr-FR"/>
        </w:rPr>
        <w:t xml:space="preserve"> la </w:t>
      </w:r>
      <w:proofErr w:type="spellStart"/>
      <w:r w:rsidRPr="00F97AB6">
        <w:rPr>
          <w:sz w:val="18"/>
          <w:szCs w:val="18"/>
          <w:lang w:val="fr-FR"/>
        </w:rPr>
        <w:t>dir</w:t>
      </w:r>
      <w:proofErr w:type="spellEnd"/>
      <w:r w:rsidRPr="00F97AB6">
        <w:rPr>
          <w:sz w:val="18"/>
          <w:szCs w:val="18"/>
          <w:lang w:val="fr-FR"/>
        </w:rPr>
        <w:t xml:space="preserve">. de J.-B. Auby et J. </w:t>
      </w:r>
      <w:proofErr w:type="spellStart"/>
      <w:r w:rsidRPr="00F97AB6">
        <w:rPr>
          <w:sz w:val="18"/>
          <w:szCs w:val="18"/>
          <w:lang w:val="fr-FR"/>
        </w:rPr>
        <w:t>Dutheil</w:t>
      </w:r>
      <w:proofErr w:type="spellEnd"/>
      <w:r w:rsidRPr="00F97AB6">
        <w:rPr>
          <w:sz w:val="18"/>
          <w:szCs w:val="18"/>
          <w:lang w:val="fr-FR"/>
        </w:rPr>
        <w:t xml:space="preserve"> de la </w:t>
      </w:r>
      <w:proofErr w:type="spellStart"/>
      <w:r w:rsidRPr="00F97AB6">
        <w:rPr>
          <w:sz w:val="18"/>
          <w:szCs w:val="18"/>
          <w:lang w:val="fr-FR"/>
        </w:rPr>
        <w:t>Rochère</w:t>
      </w:r>
      <w:proofErr w:type="spellEnd"/>
      <w:r w:rsidRPr="00F97AB6">
        <w:rPr>
          <w:sz w:val="18"/>
          <w:szCs w:val="18"/>
          <w:lang w:val="fr-FR"/>
        </w:rPr>
        <w:t xml:space="preserve"> : Bruylant, 2007, p. 147 à 170. – H.C. Hofmann, </w:t>
      </w:r>
      <w:proofErr w:type="spellStart"/>
      <w:r w:rsidRPr="00F97AB6">
        <w:rPr>
          <w:sz w:val="18"/>
          <w:szCs w:val="18"/>
          <w:lang w:val="fr-FR"/>
        </w:rPr>
        <w:t>Agreements</w:t>
      </w:r>
      <w:proofErr w:type="spellEnd"/>
      <w:r w:rsidRPr="00F97AB6">
        <w:rPr>
          <w:sz w:val="18"/>
          <w:szCs w:val="18"/>
          <w:lang w:val="fr-FR"/>
        </w:rPr>
        <w:t xml:space="preserve"> in EU Law : ELR, 2006, p. 800 à 820. – S. Perez, Autorité et contrat dans l'administration communautaire : AEAP, vol. </w:t>
      </w:r>
      <w:r w:rsidRPr="00F97AB6">
        <w:rPr>
          <w:sz w:val="18"/>
          <w:szCs w:val="18"/>
        </w:rPr>
        <w:t>XX, 1997, p. 181. – Z. Okamoto, Contracts between the European Economic Community and Private persons : Japanese Annual of Int'l Law, 1983, p. 1 à 17.</w:t>
      </w:r>
    </w:p>
  </w:footnote>
  <w:footnote w:id="22">
    <w:p w14:paraId="7B6284FA"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 Development funding from the EU budget forms part of the EU's external action subject to the Regulation (EU) No 233/2014 of the European Parliament and of the Council of 11 March 2014 establishing a financing instrument for development cooperation for the period 2014-2020</w:t>
      </w:r>
      <w:r w:rsidRPr="0074031E">
        <w:rPr>
          <w:sz w:val="18"/>
          <w:szCs w:val="18"/>
          <w:vertAlign w:val="superscript"/>
          <w:lang w:val="en-US"/>
        </w:rPr>
        <w:footnoteRef/>
      </w:r>
      <w:r w:rsidRPr="0074031E">
        <w:rPr>
          <w:sz w:val="18"/>
          <w:szCs w:val="18"/>
          <w:lang w:val="en-US"/>
        </w:rPr>
        <w:t>. The general EU budget covers all EU development funding, except finance for African, Caribbean and Pacific (ACP) countries provided under the European Development Fund (EDF). The later do not fall under the “corporate contracts” category this chapter is covering.</w:t>
      </w:r>
    </w:p>
  </w:footnote>
  <w:footnote w:id="23">
    <w:p w14:paraId="0D945BF7"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w:t>
      </w:r>
      <w:r w:rsidRPr="0074031E">
        <w:rPr>
          <w:sz w:val="18"/>
          <w:szCs w:val="18"/>
          <w:lang w:val="en-US"/>
        </w:rPr>
        <w:t>Regulation (EU, Euratom) No 966/2012 of the European Parliament and of the Council of 25 October 2012 on the financial rules applicable to the general budget of the Union and repealing Council Regulation (EC, Euratom) No 1605/2002 (OJ L 298, 26.10.2012, p. 1).</w:t>
      </w:r>
    </w:p>
  </w:footnote>
  <w:footnote w:id="24">
    <w:p w14:paraId="0F98D100"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Commission Delegated Regulation (EU) No 2015/2462 of 30 October 2015.</w:t>
      </w:r>
    </w:p>
  </w:footnote>
  <w:footnote w:id="25">
    <w:p w14:paraId="74969E4D"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Commission Delegated Regulation (EU) No 1268/2012 of 29 October 2012 on the rules of application of Regulation (EU, Euratom) No 966/2012 of the European Parliament and of the Council on the financial rules applicable to the general budget of the Union (OJ L 362, 31.12.2012, p. 1).</w:t>
      </w:r>
    </w:p>
  </w:footnote>
  <w:footnote w:id="26">
    <w:p w14:paraId="5143DDBE"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Regulation (EU, Euratom) No 1142/2014 of the European Parliament and of the Council of 22 October 2014 Amending Regulation (EU, Euratom) No 966/2012 as regards the financing of European political parties</w:t>
      </w:r>
    </w:p>
  </w:footnote>
  <w:footnote w:id="27">
    <w:p w14:paraId="339E9FE9"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Regulation (EU, Euratom) No 2015/1929 of the European Parliament and of the Council of 28 October 2015 Amending Regulation (EU, Euratom) No 966/2012 on the financial rules applicable to the general budget of the Union.</w:t>
      </w:r>
    </w:p>
  </w:footnote>
  <w:footnote w:id="28">
    <w:p w14:paraId="676977F9"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http://ec.europa.eu/budget/library/biblio/documents/regulations/financial_regulation_2017_en.pdf</w:t>
      </w:r>
    </w:p>
  </w:footnote>
  <w:footnote w:id="29">
    <w:p w14:paraId="542C6C7D"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r w:rsidRPr="0074031E">
        <w:rPr>
          <w:sz w:val="18"/>
          <w:szCs w:val="18"/>
          <w:lang w:val="en-US"/>
        </w:rPr>
        <w:t>COM(2016) 605 final,</w:t>
      </w:r>
      <w:r w:rsidRPr="0074031E">
        <w:rPr>
          <w:rFonts w:asciiTheme="minorHAnsi" w:eastAsiaTheme="minorHAnsi" w:hAnsiTheme="minorHAnsi" w:cstheme="minorBidi"/>
          <w:sz w:val="18"/>
          <w:szCs w:val="18"/>
          <w:lang w:val="en-US" w:eastAsia="en-US"/>
        </w:rPr>
        <w:t xml:space="preserve"> </w:t>
      </w:r>
      <w:r w:rsidRPr="0074031E">
        <w:rPr>
          <w:sz w:val="18"/>
          <w:szCs w:val="18"/>
          <w:lang w:val="en-US"/>
        </w:rPr>
        <w:t xml:space="preserve">2016/0282 (COD) : </w:t>
      </w:r>
      <w:r w:rsidRPr="0074031E">
        <w:rPr>
          <w:sz w:val="18"/>
          <w:szCs w:val="18"/>
        </w:rPr>
        <w:t>http://ec.europa.eu/budget/mff/lib/COM-2016-603/COM-2016-605_en.pdf</w:t>
      </w:r>
    </w:p>
  </w:footnote>
  <w:footnote w:id="30">
    <w:p w14:paraId="474AD9DE"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Procurement at the General Secretariat: http://www.consilium.europa.eu/en/general-secretariat/public-procurement/</w:t>
      </w:r>
    </w:p>
  </w:footnote>
  <w:footnote w:id="31">
    <w:p w14:paraId="1D94E70D"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https://ec.europa.eu/info/funding-tenders/tender-opportunities-department_en</w:t>
      </w:r>
    </w:p>
  </w:footnote>
  <w:footnote w:id="32">
    <w:p w14:paraId="7470A98C"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http://curia.europa.eu/jcms/jcms/Jo2_7009/</w:t>
      </w:r>
    </w:p>
  </w:footnote>
  <w:footnote w:id="33">
    <w:p w14:paraId="2125592C"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http://www.eca.europa.eu/en/Pages/PublicProcurement.aspx</w:t>
      </w:r>
    </w:p>
  </w:footnote>
  <w:footnote w:id="34">
    <w:p w14:paraId="30DAA375" w14:textId="317D9280"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http://www.eca.europa.eu/Lists/ECADocuments/GENERAL_CONDITIONS_2016/GENERAL_CONDITIONS_2016_EN.pdf</w:t>
      </w:r>
    </w:p>
  </w:footnote>
  <w:footnote w:id="35">
    <w:p w14:paraId="4EBD9B5E"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Association of European Administrative Judges (AEAJ)</w:t>
      </w:r>
    </w:p>
  </w:footnote>
  <w:footnote w:id="36">
    <w:p w14:paraId="5AFE3326" w14:textId="0D66A4BC" w:rsidR="00B55D06" w:rsidRPr="0074031E" w:rsidRDefault="00B55D06" w:rsidP="00886F11">
      <w:pPr>
        <w:pStyle w:val="FootnoteText"/>
        <w:tabs>
          <w:tab w:val="left" w:pos="4565"/>
        </w:tabs>
        <w:jc w:val="both"/>
        <w:rPr>
          <w:sz w:val="18"/>
          <w:szCs w:val="18"/>
        </w:rPr>
      </w:pPr>
      <w:r w:rsidRPr="0074031E">
        <w:rPr>
          <w:rStyle w:val="FootnoteReference"/>
          <w:sz w:val="18"/>
          <w:szCs w:val="18"/>
        </w:rPr>
        <w:footnoteRef/>
      </w:r>
      <w:r w:rsidR="00886F11">
        <w:rPr>
          <w:sz w:val="18"/>
          <w:szCs w:val="18"/>
        </w:rPr>
        <w:t xml:space="preserve"> See M. C</w:t>
      </w:r>
      <w:r w:rsidR="00886F11" w:rsidRPr="00886F11">
        <w:rPr>
          <w:sz w:val="14"/>
          <w:szCs w:val="18"/>
        </w:rPr>
        <w:t>OMBA</w:t>
      </w:r>
      <w:r w:rsidRPr="00886F11">
        <w:rPr>
          <w:sz w:val="14"/>
          <w:szCs w:val="18"/>
        </w:rPr>
        <w:t>,</w:t>
      </w:r>
      <w:r w:rsidRPr="0074031E">
        <w:rPr>
          <w:sz w:val="18"/>
          <w:szCs w:val="18"/>
        </w:rPr>
        <w:t xml:space="preserve"> </w:t>
      </w:r>
      <w:r w:rsidR="00886F11">
        <w:rPr>
          <w:sz w:val="18"/>
          <w:szCs w:val="18"/>
        </w:rPr>
        <w:t>“</w:t>
      </w:r>
      <w:r w:rsidRPr="0074031E">
        <w:rPr>
          <w:sz w:val="18"/>
          <w:szCs w:val="18"/>
        </w:rPr>
        <w:t>Principles of EU Law relevant to the performance of public contracts</w:t>
      </w:r>
      <w:r w:rsidR="00886F11">
        <w:rPr>
          <w:sz w:val="18"/>
          <w:szCs w:val="18"/>
        </w:rPr>
        <w:t>”</w:t>
      </w:r>
      <w:r w:rsidRPr="0074031E">
        <w:rPr>
          <w:sz w:val="18"/>
          <w:szCs w:val="18"/>
        </w:rPr>
        <w:t xml:space="preserve">, </w:t>
      </w:r>
      <w:proofErr w:type="spellStart"/>
      <w:r w:rsidRPr="00F97AB6">
        <w:rPr>
          <w:sz w:val="18"/>
          <w:szCs w:val="18"/>
        </w:rPr>
        <w:t>Bruylant</w:t>
      </w:r>
      <w:proofErr w:type="spellEnd"/>
      <w:r w:rsidRPr="00F97AB6">
        <w:rPr>
          <w:sz w:val="18"/>
          <w:szCs w:val="18"/>
        </w:rPr>
        <w:t>,</w:t>
      </w:r>
      <w:r w:rsidRPr="0074031E">
        <w:rPr>
          <w:sz w:val="18"/>
          <w:szCs w:val="18"/>
        </w:rPr>
        <w:t xml:space="preserve"> 2013 and the discussion of the “meaning of national law and European law in the cont</w:t>
      </w:r>
      <w:r w:rsidR="00886F11">
        <w:rPr>
          <w:sz w:val="18"/>
          <w:szCs w:val="18"/>
        </w:rPr>
        <w:t xml:space="preserve">ext of EU public contracts”, </w:t>
      </w:r>
      <w:r w:rsidRPr="0074031E">
        <w:rPr>
          <w:sz w:val="18"/>
          <w:szCs w:val="18"/>
        </w:rPr>
        <w:t>U. S</w:t>
      </w:r>
      <w:r w:rsidR="00886F11" w:rsidRPr="00886F11">
        <w:rPr>
          <w:sz w:val="14"/>
          <w:szCs w:val="18"/>
        </w:rPr>
        <w:t>TELKENS</w:t>
      </w:r>
      <w:r w:rsidRPr="0074031E">
        <w:rPr>
          <w:sz w:val="18"/>
          <w:szCs w:val="18"/>
        </w:rPr>
        <w:t xml:space="preserve"> and H. S</w:t>
      </w:r>
      <w:r w:rsidR="00886F11" w:rsidRPr="00886F11">
        <w:rPr>
          <w:sz w:val="14"/>
          <w:szCs w:val="18"/>
        </w:rPr>
        <w:t>CHRÖDER</w:t>
      </w:r>
      <w:r w:rsidRPr="0074031E">
        <w:rPr>
          <w:sz w:val="18"/>
          <w:szCs w:val="18"/>
        </w:rPr>
        <w:t>, p. 3</w:t>
      </w:r>
      <w:r w:rsidR="00886F11">
        <w:rPr>
          <w:sz w:val="18"/>
          <w:szCs w:val="18"/>
        </w:rPr>
        <w:t>98, same book</w:t>
      </w:r>
      <w:r w:rsidRPr="0074031E">
        <w:rPr>
          <w:sz w:val="18"/>
          <w:szCs w:val="18"/>
        </w:rPr>
        <w:t>.</w:t>
      </w:r>
      <w:r w:rsidRPr="0074031E">
        <w:rPr>
          <w:sz w:val="18"/>
          <w:szCs w:val="18"/>
        </w:rPr>
        <w:tab/>
      </w:r>
    </w:p>
  </w:footnote>
  <w:footnote w:id="37">
    <w:p w14:paraId="64FD1603"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w:t>
      </w:r>
      <w:r w:rsidRPr="0074031E">
        <w:rPr>
          <w:sz w:val="18"/>
          <w:szCs w:val="18"/>
          <w:lang w:val="en-US"/>
        </w:rPr>
        <w:t>Decision of the European Central Bank of 3 July 2007 laying down the Rules on Procurement (ECB/2007/5)</w:t>
      </w:r>
      <w:r w:rsidRPr="0074031E">
        <w:rPr>
          <w:rFonts w:asciiTheme="minorHAnsi" w:eastAsiaTheme="minorHAnsi" w:hAnsiTheme="minorHAnsi" w:cstheme="minorBidi"/>
          <w:sz w:val="18"/>
          <w:szCs w:val="18"/>
          <w:lang w:val="en-US" w:eastAsia="en-US"/>
        </w:rPr>
        <w:t xml:space="preserve"> </w:t>
      </w:r>
      <w:r w:rsidRPr="0074031E">
        <w:rPr>
          <w:sz w:val="18"/>
          <w:szCs w:val="18"/>
          <w:lang w:val="en-US"/>
        </w:rPr>
        <w:t xml:space="preserve">(2007/497/EC) with several revisions. </w:t>
      </w:r>
      <w:hyperlink r:id="rId7" w:history="1">
        <w:r w:rsidRPr="0074031E">
          <w:rPr>
            <w:rStyle w:val="Hyperlink"/>
            <w:sz w:val="18"/>
            <w:szCs w:val="18"/>
            <w:lang w:val="en-US"/>
          </w:rPr>
          <w:t>http://www.ecb.europa.eu/ecb/legal/pdf/l_18420070714en00340048.pdf?42411110c7456dce56eabd535dca2177</w:t>
        </w:r>
      </w:hyperlink>
    </w:p>
  </w:footnote>
  <w:footnote w:id="38">
    <w:p w14:paraId="7BC79E80" w14:textId="35CA84EF"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As of July 2016, </w:t>
      </w:r>
      <w:hyperlink r:id="rId8" w:history="1">
        <w:r w:rsidRPr="0074031E">
          <w:rPr>
            <w:rStyle w:val="Hyperlink"/>
            <w:sz w:val="18"/>
            <w:szCs w:val="18"/>
          </w:rPr>
          <w:t>http://www.ecb.europa.eu/ecb/jobsproc/proc/pdf/Terms_services_works_EN.pdf?a92f1a09054cf83c0a29f15781b37672</w:t>
        </w:r>
      </w:hyperlink>
    </w:p>
  </w:footnote>
  <w:footnote w:id="39">
    <w:p w14:paraId="341899F3"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As reaffirmed by </w:t>
      </w:r>
      <w:r w:rsidRPr="0074031E">
        <w:rPr>
          <w:sz w:val="18"/>
          <w:szCs w:val="18"/>
          <w:lang w:val="en-US"/>
        </w:rPr>
        <w:t xml:space="preserve">Decision (EU) 2016/245 of the European Central Bank of 9 February 2016 laying down the rules on procurement (ECB/2016/2) </w:t>
      </w:r>
      <w:r w:rsidRPr="0074031E">
        <w:rPr>
          <w:sz w:val="18"/>
          <w:szCs w:val="18"/>
        </w:rPr>
        <w:t>http://www.ecb.europa.eu/ecb/legal/pdf/celex_32016d0002_en_txt.pdf?418d2c8e13d4db10c6469f28c2dfe3ad</w:t>
      </w:r>
    </w:p>
  </w:footnote>
  <w:footnote w:id="40">
    <w:p w14:paraId="2ED6C616" w14:textId="77777777" w:rsidR="00B55D06" w:rsidRPr="00886F11" w:rsidRDefault="00B55D06" w:rsidP="00886F11">
      <w:pPr>
        <w:pStyle w:val="NoSpacing"/>
        <w:jc w:val="both"/>
        <w:rPr>
          <w:rFonts w:ascii="Times New Roman" w:hAnsi="Times New Roman" w:cs="Times New Roman"/>
          <w:sz w:val="18"/>
          <w:szCs w:val="18"/>
          <w:lang w:val="en-US"/>
        </w:rPr>
      </w:pPr>
      <w:r w:rsidRPr="00886F11">
        <w:rPr>
          <w:rStyle w:val="FootnoteReference"/>
          <w:rFonts w:ascii="Times New Roman" w:hAnsi="Times New Roman" w:cs="Times New Roman"/>
          <w:sz w:val="18"/>
          <w:szCs w:val="18"/>
        </w:rPr>
        <w:footnoteRef/>
      </w:r>
      <w:r w:rsidRPr="00886F11">
        <w:rPr>
          <w:rFonts w:ascii="Times New Roman" w:hAnsi="Times New Roman" w:cs="Times New Roman"/>
          <w:sz w:val="18"/>
          <w:szCs w:val="18"/>
          <w:lang w:val="en-US"/>
        </w:rPr>
        <w:t xml:space="preserve"> Agency for the Cooperation of Energy Regulators (ACER); Office of the Body of European Regulators for Electronic Communications (BEREC Office); Community Plant Variety Office (CPVO); European Agency for Safety and Health at Work (EU-OSHA); European Border and Coast Guard Agency (Frontex); European Agency for the operational management of large-scale IT systems in the area of freedom, security and justice (</w:t>
      </w:r>
      <w:proofErr w:type="spellStart"/>
      <w:r w:rsidRPr="00886F11">
        <w:rPr>
          <w:rFonts w:ascii="Times New Roman" w:hAnsi="Times New Roman" w:cs="Times New Roman"/>
          <w:sz w:val="18"/>
          <w:szCs w:val="18"/>
          <w:lang w:val="en-US"/>
        </w:rPr>
        <w:t>eu</w:t>
      </w:r>
      <w:proofErr w:type="spellEnd"/>
      <w:r w:rsidRPr="00886F11">
        <w:rPr>
          <w:rFonts w:ascii="Times New Roman" w:hAnsi="Times New Roman" w:cs="Times New Roman"/>
          <w:sz w:val="18"/>
          <w:szCs w:val="18"/>
          <w:lang w:val="en-US"/>
        </w:rPr>
        <w:t>-LISA); European Asylum Support Office (EASO); European Aviation Safety Agency (EASA); European Banking Authority (EBA); European Centre for Disease Prevention and Control (ECDC); European Centre for the Development of Vocational Training (</w:t>
      </w:r>
      <w:proofErr w:type="spellStart"/>
      <w:r w:rsidRPr="00886F11">
        <w:rPr>
          <w:rFonts w:ascii="Times New Roman" w:hAnsi="Times New Roman" w:cs="Times New Roman"/>
          <w:sz w:val="18"/>
          <w:szCs w:val="18"/>
          <w:lang w:val="en-US"/>
        </w:rPr>
        <w:t>Cedefop</w:t>
      </w:r>
      <w:proofErr w:type="spellEnd"/>
      <w:r w:rsidRPr="00886F11">
        <w:rPr>
          <w:rFonts w:ascii="Times New Roman" w:hAnsi="Times New Roman" w:cs="Times New Roman"/>
          <w:sz w:val="18"/>
          <w:szCs w:val="18"/>
          <w:lang w:val="en-US"/>
        </w:rPr>
        <w:t>); European Chemicals Agency (ECHA); European Environment Agency (EEA); European Fisheries Control Agency (EFCA); European Food Safety Authority (EFSA); European Foundation for the Improvement of Living and Working Conditions (</w:t>
      </w:r>
      <w:proofErr w:type="spellStart"/>
      <w:r w:rsidRPr="00886F11">
        <w:rPr>
          <w:rFonts w:ascii="Times New Roman" w:hAnsi="Times New Roman" w:cs="Times New Roman"/>
          <w:sz w:val="18"/>
          <w:szCs w:val="18"/>
          <w:lang w:val="en-US"/>
        </w:rPr>
        <w:t>Eurofound</w:t>
      </w:r>
      <w:proofErr w:type="spellEnd"/>
      <w:r w:rsidRPr="00886F11">
        <w:rPr>
          <w:rFonts w:ascii="Times New Roman" w:hAnsi="Times New Roman" w:cs="Times New Roman"/>
          <w:sz w:val="18"/>
          <w:szCs w:val="18"/>
          <w:lang w:val="en-US"/>
        </w:rPr>
        <w:t>); European GNSS Agency (GSA); European Institute for Gender Equality (EIGE); European Insurance and Occupational Pensions Authority (EIOPA); European Maritime Safety Agency (EMSA); European Medicines Agency (EMA); European Monitoring Centre for Drugs and Drug Addiction (EMCDDA); European Union Agency for Network and Information Security (ENISA); European Union Agency for Law Enforcement Training (CEPOL); European Police Office (Europol); European Public Prosecutor's Office (in preparation) (EPPO); European Union Agency for Railways (ERA); European Securities and Markets Authority (ESMA); European Training Foundation (ETF); European Union Agency for Fundamental Rights (FRA); European Union Intellectual Property Office (EUIPO); Single Resolution Board (SRB); The European Union’s Judicial Cooperation Unit (Eurojust); Translation Centre for the Bodies of the European Union (</w:t>
      </w:r>
      <w:proofErr w:type="spellStart"/>
      <w:r w:rsidRPr="00886F11">
        <w:rPr>
          <w:rFonts w:ascii="Times New Roman" w:hAnsi="Times New Roman" w:cs="Times New Roman"/>
          <w:sz w:val="18"/>
          <w:szCs w:val="18"/>
          <w:lang w:val="en-US"/>
        </w:rPr>
        <w:t>CdT</w:t>
      </w:r>
      <w:proofErr w:type="spellEnd"/>
      <w:r w:rsidRPr="00886F11">
        <w:rPr>
          <w:rFonts w:ascii="Times New Roman" w:hAnsi="Times New Roman" w:cs="Times New Roman"/>
          <w:sz w:val="18"/>
          <w:szCs w:val="18"/>
          <w:lang w:val="en-US"/>
        </w:rPr>
        <w:t>).</w:t>
      </w:r>
    </w:p>
  </w:footnote>
  <w:footnote w:id="41">
    <w:p w14:paraId="007A066C" w14:textId="62F65B82" w:rsidR="00B55D06" w:rsidRPr="00886F11" w:rsidRDefault="00B55D06" w:rsidP="00886F11">
      <w:pPr>
        <w:pStyle w:val="NoSpacing"/>
        <w:jc w:val="both"/>
        <w:rPr>
          <w:rFonts w:ascii="Times New Roman" w:hAnsi="Times New Roman" w:cs="Times New Roman"/>
          <w:sz w:val="18"/>
          <w:szCs w:val="18"/>
          <w:lang w:val="en-US"/>
        </w:rPr>
      </w:pPr>
      <w:r w:rsidRPr="00886F11">
        <w:rPr>
          <w:rStyle w:val="FootnoteReference"/>
          <w:rFonts w:ascii="Times New Roman" w:hAnsi="Times New Roman" w:cs="Times New Roman"/>
          <w:sz w:val="18"/>
          <w:szCs w:val="18"/>
        </w:rPr>
        <w:footnoteRef/>
      </w:r>
      <w:r w:rsidRPr="00886F11">
        <w:rPr>
          <w:rFonts w:ascii="Times New Roman" w:hAnsi="Times New Roman" w:cs="Times New Roman"/>
          <w:sz w:val="18"/>
          <w:szCs w:val="18"/>
          <w:lang w:val="en-US"/>
        </w:rPr>
        <w:t xml:space="preserve">Council Decision (EU) 2016/1353 of 4 August 2016, </w:t>
      </w:r>
      <w:hyperlink r:id="rId9" w:history="1">
        <w:r w:rsidRPr="00886F11">
          <w:rPr>
            <w:rStyle w:val="Hyperlink"/>
            <w:rFonts w:ascii="Times New Roman" w:hAnsi="Times New Roman" w:cs="Times New Roman"/>
            <w:sz w:val="18"/>
            <w:szCs w:val="18"/>
            <w:lang w:val="en-US"/>
          </w:rPr>
          <w:t>http://eur-lex.europa.eu/legal-content/EN/TXT/PDF/?uri=CELEX:32016D1353&amp;from=EN</w:t>
        </w:r>
      </w:hyperlink>
      <w:r w:rsidRPr="00886F11">
        <w:rPr>
          <w:rFonts w:ascii="Times New Roman" w:hAnsi="Times New Roman" w:cs="Times New Roman"/>
          <w:sz w:val="18"/>
          <w:szCs w:val="18"/>
          <w:lang w:val="en-US"/>
        </w:rPr>
        <w:t>, visited January 2017</w:t>
      </w:r>
    </w:p>
  </w:footnote>
  <w:footnote w:id="42">
    <w:p w14:paraId="64551B33" w14:textId="0185BBD3" w:rsidR="00B55D06" w:rsidRPr="00555A61" w:rsidRDefault="00B55D06" w:rsidP="00886F11">
      <w:pPr>
        <w:pStyle w:val="NoSpacing"/>
        <w:jc w:val="both"/>
        <w:rPr>
          <w:rFonts w:ascii="Times New Roman" w:hAnsi="Times New Roman" w:cs="Times New Roman"/>
          <w:sz w:val="18"/>
          <w:szCs w:val="18"/>
          <w:lang w:val="en-US"/>
        </w:rPr>
      </w:pPr>
      <w:r w:rsidRPr="00886F11">
        <w:rPr>
          <w:rStyle w:val="FootnoteReference"/>
          <w:rFonts w:ascii="Times New Roman" w:hAnsi="Times New Roman" w:cs="Times New Roman"/>
          <w:sz w:val="18"/>
          <w:szCs w:val="18"/>
        </w:rPr>
        <w:footnoteRef/>
      </w:r>
      <w:r w:rsidRPr="00555A61">
        <w:rPr>
          <w:rFonts w:ascii="Times New Roman" w:hAnsi="Times New Roman" w:cs="Times New Roman"/>
          <w:sz w:val="18"/>
          <w:szCs w:val="18"/>
          <w:lang w:val="en-US"/>
        </w:rPr>
        <w:t xml:space="preserve"> H-J </w:t>
      </w:r>
      <w:proofErr w:type="spellStart"/>
      <w:r w:rsidRPr="00555A61">
        <w:rPr>
          <w:rFonts w:ascii="Times New Roman" w:hAnsi="Times New Roman" w:cs="Times New Roman"/>
          <w:sz w:val="18"/>
          <w:szCs w:val="18"/>
          <w:lang w:val="en-US"/>
        </w:rPr>
        <w:t>Priess</w:t>
      </w:r>
      <w:proofErr w:type="spellEnd"/>
      <w:r w:rsidRPr="00555A61">
        <w:rPr>
          <w:rFonts w:ascii="Times New Roman" w:hAnsi="Times New Roman" w:cs="Times New Roman"/>
          <w:sz w:val="18"/>
          <w:szCs w:val="18"/>
          <w:lang w:val="en-US"/>
        </w:rPr>
        <w:t xml:space="preserve">, Award procedures for EU Institutions, Chap 16 in R. Caranta, and al., EU Public Contracts law, </w:t>
      </w:r>
      <w:proofErr w:type="spellStart"/>
      <w:r w:rsidRPr="00555A61">
        <w:rPr>
          <w:rFonts w:ascii="Times New Roman" w:hAnsi="Times New Roman" w:cs="Times New Roman"/>
          <w:sz w:val="18"/>
          <w:szCs w:val="18"/>
          <w:lang w:val="en-US"/>
        </w:rPr>
        <w:t>Bruylant</w:t>
      </w:r>
      <w:proofErr w:type="spellEnd"/>
      <w:r w:rsidRPr="00555A61">
        <w:rPr>
          <w:rFonts w:ascii="Times New Roman" w:hAnsi="Times New Roman" w:cs="Times New Roman"/>
          <w:sz w:val="18"/>
          <w:szCs w:val="18"/>
          <w:lang w:val="en-US"/>
        </w:rPr>
        <w:t xml:space="preserve"> 2013</w:t>
      </w:r>
    </w:p>
  </w:footnote>
  <w:footnote w:id="43">
    <w:p w14:paraId="300155B0" w14:textId="77777777" w:rsidR="00B55D06" w:rsidRPr="00555A61" w:rsidRDefault="00B55D06" w:rsidP="00886F11">
      <w:pPr>
        <w:pStyle w:val="NoSpacing"/>
        <w:jc w:val="both"/>
        <w:rPr>
          <w:rFonts w:ascii="Times New Roman" w:hAnsi="Times New Roman" w:cs="Times New Roman"/>
          <w:sz w:val="18"/>
          <w:szCs w:val="18"/>
          <w:lang w:val="en-US"/>
        </w:rPr>
      </w:pPr>
      <w:r w:rsidRPr="00886F11">
        <w:rPr>
          <w:rStyle w:val="FootnoteReference"/>
          <w:rFonts w:ascii="Times New Roman" w:hAnsi="Times New Roman" w:cs="Times New Roman"/>
          <w:sz w:val="18"/>
          <w:szCs w:val="18"/>
        </w:rPr>
        <w:footnoteRef/>
      </w:r>
      <w:r w:rsidRPr="00555A61">
        <w:rPr>
          <w:rFonts w:ascii="Times New Roman" w:hAnsi="Times New Roman" w:cs="Times New Roman"/>
          <w:sz w:val="18"/>
          <w:szCs w:val="18"/>
          <w:lang w:val="en-US"/>
        </w:rPr>
        <w:t xml:space="preserve"> ACP-EC Partnership Agreement signed at Cotonou on 23 June 2000 as first revised on 25 June 2005; 2nd revision dated 23 June 2010 applicable on a provisional basis from 1 November </w:t>
      </w:r>
      <w:r w:rsidRPr="00555A61">
        <w:rPr>
          <w:rFonts w:ascii="Times New Roman" w:hAnsi="Times New Roman" w:cs="Times New Roman"/>
          <w:sz w:val="18"/>
          <w:szCs w:val="18"/>
          <w:highlight w:val="yellow"/>
          <w:lang w:val="en-US"/>
        </w:rPr>
        <w:t>2010.</w:t>
      </w:r>
      <w:r w:rsidRPr="00555A61">
        <w:rPr>
          <w:rFonts w:ascii="Times New Roman" w:hAnsi="Times New Roman" w:cs="Times New Roman"/>
          <w:sz w:val="18"/>
          <w:szCs w:val="18"/>
          <w:lang w:val="en-US"/>
        </w:rPr>
        <w:t xml:space="preserve"> </w:t>
      </w:r>
    </w:p>
  </w:footnote>
  <w:footnote w:id="44">
    <w:p w14:paraId="3E40FDEE" w14:textId="5E8730F4" w:rsidR="00B55D06" w:rsidRPr="00886F11" w:rsidRDefault="00B55D06" w:rsidP="00886F11">
      <w:pPr>
        <w:pStyle w:val="NoSpacing"/>
        <w:jc w:val="both"/>
        <w:rPr>
          <w:rFonts w:ascii="Times New Roman" w:hAnsi="Times New Roman" w:cs="Times New Roman"/>
          <w:sz w:val="18"/>
          <w:szCs w:val="18"/>
          <w:lang w:val="en-US"/>
        </w:rPr>
      </w:pPr>
      <w:r w:rsidRPr="00886F11">
        <w:rPr>
          <w:rStyle w:val="FootnoteReference"/>
          <w:rFonts w:ascii="Times New Roman" w:hAnsi="Times New Roman" w:cs="Times New Roman"/>
          <w:sz w:val="18"/>
          <w:szCs w:val="18"/>
        </w:rPr>
        <w:footnoteRef/>
      </w:r>
      <w:r w:rsidRPr="00886F11">
        <w:rPr>
          <w:rFonts w:ascii="Times New Roman" w:hAnsi="Times New Roman" w:cs="Times New Roman"/>
          <w:sz w:val="18"/>
          <w:szCs w:val="18"/>
          <w:lang w:val="en-US"/>
        </w:rPr>
        <w:t>Available on the website of the International Cooperation and Dev</w:t>
      </w:r>
      <w:r w:rsidR="00E92BE8">
        <w:rPr>
          <w:rFonts w:ascii="Times New Roman" w:hAnsi="Times New Roman" w:cs="Times New Roman"/>
          <w:sz w:val="18"/>
          <w:szCs w:val="18"/>
          <w:lang w:val="en-US"/>
        </w:rPr>
        <w:t xml:space="preserve">elopment of the EU Commission, </w:t>
      </w:r>
      <w:hyperlink r:id="rId10" w:history="1">
        <w:r w:rsidRPr="00886F11">
          <w:rPr>
            <w:rStyle w:val="Hyperlink"/>
            <w:rFonts w:ascii="Times New Roman" w:hAnsi="Times New Roman" w:cs="Times New Roman"/>
            <w:sz w:val="18"/>
            <w:szCs w:val="18"/>
            <w:lang w:val="en-US"/>
          </w:rPr>
          <w:t>http://ec.europa.eu/europeaid/node/101249</w:t>
        </w:r>
      </w:hyperlink>
      <w:r w:rsidRPr="00886F11">
        <w:rPr>
          <w:rFonts w:ascii="Times New Roman" w:hAnsi="Times New Roman" w:cs="Times New Roman"/>
          <w:sz w:val="18"/>
          <w:szCs w:val="18"/>
          <w:lang w:val="en-US"/>
        </w:rPr>
        <w:t>, last visited February 2017.</w:t>
      </w:r>
    </w:p>
  </w:footnote>
  <w:footnote w:id="45">
    <w:p w14:paraId="670E7518" w14:textId="3A63FAC2" w:rsidR="00E92BE8" w:rsidRPr="00E92BE8" w:rsidRDefault="00E92BE8" w:rsidP="00E92BE8">
      <w:pPr>
        <w:pStyle w:val="FootnoteText"/>
        <w:rPr>
          <w:lang w:val="en-US"/>
        </w:rPr>
      </w:pPr>
      <w:r>
        <w:rPr>
          <w:rStyle w:val="FootnoteReference"/>
        </w:rPr>
        <w:footnoteRef/>
      </w:r>
      <w:r>
        <w:t xml:space="preserve"> </w:t>
      </w:r>
      <w:r w:rsidRPr="00E92BE8">
        <w:rPr>
          <w:lang w:val="en-US"/>
        </w:rPr>
        <w:t>ESA P</w:t>
      </w:r>
      <w:r>
        <w:rPr>
          <w:lang w:val="en-US"/>
        </w:rPr>
        <w:t>r</w:t>
      </w:r>
      <w:r w:rsidRPr="00E92BE8">
        <w:rPr>
          <w:lang w:val="en-US"/>
        </w:rPr>
        <w:t>ocurement rules and im</w:t>
      </w:r>
      <w:r>
        <w:rPr>
          <w:lang w:val="en-US"/>
        </w:rPr>
        <w:t>p</w:t>
      </w:r>
      <w:r w:rsidRPr="00E92BE8">
        <w:rPr>
          <w:lang w:val="en-US"/>
        </w:rPr>
        <w:t xml:space="preserve">lementing regulation, </w:t>
      </w:r>
      <w:r>
        <w:rPr>
          <w:lang w:val="en-US"/>
        </w:rPr>
        <w:t xml:space="preserve">ESA/REG/001, rev. 3, </w:t>
      </w:r>
      <w:r w:rsidRPr="00E92BE8">
        <w:rPr>
          <w:lang w:val="en-US"/>
        </w:rPr>
        <w:t>Paris, 20 December 2012</w:t>
      </w:r>
      <w:r>
        <w:rPr>
          <w:lang w:val="en-US"/>
        </w:rPr>
        <w:t>.</w:t>
      </w:r>
    </w:p>
  </w:footnote>
  <w:footnote w:id="46">
    <w:p w14:paraId="189A1894" w14:textId="5D4C2FDE" w:rsidR="00E92BE8" w:rsidRPr="00E92BE8" w:rsidRDefault="00E92BE8" w:rsidP="00E92BE8">
      <w:pPr>
        <w:pStyle w:val="FootnoteText"/>
        <w:jc w:val="both"/>
      </w:pPr>
      <w:r>
        <w:rPr>
          <w:rStyle w:val="FootnoteReference"/>
        </w:rPr>
        <w:footnoteRef/>
      </w:r>
      <w:r>
        <w:t xml:space="preserve"> </w:t>
      </w:r>
      <w:r w:rsidR="00AE22D6" w:rsidRPr="00E92BE8">
        <w:t>Since 2004 the ESA/EU Framework Agreement has been the basis for cooperation between ESA and the EU (extended in 2016 until 2020)</w:t>
      </w:r>
      <w:r>
        <w:t>, OJUE 6/8/2004, L261/65</w:t>
      </w:r>
      <w:r w:rsidR="00AE22D6" w:rsidRPr="00E92BE8">
        <w:t>.</w:t>
      </w:r>
    </w:p>
  </w:footnote>
  <w:footnote w:id="47">
    <w:p w14:paraId="5E5A67C1"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 ESA Convention, Article VII, Article XVIII, and Annex V.</w:t>
      </w:r>
    </w:p>
  </w:footnote>
  <w:footnote w:id="48">
    <w:p w14:paraId="4D4B3E37" w14:textId="04AEF629" w:rsidR="00B55D06" w:rsidRPr="00E92BE8" w:rsidRDefault="00B55D06" w:rsidP="00886F11">
      <w:pPr>
        <w:pStyle w:val="FootnoteText"/>
        <w:jc w:val="both"/>
        <w:rPr>
          <w:sz w:val="18"/>
          <w:szCs w:val="18"/>
          <w:lang w:val="en-US"/>
        </w:rPr>
      </w:pPr>
      <w:r w:rsidRPr="00E92BE8">
        <w:rPr>
          <w:rStyle w:val="FootnoteReference"/>
          <w:sz w:val="18"/>
          <w:szCs w:val="18"/>
        </w:rPr>
        <w:footnoteRef/>
      </w:r>
      <w:r w:rsidR="00E92BE8" w:rsidRPr="00E92BE8">
        <w:rPr>
          <w:sz w:val="18"/>
          <w:szCs w:val="18"/>
        </w:rPr>
        <w:t xml:space="preserve"> ESA Pro</w:t>
      </w:r>
      <w:r w:rsidR="00E92BE8">
        <w:rPr>
          <w:sz w:val="18"/>
          <w:szCs w:val="18"/>
        </w:rPr>
        <w:t>c</w:t>
      </w:r>
      <w:r w:rsidR="00E92BE8" w:rsidRPr="00E92BE8">
        <w:rPr>
          <w:sz w:val="18"/>
          <w:szCs w:val="18"/>
        </w:rPr>
        <w:t xml:space="preserve">urement Rules </w:t>
      </w:r>
      <w:r w:rsidR="00E92BE8" w:rsidRPr="00E92BE8">
        <w:rPr>
          <w:i/>
          <w:sz w:val="18"/>
          <w:szCs w:val="18"/>
        </w:rPr>
        <w:t>Op. Cit</w:t>
      </w:r>
      <w:r w:rsidR="00E92BE8">
        <w:rPr>
          <w:sz w:val="18"/>
          <w:szCs w:val="18"/>
        </w:rPr>
        <w:t xml:space="preserve">., Part VI and Annex </w:t>
      </w:r>
      <w:r w:rsidR="00E92BE8">
        <w:rPr>
          <w:smallCaps/>
          <w:sz w:val="18"/>
          <w:szCs w:val="18"/>
        </w:rPr>
        <w:t>V,</w:t>
      </w:r>
      <w:r w:rsidR="00E92BE8" w:rsidRPr="00E92BE8">
        <w:rPr>
          <w:sz w:val="18"/>
          <w:szCs w:val="18"/>
        </w:rPr>
        <w:t xml:space="preserve"> Implementing instruction concerning the establishment and</w:t>
      </w:r>
      <w:r w:rsidR="00E92BE8">
        <w:rPr>
          <w:sz w:val="18"/>
          <w:szCs w:val="18"/>
        </w:rPr>
        <w:t xml:space="preserve"> </w:t>
      </w:r>
      <w:r w:rsidR="00E92BE8" w:rsidRPr="00E92BE8">
        <w:rPr>
          <w:sz w:val="18"/>
          <w:szCs w:val="18"/>
          <w:lang w:val="en-US"/>
        </w:rPr>
        <w:t>proceedings of the ESA Procurement Review Board.</w:t>
      </w:r>
    </w:p>
  </w:footnote>
  <w:footnote w:id="49">
    <w:p w14:paraId="6CD1E509"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w:t>
      </w:r>
      <w:r w:rsidRPr="0074031E">
        <w:rPr>
          <w:sz w:val="18"/>
          <w:szCs w:val="18"/>
          <w:lang w:val="en-US"/>
        </w:rPr>
        <w:t xml:space="preserve">It was accepted, together with Annex IV, by the General Conference, effective 7 February 1949. It covers: (a) The International </w:t>
      </w:r>
      <w:proofErr w:type="spellStart"/>
      <w:r w:rsidRPr="0074031E">
        <w:rPr>
          <w:sz w:val="18"/>
          <w:szCs w:val="18"/>
          <w:lang w:val="en-US"/>
        </w:rPr>
        <w:t>Labour</w:t>
      </w:r>
      <w:proofErr w:type="spellEnd"/>
      <w:r w:rsidRPr="0074031E">
        <w:rPr>
          <w:sz w:val="18"/>
          <w:szCs w:val="18"/>
          <w:lang w:val="en-US"/>
        </w:rPr>
        <w:t xml:space="preserve"> Organization;  (b) The Food and Agriculture Organization of the United Nations;  (c) The United Nations Educational, Scientific and Cultural Organization;  (d) The International Civil Aviation Organization;  (e) The International Monetary Fund;  (f) The International Bank for Reconstruction and Development;  (g) The World Health Organization;  (h) The Universal Postal Union;  (</w:t>
      </w:r>
      <w:proofErr w:type="spellStart"/>
      <w:r w:rsidRPr="0074031E">
        <w:rPr>
          <w:sz w:val="18"/>
          <w:szCs w:val="18"/>
          <w:lang w:val="en-US"/>
        </w:rPr>
        <w:t>i</w:t>
      </w:r>
      <w:proofErr w:type="spellEnd"/>
      <w:r w:rsidRPr="0074031E">
        <w:rPr>
          <w:sz w:val="18"/>
          <w:szCs w:val="18"/>
          <w:lang w:val="en-US"/>
        </w:rPr>
        <w:t>) The International Telecommunication Union; and  (j) Any other agency in relationship with the United Nations in accordance with Articles 57 and 63 of the Charter. </w:t>
      </w:r>
    </w:p>
  </w:footnote>
  <w:footnote w:id="50">
    <w:p w14:paraId="4B4C8A66"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 In addition, these latter contracts often fall under particular jurisdictions such as the United Nations Administrative Tribunal or the Administrative Tribunal of the International Labor Organization.</w:t>
      </w:r>
    </w:p>
  </w:footnote>
  <w:footnote w:id="51">
    <w:p w14:paraId="526635E8" w14:textId="03872E9C" w:rsidR="00B55D06" w:rsidRPr="0074031E" w:rsidRDefault="00B55D06" w:rsidP="00886F11">
      <w:pPr>
        <w:pStyle w:val="FootnoteText"/>
        <w:jc w:val="both"/>
        <w:rPr>
          <w:sz w:val="18"/>
          <w:szCs w:val="18"/>
          <w:lang w:val="fr-FR"/>
        </w:rPr>
      </w:pPr>
      <w:r w:rsidRPr="0074031E">
        <w:rPr>
          <w:rStyle w:val="FootnoteReference"/>
          <w:sz w:val="18"/>
          <w:szCs w:val="18"/>
        </w:rPr>
        <w:footnoteRef/>
      </w:r>
      <w:r w:rsidRPr="0074031E">
        <w:rPr>
          <w:sz w:val="18"/>
          <w:szCs w:val="18"/>
          <w:lang w:val="fr-FR"/>
        </w:rPr>
        <w:t xml:space="preserve"> </w:t>
      </w:r>
      <w:r w:rsidR="00886F11">
        <w:rPr>
          <w:sz w:val="18"/>
          <w:szCs w:val="18"/>
          <w:lang w:val="fr-FR"/>
        </w:rPr>
        <w:t>M. A</w:t>
      </w:r>
      <w:r w:rsidR="00886F11" w:rsidRPr="00886F11">
        <w:rPr>
          <w:sz w:val="14"/>
          <w:szCs w:val="18"/>
          <w:lang w:val="fr-FR"/>
        </w:rPr>
        <w:t>UDIT</w:t>
      </w:r>
      <w:r w:rsidRPr="0074031E">
        <w:rPr>
          <w:sz w:val="18"/>
          <w:szCs w:val="18"/>
          <w:lang w:val="fr-FR"/>
        </w:rPr>
        <w:t>, S. B</w:t>
      </w:r>
      <w:r w:rsidR="00886F11" w:rsidRPr="00886F11">
        <w:rPr>
          <w:sz w:val="14"/>
          <w:szCs w:val="18"/>
          <w:lang w:val="fr-FR"/>
        </w:rPr>
        <w:t>OLLE</w:t>
      </w:r>
      <w:r w:rsidRPr="0074031E">
        <w:rPr>
          <w:sz w:val="18"/>
          <w:szCs w:val="18"/>
          <w:lang w:val="fr-FR"/>
        </w:rPr>
        <w:t>, P. C</w:t>
      </w:r>
      <w:r w:rsidR="00886F11" w:rsidRPr="00886F11">
        <w:rPr>
          <w:sz w:val="14"/>
          <w:szCs w:val="18"/>
          <w:lang w:val="fr-FR"/>
        </w:rPr>
        <w:t>ALLE</w:t>
      </w:r>
      <w:r w:rsidRPr="0074031E">
        <w:rPr>
          <w:sz w:val="18"/>
          <w:szCs w:val="18"/>
          <w:lang w:val="fr-FR"/>
        </w:rPr>
        <w:t xml:space="preserve">, Droit du commerce international et des investissements, n° 151, p. 117, LGDJ, 2014. R.-J. Dupuis, </w:t>
      </w:r>
      <w:r w:rsidRPr="00886F11">
        <w:rPr>
          <w:i/>
          <w:sz w:val="18"/>
          <w:szCs w:val="18"/>
          <w:lang w:val="fr-FR"/>
        </w:rPr>
        <w:t xml:space="preserve">A </w:t>
      </w:r>
      <w:proofErr w:type="spellStart"/>
      <w:r w:rsidRPr="00886F11">
        <w:rPr>
          <w:i/>
          <w:sz w:val="18"/>
          <w:szCs w:val="18"/>
          <w:lang w:val="fr-FR"/>
        </w:rPr>
        <w:t>Handbook</w:t>
      </w:r>
      <w:proofErr w:type="spellEnd"/>
      <w:r w:rsidRPr="00886F11">
        <w:rPr>
          <w:i/>
          <w:sz w:val="18"/>
          <w:szCs w:val="18"/>
          <w:lang w:val="fr-FR"/>
        </w:rPr>
        <w:t xml:space="preserve"> on International Organizations</w:t>
      </w:r>
      <w:r w:rsidRPr="0074031E">
        <w:rPr>
          <w:sz w:val="18"/>
          <w:szCs w:val="18"/>
          <w:lang w:val="fr-FR"/>
        </w:rPr>
        <w:t xml:space="preserve">, 1998. </w:t>
      </w:r>
    </w:p>
  </w:footnote>
  <w:footnote w:id="52">
    <w:p w14:paraId="362EF0BB" w14:textId="213E0EC0" w:rsidR="00B55D06" w:rsidRPr="0074031E" w:rsidRDefault="00B55D06" w:rsidP="00886F11">
      <w:pPr>
        <w:pStyle w:val="FootnoteText"/>
        <w:jc w:val="both"/>
        <w:rPr>
          <w:sz w:val="18"/>
          <w:szCs w:val="18"/>
          <w:lang w:val="fr-FR"/>
        </w:rPr>
      </w:pPr>
      <w:r w:rsidRPr="0074031E">
        <w:rPr>
          <w:rStyle w:val="FootnoteReference"/>
          <w:sz w:val="18"/>
          <w:szCs w:val="18"/>
        </w:rPr>
        <w:footnoteRef/>
      </w:r>
      <w:r w:rsidRPr="0074031E">
        <w:rPr>
          <w:sz w:val="18"/>
          <w:szCs w:val="18"/>
          <w:lang w:val="fr-FR"/>
        </w:rPr>
        <w:t xml:space="preserve"> Ch. D</w:t>
      </w:r>
      <w:r w:rsidR="00886F11" w:rsidRPr="00886F11">
        <w:rPr>
          <w:sz w:val="14"/>
          <w:szCs w:val="18"/>
          <w:lang w:val="fr-FR"/>
        </w:rPr>
        <w:t>OMINICE</w:t>
      </w:r>
      <w:r w:rsidRPr="00886F11">
        <w:rPr>
          <w:sz w:val="14"/>
          <w:szCs w:val="18"/>
          <w:lang w:val="fr-FR"/>
        </w:rPr>
        <w:t xml:space="preserve">, </w:t>
      </w:r>
      <w:r w:rsidR="00886F11">
        <w:rPr>
          <w:sz w:val="18"/>
          <w:szCs w:val="18"/>
          <w:lang w:val="fr-FR"/>
        </w:rPr>
        <w:t>« </w:t>
      </w:r>
      <w:r w:rsidRPr="0074031E">
        <w:rPr>
          <w:sz w:val="18"/>
          <w:szCs w:val="18"/>
          <w:lang w:val="fr-FR"/>
        </w:rPr>
        <w:t>L’ordre juridique international entre tradition et innovation</w:t>
      </w:r>
      <w:r w:rsidR="00886F11">
        <w:rPr>
          <w:sz w:val="18"/>
          <w:szCs w:val="18"/>
          <w:lang w:val="fr-FR"/>
        </w:rPr>
        <w:t> »</w:t>
      </w:r>
      <w:r w:rsidRPr="0074031E">
        <w:rPr>
          <w:sz w:val="18"/>
          <w:szCs w:val="18"/>
          <w:lang w:val="fr-FR"/>
        </w:rPr>
        <w:t>, p. 127-145,  </w:t>
      </w:r>
      <w:r w:rsidRPr="0074031E">
        <w:rPr>
          <w:color w:val="000000"/>
          <w:sz w:val="18"/>
          <w:szCs w:val="18"/>
          <w:shd w:val="clear" w:color="auto" w:fill="FFFFFF"/>
          <w:lang w:val="fr-FR"/>
        </w:rPr>
        <w:t>collection </w:t>
      </w:r>
      <w:r w:rsidRPr="0074031E">
        <w:rPr>
          <w:i/>
          <w:iCs/>
          <w:color w:val="000000"/>
          <w:sz w:val="18"/>
          <w:szCs w:val="18"/>
          <w:shd w:val="clear" w:color="auto" w:fill="FFFFFF"/>
          <w:lang w:val="fr-FR"/>
        </w:rPr>
        <w:t>Publications de l'Institut de hautes études internationales</w:t>
      </w:r>
      <w:r w:rsidR="00886F11">
        <w:rPr>
          <w:color w:val="000000"/>
          <w:sz w:val="18"/>
          <w:szCs w:val="18"/>
          <w:shd w:val="clear" w:color="auto" w:fill="FFFFFF"/>
          <w:lang w:val="fr-FR"/>
        </w:rPr>
        <w:t>, PUF</w:t>
      </w:r>
      <w:r w:rsidRPr="0074031E">
        <w:rPr>
          <w:color w:val="000000"/>
          <w:sz w:val="18"/>
          <w:szCs w:val="18"/>
          <w:shd w:val="clear" w:color="auto" w:fill="FFFFFF"/>
          <w:lang w:val="fr-FR"/>
        </w:rPr>
        <w:t xml:space="preserve">, Paris, </w:t>
      </w:r>
      <w:proofErr w:type="spellStart"/>
      <w:r w:rsidRPr="0074031E">
        <w:rPr>
          <w:sz w:val="18"/>
          <w:szCs w:val="18"/>
          <w:lang w:val="fr-FR"/>
        </w:rPr>
        <w:t>Graduate</w:t>
      </w:r>
      <w:proofErr w:type="spellEnd"/>
      <w:r w:rsidRPr="0074031E">
        <w:rPr>
          <w:sz w:val="18"/>
          <w:szCs w:val="18"/>
          <w:lang w:val="fr-FR"/>
        </w:rPr>
        <w:t xml:space="preserve"> Institute Publications, Open Edition books 2014.</w:t>
      </w:r>
    </w:p>
  </w:footnote>
  <w:footnote w:id="53">
    <w:p w14:paraId="72B50CDF" w14:textId="4A38CA10"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r w:rsidR="00886F11">
        <w:rPr>
          <w:sz w:val="18"/>
          <w:szCs w:val="18"/>
        </w:rPr>
        <w:t xml:space="preserve">  A.</w:t>
      </w:r>
      <w:r w:rsidRPr="0074031E">
        <w:rPr>
          <w:sz w:val="18"/>
          <w:szCs w:val="18"/>
        </w:rPr>
        <w:t xml:space="preserve"> R</w:t>
      </w:r>
      <w:r w:rsidR="00886F11" w:rsidRPr="00886F11">
        <w:rPr>
          <w:sz w:val="16"/>
          <w:szCs w:val="18"/>
        </w:rPr>
        <w:t>EINISCH</w:t>
      </w:r>
      <w:r w:rsidRPr="0074031E">
        <w:rPr>
          <w:sz w:val="18"/>
          <w:szCs w:val="18"/>
        </w:rPr>
        <w:t xml:space="preserve">, </w:t>
      </w:r>
      <w:r w:rsidRPr="00886F11">
        <w:rPr>
          <w:i/>
          <w:sz w:val="18"/>
          <w:szCs w:val="18"/>
        </w:rPr>
        <w:t>Contracts between International Organizations and Private Law Person,</w:t>
      </w:r>
      <w:r w:rsidRPr="0074031E">
        <w:rPr>
          <w:sz w:val="18"/>
          <w:szCs w:val="18"/>
        </w:rPr>
        <w:t xml:space="preserve"> 2006 , </w:t>
      </w:r>
      <w:proofErr w:type="spellStart"/>
      <w:r w:rsidRPr="0074031E">
        <w:rPr>
          <w:sz w:val="18"/>
          <w:szCs w:val="18"/>
        </w:rPr>
        <w:t>Universitat</w:t>
      </w:r>
      <w:proofErr w:type="spellEnd"/>
      <w:r w:rsidRPr="0074031E">
        <w:rPr>
          <w:sz w:val="18"/>
          <w:szCs w:val="18"/>
        </w:rPr>
        <w:t xml:space="preserve"> Wien.  </w:t>
      </w:r>
      <w:r w:rsidRPr="0074031E">
        <w:rPr>
          <w:sz w:val="18"/>
          <w:szCs w:val="18"/>
          <w:lang w:val="fr-FR"/>
        </w:rPr>
        <w:t xml:space="preserve">Les deux études les plus complètes sur ces contrats : P. </w:t>
      </w:r>
      <w:proofErr w:type="spellStart"/>
      <w:r w:rsidRPr="0074031E">
        <w:rPr>
          <w:sz w:val="18"/>
          <w:szCs w:val="18"/>
          <w:lang w:val="fr-FR"/>
        </w:rPr>
        <w:t>Glavanis</w:t>
      </w:r>
      <w:proofErr w:type="spellEnd"/>
      <w:r w:rsidRPr="0074031E">
        <w:rPr>
          <w:sz w:val="18"/>
          <w:szCs w:val="18"/>
          <w:lang w:val="fr-FR"/>
        </w:rPr>
        <w:t xml:space="preserve">, Les litiges relatifs aux contrats passés entre organisations internationales et personnes privées, </w:t>
      </w:r>
      <w:proofErr w:type="spellStart"/>
      <w:r w:rsidRPr="0074031E">
        <w:rPr>
          <w:sz w:val="18"/>
          <w:szCs w:val="18"/>
          <w:lang w:val="fr-FR"/>
        </w:rPr>
        <w:t>préf</w:t>
      </w:r>
      <w:proofErr w:type="spellEnd"/>
      <w:r w:rsidRPr="0074031E">
        <w:rPr>
          <w:sz w:val="18"/>
          <w:szCs w:val="18"/>
          <w:lang w:val="fr-FR"/>
        </w:rPr>
        <w:t xml:space="preserve">. </w:t>
      </w:r>
      <w:r w:rsidRPr="0074031E">
        <w:rPr>
          <w:sz w:val="18"/>
          <w:szCs w:val="18"/>
        </w:rPr>
        <w:t xml:space="preserve">Ph. </w:t>
      </w:r>
      <w:proofErr w:type="spellStart"/>
      <w:r w:rsidRPr="0074031E">
        <w:rPr>
          <w:sz w:val="18"/>
          <w:szCs w:val="18"/>
        </w:rPr>
        <w:t>Fouchard</w:t>
      </w:r>
      <w:proofErr w:type="spellEnd"/>
      <w:r w:rsidRPr="0074031E">
        <w:rPr>
          <w:sz w:val="18"/>
          <w:szCs w:val="18"/>
        </w:rPr>
        <w:t xml:space="preserve"> : LGDJ 1991. – F. </w:t>
      </w:r>
      <w:proofErr w:type="spellStart"/>
      <w:r w:rsidRPr="0074031E">
        <w:rPr>
          <w:sz w:val="18"/>
          <w:szCs w:val="18"/>
        </w:rPr>
        <w:t>Seyersted</w:t>
      </w:r>
      <w:proofErr w:type="spellEnd"/>
      <w:r w:rsidRPr="0074031E">
        <w:rPr>
          <w:sz w:val="18"/>
          <w:szCs w:val="18"/>
        </w:rPr>
        <w:t xml:space="preserve">, Applicable law in relations between </w:t>
      </w:r>
      <w:proofErr w:type="spellStart"/>
      <w:r w:rsidRPr="0074031E">
        <w:rPr>
          <w:sz w:val="18"/>
          <w:szCs w:val="18"/>
        </w:rPr>
        <w:t>intergouvernmental</w:t>
      </w:r>
      <w:proofErr w:type="spellEnd"/>
      <w:r w:rsidRPr="0074031E">
        <w:rPr>
          <w:sz w:val="18"/>
          <w:szCs w:val="18"/>
        </w:rPr>
        <w:t xml:space="preserve"> organizations and private parties : RCADI 1967 (I</w:t>
      </w:r>
      <w:r w:rsidR="00886F11">
        <w:rPr>
          <w:sz w:val="18"/>
          <w:szCs w:val="18"/>
        </w:rPr>
        <w:t>I), vol. 122, p. 434 à 624. While some</w:t>
      </w:r>
      <w:r w:rsidRPr="0074031E">
        <w:rPr>
          <w:sz w:val="18"/>
          <w:szCs w:val="18"/>
        </w:rPr>
        <w:t xml:space="preserve"> authors of International private law, pleading for a “private law” ap</w:t>
      </w:r>
      <w:r w:rsidR="00886F11">
        <w:rPr>
          <w:sz w:val="18"/>
          <w:szCs w:val="18"/>
        </w:rPr>
        <w:t xml:space="preserve">proach for these contracts with </w:t>
      </w:r>
      <w:r w:rsidRPr="0074031E">
        <w:rPr>
          <w:sz w:val="18"/>
          <w:szCs w:val="18"/>
        </w:rPr>
        <w:t>balanced relation</w:t>
      </w:r>
      <w:r w:rsidR="00886F11">
        <w:rPr>
          <w:sz w:val="18"/>
          <w:szCs w:val="18"/>
        </w:rPr>
        <w:t>s between the parties,</w:t>
      </w:r>
      <w:r w:rsidR="00FD3906">
        <w:rPr>
          <w:sz w:val="18"/>
          <w:szCs w:val="18"/>
        </w:rPr>
        <w:t xml:space="preserve"> </w:t>
      </w:r>
      <w:r w:rsidR="00886F11">
        <w:rPr>
          <w:sz w:val="18"/>
          <w:szCs w:val="18"/>
        </w:rPr>
        <w:t xml:space="preserve">are presented </w:t>
      </w:r>
      <w:r w:rsidRPr="0074031E">
        <w:rPr>
          <w:sz w:val="18"/>
          <w:szCs w:val="18"/>
        </w:rPr>
        <w:t>as being an exception to the “administrat</w:t>
      </w:r>
      <w:r w:rsidR="00886F11">
        <w:rPr>
          <w:sz w:val="18"/>
          <w:szCs w:val="18"/>
        </w:rPr>
        <w:t>ive law approach”: V. J.P. C</w:t>
      </w:r>
      <w:r w:rsidR="00886F11" w:rsidRPr="00886F11">
        <w:rPr>
          <w:sz w:val="14"/>
          <w:szCs w:val="18"/>
        </w:rPr>
        <w:t>OLIN</w:t>
      </w:r>
      <w:r w:rsidRPr="00886F11">
        <w:rPr>
          <w:sz w:val="14"/>
          <w:szCs w:val="18"/>
        </w:rPr>
        <w:t xml:space="preserve"> </w:t>
      </w:r>
      <w:r w:rsidRPr="0074031E">
        <w:rPr>
          <w:sz w:val="18"/>
          <w:szCs w:val="18"/>
        </w:rPr>
        <w:t>et M.H. S</w:t>
      </w:r>
      <w:r w:rsidR="00886F11" w:rsidRPr="00886F11">
        <w:rPr>
          <w:sz w:val="14"/>
          <w:szCs w:val="18"/>
        </w:rPr>
        <w:t>INKONDO</w:t>
      </w:r>
      <w:r w:rsidRPr="00886F11">
        <w:rPr>
          <w:sz w:val="14"/>
          <w:szCs w:val="18"/>
        </w:rPr>
        <w:t>,</w:t>
      </w:r>
      <w:r w:rsidRPr="0074031E">
        <w:rPr>
          <w:sz w:val="18"/>
          <w:szCs w:val="18"/>
        </w:rPr>
        <w:t xml:space="preserve"> </w:t>
      </w:r>
      <w:r w:rsidR="00886F11">
        <w:rPr>
          <w:sz w:val="18"/>
          <w:szCs w:val="18"/>
        </w:rPr>
        <w:t>“</w:t>
      </w:r>
      <w:r w:rsidRPr="0074031E">
        <w:rPr>
          <w:sz w:val="18"/>
          <w:szCs w:val="18"/>
        </w:rPr>
        <w:t xml:space="preserve">Les relations </w:t>
      </w:r>
      <w:proofErr w:type="spellStart"/>
      <w:r w:rsidRPr="0074031E">
        <w:rPr>
          <w:sz w:val="18"/>
          <w:szCs w:val="18"/>
        </w:rPr>
        <w:t>contractuelles</w:t>
      </w:r>
      <w:proofErr w:type="spellEnd"/>
      <w:r w:rsidRPr="0074031E">
        <w:rPr>
          <w:sz w:val="18"/>
          <w:szCs w:val="18"/>
        </w:rPr>
        <w:t xml:space="preserve"> des organisations </w:t>
      </w:r>
      <w:proofErr w:type="spellStart"/>
      <w:r w:rsidRPr="0074031E">
        <w:rPr>
          <w:sz w:val="18"/>
          <w:szCs w:val="18"/>
        </w:rPr>
        <w:t>internationales</w:t>
      </w:r>
      <w:proofErr w:type="spellEnd"/>
      <w:r w:rsidRPr="0074031E">
        <w:rPr>
          <w:sz w:val="18"/>
          <w:szCs w:val="18"/>
        </w:rPr>
        <w:t xml:space="preserve"> avec les </w:t>
      </w:r>
      <w:proofErr w:type="spellStart"/>
      <w:r w:rsidRPr="0074031E">
        <w:rPr>
          <w:sz w:val="18"/>
          <w:szCs w:val="18"/>
        </w:rPr>
        <w:t>personnes</w:t>
      </w:r>
      <w:proofErr w:type="spellEnd"/>
      <w:r w:rsidRPr="0074031E">
        <w:rPr>
          <w:sz w:val="18"/>
          <w:szCs w:val="18"/>
        </w:rPr>
        <w:t xml:space="preserve"> privies</w:t>
      </w:r>
      <w:r w:rsidR="00886F11">
        <w:rPr>
          <w:sz w:val="18"/>
          <w:szCs w:val="18"/>
        </w:rPr>
        <w:t>”</w:t>
      </w:r>
      <w:r w:rsidRPr="0074031E">
        <w:rPr>
          <w:sz w:val="18"/>
          <w:szCs w:val="18"/>
        </w:rPr>
        <w:t xml:space="preserve">, </w:t>
      </w:r>
      <w:r w:rsidRPr="00886F11">
        <w:rPr>
          <w:i/>
          <w:sz w:val="18"/>
          <w:szCs w:val="18"/>
        </w:rPr>
        <w:t xml:space="preserve">Revue de droit international et de droit </w:t>
      </w:r>
      <w:r w:rsidR="00886F11">
        <w:rPr>
          <w:i/>
          <w:sz w:val="18"/>
          <w:szCs w:val="18"/>
        </w:rPr>
        <w:t>compare</w:t>
      </w:r>
      <w:r w:rsidR="00886F11">
        <w:rPr>
          <w:sz w:val="18"/>
          <w:szCs w:val="18"/>
        </w:rPr>
        <w:t>,</w:t>
      </w:r>
      <w:r w:rsidRPr="0074031E">
        <w:rPr>
          <w:sz w:val="18"/>
          <w:szCs w:val="18"/>
        </w:rPr>
        <w:t xml:space="preserve"> 1992, p. 7 à 43.</w:t>
      </w:r>
    </w:p>
  </w:footnote>
  <w:footnote w:id="54">
    <w:p w14:paraId="26BBBD53" w14:textId="0F6DD2EA"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w:t>
      </w:r>
      <w:r w:rsidRPr="0074031E">
        <w:rPr>
          <w:sz w:val="18"/>
          <w:szCs w:val="18"/>
          <w:lang w:val="en-US"/>
        </w:rPr>
        <w:t xml:space="preserve">Compared to the wealth of literature on State immunity, the topic of immunity of International Organizations remained to be surveyed”, </w:t>
      </w:r>
      <w:r w:rsidR="00FD3906">
        <w:rPr>
          <w:sz w:val="18"/>
          <w:szCs w:val="18"/>
          <w:lang w:val="en-US"/>
        </w:rPr>
        <w:t>in August R</w:t>
      </w:r>
      <w:r w:rsidR="00FD3906" w:rsidRPr="00FD3906">
        <w:rPr>
          <w:sz w:val="14"/>
          <w:szCs w:val="18"/>
          <w:lang w:val="en-US"/>
        </w:rPr>
        <w:t>EINISCH</w:t>
      </w:r>
      <w:r w:rsidRPr="0074031E">
        <w:rPr>
          <w:sz w:val="18"/>
          <w:szCs w:val="18"/>
          <w:lang w:val="en-US"/>
        </w:rPr>
        <w:t xml:space="preserve">, </w:t>
      </w:r>
      <w:r w:rsidRPr="00FD3906">
        <w:rPr>
          <w:i/>
          <w:sz w:val="18"/>
          <w:szCs w:val="18"/>
          <w:lang w:val="en-US"/>
        </w:rPr>
        <w:t>International Organizations Before National Courts</w:t>
      </w:r>
      <w:r w:rsidRPr="0074031E">
        <w:rPr>
          <w:sz w:val="18"/>
          <w:szCs w:val="18"/>
          <w:lang w:val="en-US"/>
        </w:rPr>
        <w:t>, Cambridge University Press, 2000, p. 20.</w:t>
      </w:r>
    </w:p>
  </w:footnote>
  <w:footnote w:id="55">
    <w:p w14:paraId="0B5AEBCD" w14:textId="1257D7FF" w:rsidR="00B55D06" w:rsidRPr="0074031E" w:rsidRDefault="00B55D06" w:rsidP="00886F11">
      <w:pPr>
        <w:pStyle w:val="FootnoteText"/>
        <w:jc w:val="both"/>
        <w:rPr>
          <w:sz w:val="18"/>
          <w:szCs w:val="18"/>
          <w:lang w:val="fr-FR"/>
        </w:rPr>
      </w:pPr>
      <w:r w:rsidRPr="0074031E">
        <w:rPr>
          <w:rStyle w:val="FootnoteReference"/>
          <w:sz w:val="18"/>
          <w:szCs w:val="18"/>
        </w:rPr>
        <w:footnoteRef/>
      </w:r>
      <w:r w:rsidRPr="0074031E">
        <w:rPr>
          <w:sz w:val="18"/>
          <w:szCs w:val="18"/>
          <w:lang w:val="fr-FR"/>
        </w:rPr>
        <w:t xml:space="preserve"> </w:t>
      </w:r>
      <w:r w:rsidR="00FD3906">
        <w:rPr>
          <w:sz w:val="18"/>
          <w:szCs w:val="18"/>
          <w:lang w:val="fr-FR"/>
        </w:rPr>
        <w:t>M. A</w:t>
      </w:r>
      <w:r w:rsidR="00FD3906" w:rsidRPr="00FD3906">
        <w:rPr>
          <w:sz w:val="14"/>
          <w:szCs w:val="18"/>
          <w:lang w:val="fr-FR"/>
        </w:rPr>
        <w:t>UDIT</w:t>
      </w:r>
      <w:r w:rsidRPr="0074031E">
        <w:rPr>
          <w:sz w:val="18"/>
          <w:szCs w:val="18"/>
          <w:lang w:val="fr-FR"/>
        </w:rPr>
        <w:t>, Les marchés de travaux, de fournitures et de services passés par les organisations internationales</w:t>
      </w:r>
      <w:r w:rsidR="00FD3906">
        <w:rPr>
          <w:sz w:val="18"/>
          <w:szCs w:val="18"/>
          <w:lang w:val="fr-FR"/>
        </w:rPr>
        <w:t xml:space="preserve"> (</w:t>
      </w:r>
      <w:proofErr w:type="spellStart"/>
      <w:r w:rsidR="00FD3906">
        <w:rPr>
          <w:sz w:val="18"/>
          <w:szCs w:val="18"/>
          <w:lang w:val="fr-FR"/>
        </w:rPr>
        <w:t>préc</w:t>
      </w:r>
      <w:proofErr w:type="spellEnd"/>
      <w:r w:rsidR="00FD3906">
        <w:rPr>
          <w:sz w:val="18"/>
          <w:szCs w:val="18"/>
          <w:lang w:val="fr-FR"/>
        </w:rPr>
        <w:t>.)</w:t>
      </w:r>
      <w:r w:rsidRPr="0074031E">
        <w:rPr>
          <w:sz w:val="18"/>
          <w:szCs w:val="18"/>
          <w:lang w:val="fr-FR"/>
        </w:rPr>
        <w:t xml:space="preserve"> : «  Il existerait bien l'alternative consistant à prévoir, au sein même des textes réglementant l'appel d'offres, un mécanisme d'arbitrage visant à la résolution des conflits pouvant naître à l'occasion du processus d'adjudication. Par le truchement d'un consentement dissocié à l'image de celui qui désormais prévaut en matière d'arbitrage relatif aux investissements, le soumissionnaire écarté aurait ainsi la possibilité d'y recourir s'il souhaite contester en justice la manière dont s'est déroulée la sélection de l'adjudicataire du marché. Mais il ne semble pas qu'une telle possibilité ait </w:t>
      </w:r>
      <w:r w:rsidR="00FD3906">
        <w:rPr>
          <w:sz w:val="18"/>
          <w:szCs w:val="18"/>
          <w:lang w:val="fr-FR"/>
        </w:rPr>
        <w:t>pour le moment été expérimentée</w:t>
      </w:r>
      <w:r w:rsidRPr="0074031E">
        <w:rPr>
          <w:sz w:val="18"/>
          <w:szCs w:val="18"/>
          <w:lang w:val="fr-FR"/>
        </w:rPr>
        <w:t> </w:t>
      </w:r>
      <w:r w:rsidR="00FD3906">
        <w:rPr>
          <w:sz w:val="18"/>
          <w:szCs w:val="18"/>
          <w:lang w:val="fr-FR"/>
        </w:rPr>
        <w:t>.</w:t>
      </w:r>
      <w:r w:rsidRPr="0074031E">
        <w:rPr>
          <w:sz w:val="18"/>
          <w:szCs w:val="18"/>
          <w:lang w:val="fr-FR"/>
        </w:rPr>
        <w:t>»</w:t>
      </w:r>
    </w:p>
  </w:footnote>
  <w:footnote w:id="56">
    <w:p w14:paraId="13A09057"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hyperlink r:id="rId11" w:history="1">
        <w:r w:rsidRPr="0074031E">
          <w:rPr>
            <w:rStyle w:val="Hyperlink"/>
            <w:sz w:val="18"/>
            <w:szCs w:val="18"/>
          </w:rPr>
          <w:t>https://www.ungm.org/Areas/Public/Downloads/gbg_master.pdf</w:t>
        </w:r>
      </w:hyperlink>
      <w:r w:rsidRPr="0074031E">
        <w:rPr>
          <w:sz w:val="18"/>
          <w:szCs w:val="18"/>
        </w:rPr>
        <w:t>, last visited on May 15, 2014.</w:t>
      </w:r>
    </w:p>
  </w:footnote>
  <w:footnote w:id="57">
    <w:p w14:paraId="11CE215A"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hyperlink r:id="rId12" w:history="1">
        <w:r w:rsidRPr="0074031E">
          <w:rPr>
            <w:rStyle w:val="Hyperlink"/>
            <w:sz w:val="18"/>
            <w:szCs w:val="18"/>
          </w:rPr>
          <w:t>https://www.un.org/Depts/ptd/sites/www.un.org.Depts.ptd/files/files/attachment/page/pdf/pm.pdf</w:t>
        </w:r>
      </w:hyperlink>
      <w:r w:rsidRPr="0074031E">
        <w:rPr>
          <w:sz w:val="18"/>
          <w:szCs w:val="18"/>
        </w:rPr>
        <w:t>, last visited on January 2017.</w:t>
      </w:r>
    </w:p>
    <w:p w14:paraId="2BE23D52" w14:textId="77777777" w:rsidR="00B55D06" w:rsidRPr="0074031E" w:rsidRDefault="00B55D06" w:rsidP="00886F11">
      <w:pPr>
        <w:pStyle w:val="FootnoteText"/>
        <w:jc w:val="both"/>
        <w:rPr>
          <w:sz w:val="18"/>
          <w:szCs w:val="18"/>
        </w:rPr>
      </w:pPr>
    </w:p>
  </w:footnote>
  <w:footnote w:id="58">
    <w:p w14:paraId="104F6421"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WB Corporate policy 2013, 14.1.2 </w:t>
      </w:r>
    </w:p>
  </w:footnote>
  <w:footnote w:id="59">
    <w:p w14:paraId="71D87698" w14:textId="52F5BF2D" w:rsidR="004819F3" w:rsidRPr="004819F3" w:rsidRDefault="004819F3">
      <w:pPr>
        <w:pStyle w:val="FootnoteText"/>
        <w:rPr>
          <w:sz w:val="18"/>
          <w:szCs w:val="18"/>
        </w:rPr>
      </w:pPr>
      <w:r w:rsidRPr="004819F3">
        <w:rPr>
          <w:rStyle w:val="FootnoteReference"/>
          <w:sz w:val="18"/>
          <w:szCs w:val="18"/>
        </w:rPr>
        <w:footnoteRef/>
      </w:r>
      <w:r w:rsidRPr="004819F3">
        <w:rPr>
          <w:sz w:val="18"/>
          <w:szCs w:val="18"/>
        </w:rPr>
        <w:t xml:space="preserve"> </w:t>
      </w:r>
      <w:r w:rsidRPr="004819F3">
        <w:rPr>
          <w:sz w:val="18"/>
          <w:szCs w:val="18"/>
          <w:lang w:val="en-US"/>
        </w:rPr>
        <w:t xml:space="preserve">ESA Procurement rules and implementing regulation, ESA/REG/001, rev. 3, Paris, 20 December 2012, </w:t>
      </w:r>
      <w:r w:rsidRPr="004819F3">
        <w:rPr>
          <w:sz w:val="18"/>
          <w:szCs w:val="18"/>
        </w:rPr>
        <w:t xml:space="preserve">Art. 53. </w:t>
      </w:r>
    </w:p>
  </w:footnote>
  <w:footnote w:id="60">
    <w:p w14:paraId="50C0F052"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w:t>
      </w:r>
      <w:hyperlink r:id="rId13" w:history="1">
        <w:r w:rsidRPr="0074031E">
          <w:rPr>
            <w:rStyle w:val="Hyperlink"/>
            <w:sz w:val="18"/>
            <w:szCs w:val="18"/>
            <w:lang w:val="en-US"/>
          </w:rPr>
          <w:t>https://www.un.org/Depts/ptd/complaints/complaints-guideline</w:t>
        </w:r>
      </w:hyperlink>
      <w:r w:rsidRPr="0074031E">
        <w:rPr>
          <w:sz w:val="18"/>
          <w:szCs w:val="18"/>
        </w:rPr>
        <w:t>, last visited March 2017.</w:t>
      </w:r>
    </w:p>
    <w:p w14:paraId="14D06BAF" w14:textId="77777777" w:rsidR="00B55D06" w:rsidRPr="0074031E" w:rsidRDefault="00B55D06" w:rsidP="00886F11">
      <w:pPr>
        <w:pStyle w:val="FootnoteText"/>
        <w:jc w:val="both"/>
        <w:rPr>
          <w:sz w:val="18"/>
          <w:szCs w:val="18"/>
          <w:lang w:val="en-US"/>
        </w:rPr>
      </w:pPr>
    </w:p>
  </w:footnote>
  <w:footnote w:id="61">
    <w:p w14:paraId="18D43131"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The Presidential Directive can be found on the Bank’s website: http://www.afdb.org/en/aboutus/corporate-procurement</w:t>
      </w:r>
    </w:p>
  </w:footnote>
  <w:footnote w:id="62">
    <w:p w14:paraId="311ADB17"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WB Corporate policy 14.2</w:t>
      </w:r>
    </w:p>
  </w:footnote>
  <w:footnote w:id="63">
    <w:p w14:paraId="36C26D7A" w14:textId="7CFF458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hyperlink r:id="rId14" w:history="1">
        <w:r w:rsidRPr="0074031E">
          <w:rPr>
            <w:rStyle w:val="Hyperlink"/>
            <w:sz w:val="18"/>
            <w:szCs w:val="18"/>
          </w:rPr>
          <w:t>http://ec.europa.eu/budget/library/biblio/documents/regulations/financial_regulation_2017_en.pdf</w:t>
        </w:r>
      </w:hyperlink>
    </w:p>
    <w:p w14:paraId="6DCA24FB" w14:textId="6D837A30" w:rsidR="00B55D06" w:rsidRPr="0074031E" w:rsidRDefault="00B55D06" w:rsidP="00886F11">
      <w:pPr>
        <w:pStyle w:val="FootnoteText"/>
        <w:jc w:val="both"/>
        <w:rPr>
          <w:sz w:val="18"/>
          <w:szCs w:val="18"/>
          <w:lang w:val="en"/>
        </w:rPr>
      </w:pPr>
      <w:r w:rsidRPr="0074031E">
        <w:rPr>
          <w:sz w:val="18"/>
          <w:szCs w:val="18"/>
        </w:rPr>
        <w:t xml:space="preserve">Amended </w:t>
      </w:r>
      <w:r w:rsidRPr="0074031E">
        <w:rPr>
          <w:bCs/>
          <w:sz w:val="18"/>
          <w:szCs w:val="18"/>
          <w:lang w:val="en"/>
        </w:rPr>
        <w:t>Regulation (EU, Euratom ) No 966/2012 of the European Parliament and of the Council of 25 October 2012 on the financial rules applicable to the general budget of the Union and repealing Council Regulation (EC, Euratom) No 1605/2002 . It lays down the rules for the establishment and the implementation of the general budget of the European Union. In particular, it also contains rules on public procurement.</w:t>
      </w:r>
    </w:p>
  </w:footnote>
  <w:footnote w:id="64">
    <w:p w14:paraId="34B413CD" w14:textId="7259B90B" w:rsidR="00C62DB5" w:rsidRPr="00C62DB5" w:rsidRDefault="00C62DB5">
      <w:pPr>
        <w:pStyle w:val="FootnoteText"/>
        <w:rPr>
          <w:sz w:val="18"/>
          <w:szCs w:val="18"/>
        </w:rPr>
      </w:pPr>
      <w:r w:rsidRPr="00C62DB5">
        <w:rPr>
          <w:rStyle w:val="FootnoteReference"/>
          <w:sz w:val="18"/>
          <w:szCs w:val="18"/>
        </w:rPr>
        <w:footnoteRef/>
      </w:r>
      <w:r w:rsidRPr="00C62DB5">
        <w:rPr>
          <w:sz w:val="18"/>
          <w:szCs w:val="18"/>
        </w:rPr>
        <w:t xml:space="preserve"> </w:t>
      </w:r>
      <w:r w:rsidRPr="00C62DB5">
        <w:rPr>
          <w:sz w:val="18"/>
          <w:szCs w:val="18"/>
          <w:lang w:val="en-US"/>
        </w:rPr>
        <w:t>Under the former art 230 EC, pre-award decisions were challenged (United Kingdom v. Commission, Case 114/86, 1988, ECR 5289.</w:t>
      </w:r>
    </w:p>
  </w:footnote>
  <w:footnote w:id="65">
    <w:p w14:paraId="1ABFCFA6"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w:t>
      </w:r>
      <w:hyperlink r:id="rId15" w:history="1">
        <w:r w:rsidRPr="0074031E">
          <w:rPr>
            <w:rStyle w:val="Hyperlink"/>
            <w:sz w:val="18"/>
            <w:szCs w:val="18"/>
          </w:rPr>
          <w:t>http://www.ecb.europa.eu/ecb/legal/pdf/l_18420070714en00340048.pdf?42411110c7456dce56eabd535dca2177</w:t>
        </w:r>
      </w:hyperlink>
    </w:p>
    <w:p w14:paraId="4B8DDA30" w14:textId="77777777" w:rsidR="00B55D06" w:rsidRPr="0074031E" w:rsidRDefault="00B55D06" w:rsidP="00886F11">
      <w:pPr>
        <w:pStyle w:val="FootnoteText"/>
        <w:jc w:val="both"/>
        <w:rPr>
          <w:sz w:val="18"/>
          <w:szCs w:val="18"/>
        </w:rPr>
      </w:pPr>
    </w:p>
  </w:footnote>
  <w:footnote w:id="66">
    <w:p w14:paraId="1BF836D6" w14:textId="77777777" w:rsidR="00B55D06" w:rsidRPr="0074031E" w:rsidRDefault="00B55D06" w:rsidP="00886F11">
      <w:pPr>
        <w:pStyle w:val="FootnoteText"/>
        <w:jc w:val="both"/>
        <w:rPr>
          <w:sz w:val="18"/>
          <w:szCs w:val="18"/>
        </w:rPr>
      </w:pPr>
      <w:r w:rsidRPr="0074031E">
        <w:rPr>
          <w:rStyle w:val="FootnoteReference"/>
          <w:sz w:val="18"/>
          <w:szCs w:val="18"/>
        </w:rPr>
        <w:footnoteRef/>
      </w:r>
      <w:r w:rsidRPr="0074031E">
        <w:rPr>
          <w:sz w:val="18"/>
          <w:szCs w:val="18"/>
        </w:rPr>
        <w:t xml:space="preserve"> Case C-406/08 </w:t>
      </w:r>
      <w:proofErr w:type="spellStart"/>
      <w:r w:rsidRPr="0074031E">
        <w:rPr>
          <w:sz w:val="18"/>
          <w:szCs w:val="18"/>
        </w:rPr>
        <w:t>Uniplex</w:t>
      </w:r>
      <w:proofErr w:type="spellEnd"/>
      <w:r w:rsidRPr="0074031E">
        <w:rPr>
          <w:sz w:val="18"/>
          <w:szCs w:val="18"/>
        </w:rPr>
        <w:t xml:space="preserve"> (UK) v. NHS Business Services Authority (2010) ECR 1-0000 and C-456/08 Commission v. Ireland (2010) ECR 1-0000.</w:t>
      </w:r>
    </w:p>
  </w:footnote>
  <w:footnote w:id="67">
    <w:p w14:paraId="0BC7F48D" w14:textId="77777777" w:rsidR="00B55D06" w:rsidRPr="0074031E" w:rsidRDefault="00B55D06"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w:t>
      </w:r>
      <w:r w:rsidRPr="0074031E">
        <w:rPr>
          <w:sz w:val="18"/>
          <w:szCs w:val="18"/>
          <w:lang w:val="en-US"/>
        </w:rPr>
        <w:t xml:space="preserve">Practical Guide to Contract Procedures for EC External Actions PRAG 2016: 2.4.15. Legal remedies. </w:t>
      </w:r>
    </w:p>
    <w:p w14:paraId="10FD8CEF" w14:textId="77777777" w:rsidR="00B55D06" w:rsidRPr="0074031E" w:rsidRDefault="00B55D06" w:rsidP="00886F11">
      <w:pPr>
        <w:pStyle w:val="FootnoteText"/>
        <w:jc w:val="both"/>
        <w:rPr>
          <w:sz w:val="18"/>
          <w:szCs w:val="18"/>
          <w:lang w:val="en-US"/>
        </w:rPr>
      </w:pPr>
    </w:p>
  </w:footnote>
  <w:footnote w:id="68">
    <w:p w14:paraId="376B4D45" w14:textId="4E771109" w:rsidR="00670B40" w:rsidRPr="0074031E" w:rsidRDefault="00670B40"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 Website http://www.ombudsman.europa.eu/en/home.faces.</w:t>
      </w:r>
    </w:p>
  </w:footnote>
  <w:footnote w:id="69">
    <w:p w14:paraId="799F9D07" w14:textId="77777777" w:rsidR="003451AC" w:rsidRPr="0074031E" w:rsidRDefault="003451AC" w:rsidP="003451AC">
      <w:pPr>
        <w:pStyle w:val="FootnoteText"/>
        <w:jc w:val="both"/>
        <w:rPr>
          <w:sz w:val="18"/>
          <w:szCs w:val="18"/>
          <w:lang w:val="en-US"/>
        </w:rPr>
      </w:pPr>
      <w:r w:rsidRPr="0074031E">
        <w:rPr>
          <w:rStyle w:val="FootnoteReference"/>
          <w:sz w:val="18"/>
          <w:szCs w:val="18"/>
        </w:rPr>
        <w:footnoteRef/>
      </w:r>
      <w:r w:rsidRPr="0074031E">
        <w:rPr>
          <w:sz w:val="18"/>
          <w:szCs w:val="18"/>
        </w:rPr>
        <w:t xml:space="preserve"> Without prejudice to other remedies and, in particular, without altering the deadlines laid down for the appeals set out in paragraphs 2.4.15.3, any citizen of the European Union or any natural or legal person residing or having its registered office in a Member State has the right to complain to the Ombudsman for any instance of maladministration by the European Union institutions (Article 228 of the Treaty on the Functioning of the European Union (TFEU)). More information may be found on the website http://www.ombudsman.europa.eu/en/home.faces .</w:t>
      </w:r>
    </w:p>
  </w:footnote>
  <w:footnote w:id="70">
    <w:p w14:paraId="6AD57D54" w14:textId="77777777" w:rsidR="00670B40" w:rsidRPr="0074031E" w:rsidRDefault="00670B40" w:rsidP="00886F11">
      <w:pPr>
        <w:pStyle w:val="FootnoteText"/>
        <w:jc w:val="both"/>
        <w:rPr>
          <w:sz w:val="18"/>
          <w:szCs w:val="18"/>
          <w:lang w:val="en-US"/>
        </w:rPr>
      </w:pPr>
      <w:r w:rsidRPr="0074031E">
        <w:rPr>
          <w:rStyle w:val="FootnoteReference"/>
          <w:sz w:val="18"/>
          <w:szCs w:val="18"/>
        </w:rPr>
        <w:footnoteRef/>
      </w:r>
      <w:r w:rsidRPr="0074031E">
        <w:rPr>
          <w:sz w:val="18"/>
          <w:szCs w:val="18"/>
        </w:rPr>
        <w:t xml:space="preserve"> Version of June 2015, </w:t>
      </w:r>
      <w:r w:rsidRPr="0074031E">
        <w:rPr>
          <w:sz w:val="18"/>
          <w:szCs w:val="18"/>
          <w:lang w:val="en-US"/>
        </w:rPr>
        <w:t xml:space="preserve">available at </w:t>
      </w:r>
      <w:hyperlink r:id="rId16" w:history="1">
        <w:r w:rsidRPr="0074031E">
          <w:rPr>
            <w:rStyle w:val="Hyperlink"/>
            <w:sz w:val="18"/>
            <w:szCs w:val="18"/>
            <w:lang w:val="en-US"/>
          </w:rPr>
          <w:t>https://eumits.eumetsat.int/</w:t>
        </w:r>
      </w:hyperlink>
    </w:p>
    <w:p w14:paraId="1B35DF0D" w14:textId="77777777" w:rsidR="00670B40" w:rsidRPr="0074031E" w:rsidRDefault="00670B40" w:rsidP="00886F11">
      <w:pPr>
        <w:pStyle w:val="FootnoteText"/>
        <w:jc w:val="both"/>
        <w:rPr>
          <w:sz w:val="18"/>
          <w:szCs w:val="18"/>
          <w:lang w:val="en-US"/>
        </w:rPr>
      </w:pPr>
    </w:p>
    <w:p w14:paraId="7CBABFF9" w14:textId="77777777" w:rsidR="00670B40" w:rsidRPr="0074031E" w:rsidRDefault="00670B40" w:rsidP="00886F11">
      <w:pPr>
        <w:pStyle w:val="FootnoteText"/>
        <w:jc w:val="both"/>
        <w:rPr>
          <w:sz w:val="18"/>
          <w:szCs w:val="18"/>
          <w:lang w:val="en-US"/>
        </w:rPr>
      </w:pPr>
    </w:p>
  </w:footnote>
  <w:footnote w:id="71">
    <w:p w14:paraId="2363B3E3" w14:textId="77777777" w:rsidR="00670B40" w:rsidRPr="0074031E" w:rsidRDefault="00670B40" w:rsidP="00886F11">
      <w:pPr>
        <w:pStyle w:val="FootnoteText"/>
        <w:jc w:val="both"/>
        <w:rPr>
          <w:sz w:val="18"/>
          <w:szCs w:val="18"/>
          <w:lang w:val="en-US"/>
        </w:rPr>
      </w:pPr>
      <w:r w:rsidRPr="0074031E">
        <w:rPr>
          <w:rStyle w:val="FootnoteReference"/>
          <w:sz w:val="18"/>
          <w:szCs w:val="18"/>
        </w:rPr>
        <w:footnoteRef/>
      </w:r>
      <w:r w:rsidRPr="0074031E">
        <w:rPr>
          <w:sz w:val="18"/>
          <w:szCs w:val="18"/>
          <w:lang w:val="en-US"/>
        </w:rPr>
        <w:t xml:space="preserve"> The text of the Financial Regulations and Rules is taken from the Official Records of the Assembly of States Parties to the Rome Statute of the International Criminal Court, First Session, New York, 3-10 September 2002 (United Nations publication, No. F.03.V.2 and corrective), second part. D.  </w:t>
      </w:r>
    </w:p>
  </w:footnote>
  <w:footnote w:id="72">
    <w:p w14:paraId="42F8CBD4" w14:textId="77777777" w:rsidR="00670B40" w:rsidRPr="0074031E" w:rsidRDefault="00670B40" w:rsidP="00886F11">
      <w:pPr>
        <w:pStyle w:val="FootnoteText"/>
        <w:jc w:val="both"/>
        <w:rPr>
          <w:sz w:val="18"/>
          <w:szCs w:val="18"/>
        </w:rPr>
      </w:pPr>
      <w:r w:rsidRPr="0074031E">
        <w:rPr>
          <w:rStyle w:val="FootnoteReference"/>
          <w:sz w:val="18"/>
          <w:szCs w:val="18"/>
        </w:rPr>
        <w:footnoteRef/>
      </w:r>
      <w:r w:rsidRPr="0074031E">
        <w:rPr>
          <w:sz w:val="18"/>
          <w:szCs w:val="18"/>
        </w:rPr>
        <w:t xml:space="preserve"> As for example the regular increase of the ICC budget has raised concerns (153 Million Euros in 2016), including the huge portion allocated to the Registry (81 Million). N. Jakobsson: “The 2016 ICC Budget- More Money, More Problems?” </w:t>
      </w:r>
      <w:hyperlink r:id="rId17" w:history="1">
        <w:r w:rsidRPr="0074031E">
          <w:rPr>
            <w:rStyle w:val="Hyperlink"/>
            <w:sz w:val="18"/>
            <w:szCs w:val="18"/>
          </w:rPr>
          <w:t>https://justicehub.org/article/2016-icc-budget-more-money-more-problems</w:t>
        </w:r>
      </w:hyperlink>
      <w:r w:rsidRPr="0074031E">
        <w:rPr>
          <w:sz w:val="18"/>
          <w:szCs w:val="18"/>
        </w:rPr>
        <w:t>. See International Criminal Court ICC-ASP/15/11- Report on Budget Performance of the International Criminal Court as at 30 June 2016.</w:t>
      </w:r>
    </w:p>
  </w:footnote>
  <w:footnote w:id="73">
    <w:p w14:paraId="5A4E2E35" w14:textId="66C2EE92" w:rsidR="00865795" w:rsidRPr="00865795" w:rsidRDefault="00865795" w:rsidP="00865795">
      <w:pPr>
        <w:pStyle w:val="FootnoteText"/>
        <w:jc w:val="both"/>
      </w:pPr>
      <w:r>
        <w:rPr>
          <w:rStyle w:val="FootnoteReference"/>
        </w:rPr>
        <w:footnoteRef/>
      </w:r>
      <w:r w:rsidRPr="00865795">
        <w:rPr>
          <w:lang w:val="en-US"/>
        </w:rPr>
        <w:t>At the UN, the Vendor review committee (VRC</w:t>
      </w:r>
      <w:r>
        <w:rPr>
          <w:lang w:val="en-US"/>
        </w:rPr>
        <w:t xml:space="preserve"> - </w:t>
      </w:r>
      <w:r w:rsidRPr="00865795">
        <w:rPr>
          <w:sz w:val="18"/>
          <w:szCs w:val="18"/>
          <w:lang w:val="en-US"/>
        </w:rPr>
        <w:t>Articles (7.12- 13-14) https://www.un.org/Depts/ptd/sites/www.un.org.Depts.ptd/files/files/attachment/page/pdf/pm.pdf</w:t>
      </w:r>
      <w:r w:rsidRPr="00865795">
        <w:rPr>
          <w:lang w:val="en-US"/>
        </w:rPr>
        <w:t>) shall hear complaints from requisitioners and/or other UN staff against vendors who have been suspended or removed from the Register of Vendors. Some of them are alleged to have failed to perform in accordance with the terms and conditions of contracts awarded, and were denied the right to register. The VRC may rely on other UN advices, from the Office of Legal Affairs or the Ethics Office in case of debarment. Exceptionally, the Director UN/PD may refer a case to a Special Vendor Review Committee with members external to UN/PD, if such case is related to proscribed practices (including but not limited to: corruption, fraud, coercion, collusion, obstruction, or any other unethical practice) that have occurred under a UN procurement action. The VRC only renders advices submitted to the ASG/OCSS which shall decide whether to suspend or remove a Vendor from the Register and shall notify the Vendor who is entitled to a maximum period of 30 days following receipt thereof to re</w:t>
      </w:r>
      <w:r>
        <w:rPr>
          <w:lang w:val="en-US"/>
        </w:rPr>
        <w:t>quest review of a UN decision.</w:t>
      </w:r>
    </w:p>
  </w:footnote>
  <w:footnote w:id="74">
    <w:p w14:paraId="774C919B" w14:textId="697F4B61" w:rsidR="00E461C2" w:rsidRPr="00E461C2" w:rsidRDefault="00E461C2" w:rsidP="00E461C2">
      <w:pPr>
        <w:pStyle w:val="FootnoteText"/>
        <w:rPr>
          <w:sz w:val="18"/>
          <w:szCs w:val="18"/>
          <w:lang w:val="en-US"/>
        </w:rPr>
      </w:pPr>
      <w:r w:rsidRPr="00E461C2">
        <w:rPr>
          <w:rStyle w:val="FootnoteReference"/>
          <w:sz w:val="18"/>
          <w:szCs w:val="18"/>
        </w:rPr>
        <w:footnoteRef/>
      </w:r>
      <w:r w:rsidRPr="00E461C2">
        <w:rPr>
          <w:sz w:val="18"/>
          <w:szCs w:val="18"/>
          <w:lang w:val="en-US"/>
        </w:rPr>
        <w:t xml:space="preserve"> See G. R</w:t>
      </w:r>
      <w:r w:rsidRPr="00E461C2">
        <w:rPr>
          <w:sz w:val="14"/>
          <w:szCs w:val="18"/>
          <w:lang w:val="en-US"/>
        </w:rPr>
        <w:t>ACCA</w:t>
      </w:r>
      <w:r w:rsidRPr="00E461C2">
        <w:rPr>
          <w:sz w:val="18"/>
          <w:szCs w:val="18"/>
          <w:lang w:val="en-US"/>
        </w:rPr>
        <w:t xml:space="preserve"> and Ch. Y</w:t>
      </w:r>
      <w:r w:rsidRPr="00E461C2">
        <w:rPr>
          <w:sz w:val="14"/>
          <w:szCs w:val="18"/>
          <w:lang w:val="en-US"/>
        </w:rPr>
        <w:t>UKINS</w:t>
      </w:r>
      <w:r w:rsidRPr="00E461C2">
        <w:rPr>
          <w:sz w:val="18"/>
          <w:szCs w:val="18"/>
          <w:lang w:val="en-US"/>
        </w:rPr>
        <w:t xml:space="preserve"> (eds.) </w:t>
      </w:r>
      <w:r w:rsidRPr="00E461C2">
        <w:rPr>
          <w:i/>
          <w:sz w:val="18"/>
          <w:szCs w:val="18"/>
        </w:rPr>
        <w:t>Integrity and Efficiency in Sustainable Public Contracts. Balancing Corruption Concerns in Public Procurement Internationally,</w:t>
      </w:r>
      <w:r w:rsidRPr="00E461C2">
        <w:rPr>
          <w:sz w:val="18"/>
          <w:szCs w:val="18"/>
        </w:rPr>
        <w:t xml:space="preserve"> </w:t>
      </w:r>
      <w:proofErr w:type="spellStart"/>
      <w:r w:rsidRPr="00E461C2">
        <w:rPr>
          <w:sz w:val="18"/>
          <w:szCs w:val="18"/>
        </w:rPr>
        <w:t>Bruylant</w:t>
      </w:r>
      <w:proofErr w:type="spellEnd"/>
      <w:r w:rsidRPr="00E461C2">
        <w:rPr>
          <w:sz w:val="18"/>
          <w:szCs w:val="18"/>
        </w:rPr>
        <w:t>, (2014)</w:t>
      </w:r>
      <w:r w:rsidRPr="00E461C2">
        <w:rPr>
          <w:sz w:val="18"/>
          <w:szCs w:val="18"/>
          <w:lang w:val="en-US"/>
        </w:rPr>
        <w:t xml:space="preserve"> ; J.-B. A</w:t>
      </w:r>
      <w:r w:rsidRPr="00E461C2">
        <w:rPr>
          <w:sz w:val="14"/>
          <w:szCs w:val="18"/>
          <w:lang w:val="en-US"/>
        </w:rPr>
        <w:t>UBY</w:t>
      </w:r>
      <w:r w:rsidRPr="00E461C2">
        <w:rPr>
          <w:sz w:val="18"/>
          <w:szCs w:val="18"/>
          <w:lang w:val="en-US"/>
        </w:rPr>
        <w:t>, E. B</w:t>
      </w:r>
      <w:r w:rsidRPr="00E461C2">
        <w:rPr>
          <w:sz w:val="14"/>
          <w:szCs w:val="18"/>
          <w:lang w:val="en-US"/>
        </w:rPr>
        <w:t>REEN</w:t>
      </w:r>
      <w:r w:rsidRPr="00E461C2">
        <w:rPr>
          <w:sz w:val="18"/>
          <w:szCs w:val="18"/>
          <w:lang w:val="en-US"/>
        </w:rPr>
        <w:t xml:space="preserve"> and Th. P</w:t>
      </w:r>
      <w:r w:rsidRPr="00E461C2">
        <w:rPr>
          <w:sz w:val="14"/>
          <w:szCs w:val="18"/>
          <w:lang w:val="en-US"/>
        </w:rPr>
        <w:t>ERROUD</w:t>
      </w:r>
      <w:r w:rsidRPr="00E461C2">
        <w:rPr>
          <w:sz w:val="18"/>
          <w:szCs w:val="18"/>
          <w:lang w:val="en-US"/>
        </w:rPr>
        <w:t xml:space="preserve"> (eds.), </w:t>
      </w:r>
      <w:r w:rsidRPr="00E461C2">
        <w:rPr>
          <w:i/>
          <w:sz w:val="18"/>
          <w:szCs w:val="18"/>
          <w:lang w:val="en-US"/>
        </w:rPr>
        <w:t>Corruption and Conflicts Of Interest. A Comparative Law Approach</w:t>
      </w:r>
      <w:r w:rsidRPr="00E461C2">
        <w:rPr>
          <w:sz w:val="18"/>
          <w:szCs w:val="18"/>
          <w:lang w:val="en-US"/>
        </w:rPr>
        <w:t>, Edward Elgar Publishing,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5E9E"/>
    <w:multiLevelType w:val="hybridMultilevel"/>
    <w:tmpl w:val="EA485592"/>
    <w:lvl w:ilvl="0" w:tplc="A934A6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F1B25"/>
    <w:multiLevelType w:val="multilevel"/>
    <w:tmpl w:val="1B88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5D32"/>
    <w:multiLevelType w:val="hybridMultilevel"/>
    <w:tmpl w:val="3D7890F2"/>
    <w:lvl w:ilvl="0" w:tplc="025A9F5A">
      <w:start w:val="1"/>
      <w:numFmt w:val="bullet"/>
      <w:lvlText w:val=""/>
      <w:lvlJc w:val="left"/>
      <w:pPr>
        <w:tabs>
          <w:tab w:val="num" w:pos="720"/>
        </w:tabs>
        <w:ind w:left="720" w:hanging="360"/>
      </w:pPr>
      <w:rPr>
        <w:rFonts w:ascii="Wingdings" w:hAnsi="Wingdings" w:hint="default"/>
      </w:rPr>
    </w:lvl>
    <w:lvl w:ilvl="1" w:tplc="C822540A" w:tentative="1">
      <w:start w:val="1"/>
      <w:numFmt w:val="bullet"/>
      <w:lvlText w:val=""/>
      <w:lvlJc w:val="left"/>
      <w:pPr>
        <w:tabs>
          <w:tab w:val="num" w:pos="1440"/>
        </w:tabs>
        <w:ind w:left="1440" w:hanging="360"/>
      </w:pPr>
      <w:rPr>
        <w:rFonts w:ascii="Wingdings" w:hAnsi="Wingdings" w:hint="default"/>
      </w:rPr>
    </w:lvl>
    <w:lvl w:ilvl="2" w:tplc="762A89FA" w:tentative="1">
      <w:start w:val="1"/>
      <w:numFmt w:val="bullet"/>
      <w:lvlText w:val=""/>
      <w:lvlJc w:val="left"/>
      <w:pPr>
        <w:tabs>
          <w:tab w:val="num" w:pos="2160"/>
        </w:tabs>
        <w:ind w:left="2160" w:hanging="360"/>
      </w:pPr>
      <w:rPr>
        <w:rFonts w:ascii="Wingdings" w:hAnsi="Wingdings" w:hint="default"/>
      </w:rPr>
    </w:lvl>
    <w:lvl w:ilvl="3" w:tplc="A808B188" w:tentative="1">
      <w:start w:val="1"/>
      <w:numFmt w:val="bullet"/>
      <w:lvlText w:val=""/>
      <w:lvlJc w:val="left"/>
      <w:pPr>
        <w:tabs>
          <w:tab w:val="num" w:pos="2880"/>
        </w:tabs>
        <w:ind w:left="2880" w:hanging="360"/>
      </w:pPr>
      <w:rPr>
        <w:rFonts w:ascii="Wingdings" w:hAnsi="Wingdings" w:hint="default"/>
      </w:rPr>
    </w:lvl>
    <w:lvl w:ilvl="4" w:tplc="47AE5854" w:tentative="1">
      <w:start w:val="1"/>
      <w:numFmt w:val="bullet"/>
      <w:lvlText w:val=""/>
      <w:lvlJc w:val="left"/>
      <w:pPr>
        <w:tabs>
          <w:tab w:val="num" w:pos="3600"/>
        </w:tabs>
        <w:ind w:left="3600" w:hanging="360"/>
      </w:pPr>
      <w:rPr>
        <w:rFonts w:ascii="Wingdings" w:hAnsi="Wingdings" w:hint="default"/>
      </w:rPr>
    </w:lvl>
    <w:lvl w:ilvl="5" w:tplc="E514E270" w:tentative="1">
      <w:start w:val="1"/>
      <w:numFmt w:val="bullet"/>
      <w:lvlText w:val=""/>
      <w:lvlJc w:val="left"/>
      <w:pPr>
        <w:tabs>
          <w:tab w:val="num" w:pos="4320"/>
        </w:tabs>
        <w:ind w:left="4320" w:hanging="360"/>
      </w:pPr>
      <w:rPr>
        <w:rFonts w:ascii="Wingdings" w:hAnsi="Wingdings" w:hint="default"/>
      </w:rPr>
    </w:lvl>
    <w:lvl w:ilvl="6" w:tplc="73CA91D6" w:tentative="1">
      <w:start w:val="1"/>
      <w:numFmt w:val="bullet"/>
      <w:lvlText w:val=""/>
      <w:lvlJc w:val="left"/>
      <w:pPr>
        <w:tabs>
          <w:tab w:val="num" w:pos="5040"/>
        </w:tabs>
        <w:ind w:left="5040" w:hanging="360"/>
      </w:pPr>
      <w:rPr>
        <w:rFonts w:ascii="Wingdings" w:hAnsi="Wingdings" w:hint="default"/>
      </w:rPr>
    </w:lvl>
    <w:lvl w:ilvl="7" w:tplc="3C8A01FA" w:tentative="1">
      <w:start w:val="1"/>
      <w:numFmt w:val="bullet"/>
      <w:lvlText w:val=""/>
      <w:lvlJc w:val="left"/>
      <w:pPr>
        <w:tabs>
          <w:tab w:val="num" w:pos="5760"/>
        </w:tabs>
        <w:ind w:left="5760" w:hanging="360"/>
      </w:pPr>
      <w:rPr>
        <w:rFonts w:ascii="Wingdings" w:hAnsi="Wingdings" w:hint="default"/>
      </w:rPr>
    </w:lvl>
    <w:lvl w:ilvl="8" w:tplc="52086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B5BB5"/>
    <w:multiLevelType w:val="hybridMultilevel"/>
    <w:tmpl w:val="2C1A5AAA"/>
    <w:lvl w:ilvl="0" w:tplc="0332DF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C53EA"/>
    <w:multiLevelType w:val="multilevel"/>
    <w:tmpl w:val="1BF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C5746"/>
    <w:multiLevelType w:val="hybridMultilevel"/>
    <w:tmpl w:val="AB04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12416"/>
    <w:multiLevelType w:val="hybridMultilevel"/>
    <w:tmpl w:val="9A24E6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1826F5"/>
    <w:multiLevelType w:val="multilevel"/>
    <w:tmpl w:val="586C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510AEE"/>
    <w:multiLevelType w:val="hybridMultilevel"/>
    <w:tmpl w:val="51CA38F4"/>
    <w:lvl w:ilvl="0" w:tplc="296EA5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31747F"/>
    <w:multiLevelType w:val="hybridMultilevel"/>
    <w:tmpl w:val="83F869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2800CE"/>
    <w:multiLevelType w:val="multilevel"/>
    <w:tmpl w:val="080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9"/>
  </w:num>
  <w:num w:numId="5">
    <w:abstractNumId w:val="8"/>
  </w:num>
  <w:num w:numId="6">
    <w:abstractNumId w:val="7"/>
  </w:num>
  <w:num w:numId="7">
    <w:abstractNumId w:val="10"/>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F0"/>
    <w:rsid w:val="00001484"/>
    <w:rsid w:val="000024B7"/>
    <w:rsid w:val="0000383F"/>
    <w:rsid w:val="00004ACD"/>
    <w:rsid w:val="00005A76"/>
    <w:rsid w:val="000060DA"/>
    <w:rsid w:val="0000648C"/>
    <w:rsid w:val="00006688"/>
    <w:rsid w:val="000073CE"/>
    <w:rsid w:val="000101CC"/>
    <w:rsid w:val="0001091D"/>
    <w:rsid w:val="00012806"/>
    <w:rsid w:val="00012A7E"/>
    <w:rsid w:val="00012F6C"/>
    <w:rsid w:val="00013098"/>
    <w:rsid w:val="00014279"/>
    <w:rsid w:val="0001440A"/>
    <w:rsid w:val="000165B8"/>
    <w:rsid w:val="00023D32"/>
    <w:rsid w:val="00023E66"/>
    <w:rsid w:val="00023F48"/>
    <w:rsid w:val="000252D8"/>
    <w:rsid w:val="0002572C"/>
    <w:rsid w:val="000257F6"/>
    <w:rsid w:val="00025DB8"/>
    <w:rsid w:val="00026971"/>
    <w:rsid w:val="00027E6F"/>
    <w:rsid w:val="00032BC0"/>
    <w:rsid w:val="000335D6"/>
    <w:rsid w:val="00033B25"/>
    <w:rsid w:val="000341D2"/>
    <w:rsid w:val="0003584C"/>
    <w:rsid w:val="00035C2F"/>
    <w:rsid w:val="00036171"/>
    <w:rsid w:val="00036439"/>
    <w:rsid w:val="00044954"/>
    <w:rsid w:val="000450CC"/>
    <w:rsid w:val="00046C04"/>
    <w:rsid w:val="000473BE"/>
    <w:rsid w:val="00047E64"/>
    <w:rsid w:val="00051192"/>
    <w:rsid w:val="0005171E"/>
    <w:rsid w:val="0005227E"/>
    <w:rsid w:val="00052A83"/>
    <w:rsid w:val="00054A16"/>
    <w:rsid w:val="00055507"/>
    <w:rsid w:val="000556DC"/>
    <w:rsid w:val="00056C7D"/>
    <w:rsid w:val="000575BF"/>
    <w:rsid w:val="0005791A"/>
    <w:rsid w:val="000605B3"/>
    <w:rsid w:val="000617DB"/>
    <w:rsid w:val="000620EE"/>
    <w:rsid w:val="000633BC"/>
    <w:rsid w:val="000636F1"/>
    <w:rsid w:val="0006409F"/>
    <w:rsid w:val="00064318"/>
    <w:rsid w:val="0006508E"/>
    <w:rsid w:val="00065FA5"/>
    <w:rsid w:val="0006775A"/>
    <w:rsid w:val="00067B04"/>
    <w:rsid w:val="0007058D"/>
    <w:rsid w:val="000709E4"/>
    <w:rsid w:val="000711E3"/>
    <w:rsid w:val="00071226"/>
    <w:rsid w:val="0007195F"/>
    <w:rsid w:val="00071AE4"/>
    <w:rsid w:val="0007205C"/>
    <w:rsid w:val="0007328F"/>
    <w:rsid w:val="0007396B"/>
    <w:rsid w:val="00075318"/>
    <w:rsid w:val="0007584F"/>
    <w:rsid w:val="00075B0B"/>
    <w:rsid w:val="00076EB8"/>
    <w:rsid w:val="000808CC"/>
    <w:rsid w:val="00081409"/>
    <w:rsid w:val="0008394A"/>
    <w:rsid w:val="000844A1"/>
    <w:rsid w:val="00084540"/>
    <w:rsid w:val="00085C78"/>
    <w:rsid w:val="00085C80"/>
    <w:rsid w:val="00085E92"/>
    <w:rsid w:val="00090BB1"/>
    <w:rsid w:val="00092BA3"/>
    <w:rsid w:val="000930CE"/>
    <w:rsid w:val="0009402C"/>
    <w:rsid w:val="000959E5"/>
    <w:rsid w:val="000A0DCC"/>
    <w:rsid w:val="000A0FA0"/>
    <w:rsid w:val="000A1370"/>
    <w:rsid w:val="000A2869"/>
    <w:rsid w:val="000A2D46"/>
    <w:rsid w:val="000A3CB1"/>
    <w:rsid w:val="000A6015"/>
    <w:rsid w:val="000A7D41"/>
    <w:rsid w:val="000B1439"/>
    <w:rsid w:val="000B15D9"/>
    <w:rsid w:val="000B2229"/>
    <w:rsid w:val="000B28C8"/>
    <w:rsid w:val="000B2AC4"/>
    <w:rsid w:val="000B32C8"/>
    <w:rsid w:val="000B4D42"/>
    <w:rsid w:val="000B58CE"/>
    <w:rsid w:val="000B6548"/>
    <w:rsid w:val="000B6B01"/>
    <w:rsid w:val="000B6D86"/>
    <w:rsid w:val="000B7CD7"/>
    <w:rsid w:val="000C03FC"/>
    <w:rsid w:val="000C196F"/>
    <w:rsid w:val="000C1D52"/>
    <w:rsid w:val="000C2A49"/>
    <w:rsid w:val="000C2F1A"/>
    <w:rsid w:val="000C3BCF"/>
    <w:rsid w:val="000C3D0E"/>
    <w:rsid w:val="000C4214"/>
    <w:rsid w:val="000C5A0E"/>
    <w:rsid w:val="000C5D19"/>
    <w:rsid w:val="000D114C"/>
    <w:rsid w:val="000D13B1"/>
    <w:rsid w:val="000D3C03"/>
    <w:rsid w:val="000D3F5E"/>
    <w:rsid w:val="000D54CA"/>
    <w:rsid w:val="000D638B"/>
    <w:rsid w:val="000D77D9"/>
    <w:rsid w:val="000E1498"/>
    <w:rsid w:val="000E3CE9"/>
    <w:rsid w:val="000E47F7"/>
    <w:rsid w:val="000E4FCA"/>
    <w:rsid w:val="000E5B63"/>
    <w:rsid w:val="000F0824"/>
    <w:rsid w:val="000F2830"/>
    <w:rsid w:val="000F41E3"/>
    <w:rsid w:val="000F4A4E"/>
    <w:rsid w:val="000F7059"/>
    <w:rsid w:val="000F7C6D"/>
    <w:rsid w:val="0010051E"/>
    <w:rsid w:val="00101E52"/>
    <w:rsid w:val="001027D9"/>
    <w:rsid w:val="001032CD"/>
    <w:rsid w:val="00103F70"/>
    <w:rsid w:val="0010495A"/>
    <w:rsid w:val="001067D9"/>
    <w:rsid w:val="001071A4"/>
    <w:rsid w:val="001105D1"/>
    <w:rsid w:val="001113DD"/>
    <w:rsid w:val="00111412"/>
    <w:rsid w:val="00111445"/>
    <w:rsid w:val="00112DF8"/>
    <w:rsid w:val="001142C3"/>
    <w:rsid w:val="00114C9F"/>
    <w:rsid w:val="001177EC"/>
    <w:rsid w:val="00120B41"/>
    <w:rsid w:val="00121455"/>
    <w:rsid w:val="0012191D"/>
    <w:rsid w:val="00121D94"/>
    <w:rsid w:val="00121F81"/>
    <w:rsid w:val="00122650"/>
    <w:rsid w:val="0012320D"/>
    <w:rsid w:val="00124448"/>
    <w:rsid w:val="00125110"/>
    <w:rsid w:val="00125186"/>
    <w:rsid w:val="00127116"/>
    <w:rsid w:val="00127E68"/>
    <w:rsid w:val="00130683"/>
    <w:rsid w:val="00131410"/>
    <w:rsid w:val="00132100"/>
    <w:rsid w:val="001327A5"/>
    <w:rsid w:val="00132ABC"/>
    <w:rsid w:val="00133224"/>
    <w:rsid w:val="00133892"/>
    <w:rsid w:val="001341D3"/>
    <w:rsid w:val="00135734"/>
    <w:rsid w:val="00136820"/>
    <w:rsid w:val="00136BAF"/>
    <w:rsid w:val="0014099E"/>
    <w:rsid w:val="00141928"/>
    <w:rsid w:val="001419E7"/>
    <w:rsid w:val="00142DA1"/>
    <w:rsid w:val="00142F6F"/>
    <w:rsid w:val="00143E73"/>
    <w:rsid w:val="0014565F"/>
    <w:rsid w:val="001459CD"/>
    <w:rsid w:val="0014611B"/>
    <w:rsid w:val="00146730"/>
    <w:rsid w:val="00146FF3"/>
    <w:rsid w:val="00147059"/>
    <w:rsid w:val="00147464"/>
    <w:rsid w:val="0015031F"/>
    <w:rsid w:val="001509B6"/>
    <w:rsid w:val="0015121D"/>
    <w:rsid w:val="00151EF6"/>
    <w:rsid w:val="00152029"/>
    <w:rsid w:val="00152DC6"/>
    <w:rsid w:val="001533E2"/>
    <w:rsid w:val="00153CDC"/>
    <w:rsid w:val="00153F3F"/>
    <w:rsid w:val="001543EE"/>
    <w:rsid w:val="00157795"/>
    <w:rsid w:val="00161C44"/>
    <w:rsid w:val="00162B60"/>
    <w:rsid w:val="00163898"/>
    <w:rsid w:val="00163A95"/>
    <w:rsid w:val="00164A16"/>
    <w:rsid w:val="00164C4F"/>
    <w:rsid w:val="00165AD3"/>
    <w:rsid w:val="0016684B"/>
    <w:rsid w:val="00166BF4"/>
    <w:rsid w:val="00171179"/>
    <w:rsid w:val="00172168"/>
    <w:rsid w:val="0017259A"/>
    <w:rsid w:val="00173E52"/>
    <w:rsid w:val="00174295"/>
    <w:rsid w:val="001744F2"/>
    <w:rsid w:val="00174FD1"/>
    <w:rsid w:val="00175974"/>
    <w:rsid w:val="00175A30"/>
    <w:rsid w:val="0017782D"/>
    <w:rsid w:val="001779C6"/>
    <w:rsid w:val="00180772"/>
    <w:rsid w:val="001808BD"/>
    <w:rsid w:val="00180906"/>
    <w:rsid w:val="00180A56"/>
    <w:rsid w:val="0018105B"/>
    <w:rsid w:val="001814DA"/>
    <w:rsid w:val="0018154B"/>
    <w:rsid w:val="001815B8"/>
    <w:rsid w:val="001817C4"/>
    <w:rsid w:val="0018266E"/>
    <w:rsid w:val="00182ABF"/>
    <w:rsid w:val="00183A4C"/>
    <w:rsid w:val="001847FF"/>
    <w:rsid w:val="001859D2"/>
    <w:rsid w:val="00186795"/>
    <w:rsid w:val="001868A5"/>
    <w:rsid w:val="00186E70"/>
    <w:rsid w:val="001870AD"/>
    <w:rsid w:val="001904CB"/>
    <w:rsid w:val="00192EA8"/>
    <w:rsid w:val="001931B2"/>
    <w:rsid w:val="0019365F"/>
    <w:rsid w:val="00193DC0"/>
    <w:rsid w:val="00195504"/>
    <w:rsid w:val="00196CE2"/>
    <w:rsid w:val="001A09D6"/>
    <w:rsid w:val="001A0FCA"/>
    <w:rsid w:val="001A2BC3"/>
    <w:rsid w:val="001A3A7A"/>
    <w:rsid w:val="001A4618"/>
    <w:rsid w:val="001A50AA"/>
    <w:rsid w:val="001A6E36"/>
    <w:rsid w:val="001A6FF6"/>
    <w:rsid w:val="001A7510"/>
    <w:rsid w:val="001A7B18"/>
    <w:rsid w:val="001B0C13"/>
    <w:rsid w:val="001B1176"/>
    <w:rsid w:val="001B167A"/>
    <w:rsid w:val="001B1F3D"/>
    <w:rsid w:val="001B3579"/>
    <w:rsid w:val="001B3796"/>
    <w:rsid w:val="001B510D"/>
    <w:rsid w:val="001B5190"/>
    <w:rsid w:val="001B68C2"/>
    <w:rsid w:val="001B6F72"/>
    <w:rsid w:val="001B7424"/>
    <w:rsid w:val="001B7F3C"/>
    <w:rsid w:val="001C01F4"/>
    <w:rsid w:val="001C072E"/>
    <w:rsid w:val="001C0E2B"/>
    <w:rsid w:val="001C159D"/>
    <w:rsid w:val="001C242B"/>
    <w:rsid w:val="001C40C1"/>
    <w:rsid w:val="001C560D"/>
    <w:rsid w:val="001C6664"/>
    <w:rsid w:val="001C6E29"/>
    <w:rsid w:val="001C7692"/>
    <w:rsid w:val="001D0142"/>
    <w:rsid w:val="001D1640"/>
    <w:rsid w:val="001D1813"/>
    <w:rsid w:val="001D3069"/>
    <w:rsid w:val="001D31DA"/>
    <w:rsid w:val="001D3269"/>
    <w:rsid w:val="001D3358"/>
    <w:rsid w:val="001D4693"/>
    <w:rsid w:val="001D58F6"/>
    <w:rsid w:val="001D5D43"/>
    <w:rsid w:val="001E0457"/>
    <w:rsid w:val="001E07BE"/>
    <w:rsid w:val="001E12AE"/>
    <w:rsid w:val="001E1B6B"/>
    <w:rsid w:val="001E23B9"/>
    <w:rsid w:val="001E2728"/>
    <w:rsid w:val="001E2BB4"/>
    <w:rsid w:val="001E5492"/>
    <w:rsid w:val="001E5783"/>
    <w:rsid w:val="001E5D0A"/>
    <w:rsid w:val="001E5D0D"/>
    <w:rsid w:val="001E620B"/>
    <w:rsid w:val="001E7987"/>
    <w:rsid w:val="001F0A4C"/>
    <w:rsid w:val="001F17C6"/>
    <w:rsid w:val="001F1D3C"/>
    <w:rsid w:val="001F24B7"/>
    <w:rsid w:val="001F2FE3"/>
    <w:rsid w:val="001F3315"/>
    <w:rsid w:val="001F3370"/>
    <w:rsid w:val="001F3A12"/>
    <w:rsid w:val="001F3E96"/>
    <w:rsid w:val="001F62E2"/>
    <w:rsid w:val="001F6572"/>
    <w:rsid w:val="001F6682"/>
    <w:rsid w:val="001F7832"/>
    <w:rsid w:val="001F7A6A"/>
    <w:rsid w:val="001F7FF1"/>
    <w:rsid w:val="00201C1B"/>
    <w:rsid w:val="00201DD6"/>
    <w:rsid w:val="002026C1"/>
    <w:rsid w:val="0020325E"/>
    <w:rsid w:val="002043A4"/>
    <w:rsid w:val="002056E5"/>
    <w:rsid w:val="002058D8"/>
    <w:rsid w:val="00206A14"/>
    <w:rsid w:val="00206A21"/>
    <w:rsid w:val="00206D3C"/>
    <w:rsid w:val="00207E57"/>
    <w:rsid w:val="002100DD"/>
    <w:rsid w:val="00211A0F"/>
    <w:rsid w:val="00212F86"/>
    <w:rsid w:val="002142BC"/>
    <w:rsid w:val="00214646"/>
    <w:rsid w:val="00215432"/>
    <w:rsid w:val="002156AD"/>
    <w:rsid w:val="00215EC2"/>
    <w:rsid w:val="00215F57"/>
    <w:rsid w:val="0021608B"/>
    <w:rsid w:val="0021749D"/>
    <w:rsid w:val="00221945"/>
    <w:rsid w:val="00221974"/>
    <w:rsid w:val="00223F2D"/>
    <w:rsid w:val="00224221"/>
    <w:rsid w:val="002267D5"/>
    <w:rsid w:val="00227604"/>
    <w:rsid w:val="002301D0"/>
    <w:rsid w:val="00230513"/>
    <w:rsid w:val="00231D9E"/>
    <w:rsid w:val="0023251E"/>
    <w:rsid w:val="00232802"/>
    <w:rsid w:val="002338A9"/>
    <w:rsid w:val="002347CC"/>
    <w:rsid w:val="00235029"/>
    <w:rsid w:val="00235AA7"/>
    <w:rsid w:val="00235D0E"/>
    <w:rsid w:val="00236408"/>
    <w:rsid w:val="00236B65"/>
    <w:rsid w:val="00236CF8"/>
    <w:rsid w:val="002418BC"/>
    <w:rsid w:val="0024280A"/>
    <w:rsid w:val="00245704"/>
    <w:rsid w:val="00245FE1"/>
    <w:rsid w:val="00246DAA"/>
    <w:rsid w:val="00247730"/>
    <w:rsid w:val="00250C94"/>
    <w:rsid w:val="002524D8"/>
    <w:rsid w:val="00252952"/>
    <w:rsid w:val="00254E5B"/>
    <w:rsid w:val="00255927"/>
    <w:rsid w:val="00260123"/>
    <w:rsid w:val="00260727"/>
    <w:rsid w:val="002619CC"/>
    <w:rsid w:val="00264615"/>
    <w:rsid w:val="002664B7"/>
    <w:rsid w:val="002669C0"/>
    <w:rsid w:val="00266EE2"/>
    <w:rsid w:val="002671AB"/>
    <w:rsid w:val="002702AC"/>
    <w:rsid w:val="0027149C"/>
    <w:rsid w:val="002728EC"/>
    <w:rsid w:val="00272955"/>
    <w:rsid w:val="00274399"/>
    <w:rsid w:val="002743F7"/>
    <w:rsid w:val="00275585"/>
    <w:rsid w:val="002766D0"/>
    <w:rsid w:val="0027763C"/>
    <w:rsid w:val="002801EC"/>
    <w:rsid w:val="00280272"/>
    <w:rsid w:val="002804AD"/>
    <w:rsid w:val="00280EEB"/>
    <w:rsid w:val="00281FD9"/>
    <w:rsid w:val="0028420D"/>
    <w:rsid w:val="002843B0"/>
    <w:rsid w:val="00285344"/>
    <w:rsid w:val="002864C3"/>
    <w:rsid w:val="00286B47"/>
    <w:rsid w:val="00286C1F"/>
    <w:rsid w:val="00287333"/>
    <w:rsid w:val="0029030B"/>
    <w:rsid w:val="0029136A"/>
    <w:rsid w:val="00291C48"/>
    <w:rsid w:val="002928F3"/>
    <w:rsid w:val="00293D98"/>
    <w:rsid w:val="00294602"/>
    <w:rsid w:val="00294F7C"/>
    <w:rsid w:val="002A031B"/>
    <w:rsid w:val="002A04A6"/>
    <w:rsid w:val="002A09DB"/>
    <w:rsid w:val="002A1949"/>
    <w:rsid w:val="002A1C7A"/>
    <w:rsid w:val="002A215D"/>
    <w:rsid w:val="002A2228"/>
    <w:rsid w:val="002A2940"/>
    <w:rsid w:val="002A3530"/>
    <w:rsid w:val="002A67FB"/>
    <w:rsid w:val="002A69A1"/>
    <w:rsid w:val="002A6C1E"/>
    <w:rsid w:val="002B2AA6"/>
    <w:rsid w:val="002B3139"/>
    <w:rsid w:val="002B4FD2"/>
    <w:rsid w:val="002B526D"/>
    <w:rsid w:val="002B528D"/>
    <w:rsid w:val="002B5792"/>
    <w:rsid w:val="002B68F5"/>
    <w:rsid w:val="002C0664"/>
    <w:rsid w:val="002C0D91"/>
    <w:rsid w:val="002C2CE9"/>
    <w:rsid w:val="002C4CBB"/>
    <w:rsid w:val="002C4E2D"/>
    <w:rsid w:val="002C56A6"/>
    <w:rsid w:val="002C7430"/>
    <w:rsid w:val="002D0540"/>
    <w:rsid w:val="002D1237"/>
    <w:rsid w:val="002D1D56"/>
    <w:rsid w:val="002D2673"/>
    <w:rsid w:val="002D2FAA"/>
    <w:rsid w:val="002D30CC"/>
    <w:rsid w:val="002D3CE1"/>
    <w:rsid w:val="002D467B"/>
    <w:rsid w:val="002D4A76"/>
    <w:rsid w:val="002D4C83"/>
    <w:rsid w:val="002D55CF"/>
    <w:rsid w:val="002D596F"/>
    <w:rsid w:val="002D5B0E"/>
    <w:rsid w:val="002D75B0"/>
    <w:rsid w:val="002D767B"/>
    <w:rsid w:val="002D794A"/>
    <w:rsid w:val="002E621C"/>
    <w:rsid w:val="002E65F5"/>
    <w:rsid w:val="002E767F"/>
    <w:rsid w:val="002E7989"/>
    <w:rsid w:val="002E7F32"/>
    <w:rsid w:val="002F0687"/>
    <w:rsid w:val="002F116C"/>
    <w:rsid w:val="002F11F8"/>
    <w:rsid w:val="002F12AD"/>
    <w:rsid w:val="002F1590"/>
    <w:rsid w:val="002F1617"/>
    <w:rsid w:val="002F34C8"/>
    <w:rsid w:val="002F386C"/>
    <w:rsid w:val="002F59F7"/>
    <w:rsid w:val="002F5D97"/>
    <w:rsid w:val="003003B0"/>
    <w:rsid w:val="00300445"/>
    <w:rsid w:val="00301157"/>
    <w:rsid w:val="0030139B"/>
    <w:rsid w:val="003037D2"/>
    <w:rsid w:val="003040CC"/>
    <w:rsid w:val="0030468D"/>
    <w:rsid w:val="00304CA4"/>
    <w:rsid w:val="0030503C"/>
    <w:rsid w:val="00305042"/>
    <w:rsid w:val="00305C73"/>
    <w:rsid w:val="00307A4D"/>
    <w:rsid w:val="00307DB5"/>
    <w:rsid w:val="00310198"/>
    <w:rsid w:val="003109F1"/>
    <w:rsid w:val="00312E7D"/>
    <w:rsid w:val="00313129"/>
    <w:rsid w:val="003133F8"/>
    <w:rsid w:val="00313DEA"/>
    <w:rsid w:val="003143CA"/>
    <w:rsid w:val="00314A38"/>
    <w:rsid w:val="0031570D"/>
    <w:rsid w:val="00315822"/>
    <w:rsid w:val="00315875"/>
    <w:rsid w:val="00315CF8"/>
    <w:rsid w:val="00317024"/>
    <w:rsid w:val="00317055"/>
    <w:rsid w:val="003207D7"/>
    <w:rsid w:val="003218E2"/>
    <w:rsid w:val="00322181"/>
    <w:rsid w:val="0032379C"/>
    <w:rsid w:val="00326E4F"/>
    <w:rsid w:val="00327D15"/>
    <w:rsid w:val="003318A8"/>
    <w:rsid w:val="00331CCB"/>
    <w:rsid w:val="00332555"/>
    <w:rsid w:val="00332CB4"/>
    <w:rsid w:val="003332B6"/>
    <w:rsid w:val="00333EF1"/>
    <w:rsid w:val="003340C2"/>
    <w:rsid w:val="0033433A"/>
    <w:rsid w:val="00334747"/>
    <w:rsid w:val="003350A1"/>
    <w:rsid w:val="00335275"/>
    <w:rsid w:val="0033566F"/>
    <w:rsid w:val="00337212"/>
    <w:rsid w:val="00337581"/>
    <w:rsid w:val="003375A0"/>
    <w:rsid w:val="0033782E"/>
    <w:rsid w:val="00340F00"/>
    <w:rsid w:val="00341CCF"/>
    <w:rsid w:val="00341FF6"/>
    <w:rsid w:val="003429F4"/>
    <w:rsid w:val="00343EFD"/>
    <w:rsid w:val="00344F9C"/>
    <w:rsid w:val="003451AC"/>
    <w:rsid w:val="003457FD"/>
    <w:rsid w:val="00345B20"/>
    <w:rsid w:val="00346606"/>
    <w:rsid w:val="00346B8C"/>
    <w:rsid w:val="00347020"/>
    <w:rsid w:val="00350571"/>
    <w:rsid w:val="003510C0"/>
    <w:rsid w:val="00352C61"/>
    <w:rsid w:val="00352F3D"/>
    <w:rsid w:val="00353057"/>
    <w:rsid w:val="00353CFD"/>
    <w:rsid w:val="00354C05"/>
    <w:rsid w:val="003552F2"/>
    <w:rsid w:val="00355AEF"/>
    <w:rsid w:val="00356583"/>
    <w:rsid w:val="00356C8C"/>
    <w:rsid w:val="00357F0F"/>
    <w:rsid w:val="00360ADC"/>
    <w:rsid w:val="00360DE2"/>
    <w:rsid w:val="003614B2"/>
    <w:rsid w:val="0036276B"/>
    <w:rsid w:val="0036327F"/>
    <w:rsid w:val="00365D29"/>
    <w:rsid w:val="0036685C"/>
    <w:rsid w:val="00367E66"/>
    <w:rsid w:val="003711CB"/>
    <w:rsid w:val="00371BAE"/>
    <w:rsid w:val="00373B16"/>
    <w:rsid w:val="00373D50"/>
    <w:rsid w:val="00373F42"/>
    <w:rsid w:val="00374089"/>
    <w:rsid w:val="00374585"/>
    <w:rsid w:val="00375A63"/>
    <w:rsid w:val="00377028"/>
    <w:rsid w:val="003775C3"/>
    <w:rsid w:val="00377E1F"/>
    <w:rsid w:val="00380426"/>
    <w:rsid w:val="00380C5D"/>
    <w:rsid w:val="00380CC0"/>
    <w:rsid w:val="00381178"/>
    <w:rsid w:val="0038174F"/>
    <w:rsid w:val="0038182F"/>
    <w:rsid w:val="003818B2"/>
    <w:rsid w:val="00381B4F"/>
    <w:rsid w:val="00381BC9"/>
    <w:rsid w:val="00383AE5"/>
    <w:rsid w:val="00383EFB"/>
    <w:rsid w:val="00383FE8"/>
    <w:rsid w:val="00384810"/>
    <w:rsid w:val="00384ABD"/>
    <w:rsid w:val="00384CB6"/>
    <w:rsid w:val="00384F02"/>
    <w:rsid w:val="00384F1A"/>
    <w:rsid w:val="00385040"/>
    <w:rsid w:val="003859DA"/>
    <w:rsid w:val="003865FB"/>
    <w:rsid w:val="003869CC"/>
    <w:rsid w:val="003874FE"/>
    <w:rsid w:val="00390C91"/>
    <w:rsid w:val="00391800"/>
    <w:rsid w:val="00391B4C"/>
    <w:rsid w:val="00392149"/>
    <w:rsid w:val="003956EE"/>
    <w:rsid w:val="00395FE7"/>
    <w:rsid w:val="003960F7"/>
    <w:rsid w:val="00397120"/>
    <w:rsid w:val="003978A7"/>
    <w:rsid w:val="003A02F5"/>
    <w:rsid w:val="003A06B8"/>
    <w:rsid w:val="003A0D09"/>
    <w:rsid w:val="003A0EF7"/>
    <w:rsid w:val="003A1C0A"/>
    <w:rsid w:val="003A2367"/>
    <w:rsid w:val="003A2625"/>
    <w:rsid w:val="003A5267"/>
    <w:rsid w:val="003A6849"/>
    <w:rsid w:val="003A783C"/>
    <w:rsid w:val="003B0393"/>
    <w:rsid w:val="003B03C0"/>
    <w:rsid w:val="003B05D5"/>
    <w:rsid w:val="003B1535"/>
    <w:rsid w:val="003B21CA"/>
    <w:rsid w:val="003B2546"/>
    <w:rsid w:val="003B2867"/>
    <w:rsid w:val="003B351C"/>
    <w:rsid w:val="003B5277"/>
    <w:rsid w:val="003B54F3"/>
    <w:rsid w:val="003B58AA"/>
    <w:rsid w:val="003B5D72"/>
    <w:rsid w:val="003B5F68"/>
    <w:rsid w:val="003B6344"/>
    <w:rsid w:val="003B6EC6"/>
    <w:rsid w:val="003B734F"/>
    <w:rsid w:val="003B7790"/>
    <w:rsid w:val="003B7AAC"/>
    <w:rsid w:val="003C1210"/>
    <w:rsid w:val="003C13A5"/>
    <w:rsid w:val="003C1582"/>
    <w:rsid w:val="003C1C4F"/>
    <w:rsid w:val="003C1DB2"/>
    <w:rsid w:val="003C35BA"/>
    <w:rsid w:val="003C526E"/>
    <w:rsid w:val="003C5522"/>
    <w:rsid w:val="003C56DC"/>
    <w:rsid w:val="003C6930"/>
    <w:rsid w:val="003C6E29"/>
    <w:rsid w:val="003C71BE"/>
    <w:rsid w:val="003C77A1"/>
    <w:rsid w:val="003C7D2A"/>
    <w:rsid w:val="003C7DCA"/>
    <w:rsid w:val="003D0563"/>
    <w:rsid w:val="003D0BE4"/>
    <w:rsid w:val="003D1A76"/>
    <w:rsid w:val="003D220D"/>
    <w:rsid w:val="003D27A7"/>
    <w:rsid w:val="003D31F4"/>
    <w:rsid w:val="003D3F97"/>
    <w:rsid w:val="003D4E69"/>
    <w:rsid w:val="003D67FE"/>
    <w:rsid w:val="003E2DA5"/>
    <w:rsid w:val="003E2E75"/>
    <w:rsid w:val="003E54BA"/>
    <w:rsid w:val="003E60A8"/>
    <w:rsid w:val="003E756C"/>
    <w:rsid w:val="003E76AA"/>
    <w:rsid w:val="003F008A"/>
    <w:rsid w:val="003F013A"/>
    <w:rsid w:val="003F0467"/>
    <w:rsid w:val="003F079C"/>
    <w:rsid w:val="003F0FF6"/>
    <w:rsid w:val="003F1A3F"/>
    <w:rsid w:val="003F1F53"/>
    <w:rsid w:val="003F218A"/>
    <w:rsid w:val="003F26A5"/>
    <w:rsid w:val="003F336A"/>
    <w:rsid w:val="003F4727"/>
    <w:rsid w:val="003F492F"/>
    <w:rsid w:val="003F49BD"/>
    <w:rsid w:val="003F4C95"/>
    <w:rsid w:val="003F5315"/>
    <w:rsid w:val="003F7A19"/>
    <w:rsid w:val="00400D0F"/>
    <w:rsid w:val="00400FB5"/>
    <w:rsid w:val="004030A5"/>
    <w:rsid w:val="00404C75"/>
    <w:rsid w:val="004066CA"/>
    <w:rsid w:val="00406ECC"/>
    <w:rsid w:val="004078B1"/>
    <w:rsid w:val="004107CA"/>
    <w:rsid w:val="00412221"/>
    <w:rsid w:val="004151ED"/>
    <w:rsid w:val="00417CA0"/>
    <w:rsid w:val="00417FE8"/>
    <w:rsid w:val="00421A4C"/>
    <w:rsid w:val="00424146"/>
    <w:rsid w:val="00424B19"/>
    <w:rsid w:val="00425F04"/>
    <w:rsid w:val="004302E4"/>
    <w:rsid w:val="00431642"/>
    <w:rsid w:val="004320F5"/>
    <w:rsid w:val="004322CE"/>
    <w:rsid w:val="004323A9"/>
    <w:rsid w:val="00434B03"/>
    <w:rsid w:val="00434C51"/>
    <w:rsid w:val="004352F1"/>
    <w:rsid w:val="00437BE8"/>
    <w:rsid w:val="00441D8B"/>
    <w:rsid w:val="00442319"/>
    <w:rsid w:val="004429CA"/>
    <w:rsid w:val="004445F5"/>
    <w:rsid w:val="004452FE"/>
    <w:rsid w:val="00445A12"/>
    <w:rsid w:val="00446FA3"/>
    <w:rsid w:val="004476E3"/>
    <w:rsid w:val="004501B2"/>
    <w:rsid w:val="004502CA"/>
    <w:rsid w:val="004509A2"/>
    <w:rsid w:val="00450A0D"/>
    <w:rsid w:val="00450A5E"/>
    <w:rsid w:val="00453BFA"/>
    <w:rsid w:val="00453C21"/>
    <w:rsid w:val="00454128"/>
    <w:rsid w:val="004555B3"/>
    <w:rsid w:val="00455BD0"/>
    <w:rsid w:val="00455C14"/>
    <w:rsid w:val="00456265"/>
    <w:rsid w:val="00456A86"/>
    <w:rsid w:val="00456DD4"/>
    <w:rsid w:val="00460433"/>
    <w:rsid w:val="00460628"/>
    <w:rsid w:val="00460C58"/>
    <w:rsid w:val="0046153D"/>
    <w:rsid w:val="00461EA2"/>
    <w:rsid w:val="00462892"/>
    <w:rsid w:val="00462B1C"/>
    <w:rsid w:val="00465572"/>
    <w:rsid w:val="00466826"/>
    <w:rsid w:val="00467E29"/>
    <w:rsid w:val="00467F16"/>
    <w:rsid w:val="00470814"/>
    <w:rsid w:val="00471651"/>
    <w:rsid w:val="00471B20"/>
    <w:rsid w:val="00472086"/>
    <w:rsid w:val="0047367E"/>
    <w:rsid w:val="0047544A"/>
    <w:rsid w:val="0047564B"/>
    <w:rsid w:val="00476013"/>
    <w:rsid w:val="004762CB"/>
    <w:rsid w:val="00476322"/>
    <w:rsid w:val="00476777"/>
    <w:rsid w:val="004773D6"/>
    <w:rsid w:val="0048036A"/>
    <w:rsid w:val="00481517"/>
    <w:rsid w:val="004819F2"/>
    <w:rsid w:val="004819F3"/>
    <w:rsid w:val="00482952"/>
    <w:rsid w:val="00482B9E"/>
    <w:rsid w:val="004833DB"/>
    <w:rsid w:val="004833EB"/>
    <w:rsid w:val="0048392F"/>
    <w:rsid w:val="0048399D"/>
    <w:rsid w:val="00484691"/>
    <w:rsid w:val="00487A1F"/>
    <w:rsid w:val="00490438"/>
    <w:rsid w:val="00490561"/>
    <w:rsid w:val="00490E19"/>
    <w:rsid w:val="0049111B"/>
    <w:rsid w:val="00491647"/>
    <w:rsid w:val="00491AD6"/>
    <w:rsid w:val="00492950"/>
    <w:rsid w:val="00492ACC"/>
    <w:rsid w:val="00492EEE"/>
    <w:rsid w:val="00494228"/>
    <w:rsid w:val="0049694B"/>
    <w:rsid w:val="00497D29"/>
    <w:rsid w:val="004A0E26"/>
    <w:rsid w:val="004A13A4"/>
    <w:rsid w:val="004A2010"/>
    <w:rsid w:val="004A217D"/>
    <w:rsid w:val="004A2E6A"/>
    <w:rsid w:val="004A44CC"/>
    <w:rsid w:val="004A5B05"/>
    <w:rsid w:val="004A5F60"/>
    <w:rsid w:val="004A6A29"/>
    <w:rsid w:val="004A7985"/>
    <w:rsid w:val="004B049D"/>
    <w:rsid w:val="004B097E"/>
    <w:rsid w:val="004B1232"/>
    <w:rsid w:val="004B300C"/>
    <w:rsid w:val="004B35C8"/>
    <w:rsid w:val="004B36A2"/>
    <w:rsid w:val="004B3832"/>
    <w:rsid w:val="004B46EA"/>
    <w:rsid w:val="004B6744"/>
    <w:rsid w:val="004C0219"/>
    <w:rsid w:val="004C0474"/>
    <w:rsid w:val="004C0910"/>
    <w:rsid w:val="004C0F44"/>
    <w:rsid w:val="004C12EE"/>
    <w:rsid w:val="004C25BE"/>
    <w:rsid w:val="004C3C00"/>
    <w:rsid w:val="004C40BF"/>
    <w:rsid w:val="004C495D"/>
    <w:rsid w:val="004C4E66"/>
    <w:rsid w:val="004C4ECA"/>
    <w:rsid w:val="004C7997"/>
    <w:rsid w:val="004C7B37"/>
    <w:rsid w:val="004D0C5C"/>
    <w:rsid w:val="004D142B"/>
    <w:rsid w:val="004D1AC4"/>
    <w:rsid w:val="004D1D9D"/>
    <w:rsid w:val="004D26C9"/>
    <w:rsid w:val="004D5E16"/>
    <w:rsid w:val="004D5F02"/>
    <w:rsid w:val="004D63A4"/>
    <w:rsid w:val="004E02DC"/>
    <w:rsid w:val="004E05AC"/>
    <w:rsid w:val="004E06DA"/>
    <w:rsid w:val="004E16BB"/>
    <w:rsid w:val="004E1BCD"/>
    <w:rsid w:val="004E1EB6"/>
    <w:rsid w:val="004E2685"/>
    <w:rsid w:val="004E3390"/>
    <w:rsid w:val="004E3526"/>
    <w:rsid w:val="004E3851"/>
    <w:rsid w:val="004E3E80"/>
    <w:rsid w:val="004E4CDF"/>
    <w:rsid w:val="004E5888"/>
    <w:rsid w:val="004E5CFE"/>
    <w:rsid w:val="004E6CAB"/>
    <w:rsid w:val="004F3A13"/>
    <w:rsid w:val="004F3DE6"/>
    <w:rsid w:val="004F4376"/>
    <w:rsid w:val="004F44E5"/>
    <w:rsid w:val="004F5D97"/>
    <w:rsid w:val="004F5F3C"/>
    <w:rsid w:val="004F6933"/>
    <w:rsid w:val="004F78B5"/>
    <w:rsid w:val="005008BE"/>
    <w:rsid w:val="00501DB3"/>
    <w:rsid w:val="005032F6"/>
    <w:rsid w:val="005047FE"/>
    <w:rsid w:val="00505434"/>
    <w:rsid w:val="00505FE8"/>
    <w:rsid w:val="0050731D"/>
    <w:rsid w:val="005073FC"/>
    <w:rsid w:val="00507BFF"/>
    <w:rsid w:val="0051027B"/>
    <w:rsid w:val="00510817"/>
    <w:rsid w:val="00510897"/>
    <w:rsid w:val="0051128D"/>
    <w:rsid w:val="005120F0"/>
    <w:rsid w:val="0051275B"/>
    <w:rsid w:val="00512B1F"/>
    <w:rsid w:val="00512EEC"/>
    <w:rsid w:val="0051487C"/>
    <w:rsid w:val="00515964"/>
    <w:rsid w:val="00516E70"/>
    <w:rsid w:val="00516F30"/>
    <w:rsid w:val="00522152"/>
    <w:rsid w:val="0052476D"/>
    <w:rsid w:val="00526F4D"/>
    <w:rsid w:val="00530517"/>
    <w:rsid w:val="00532BC2"/>
    <w:rsid w:val="00532C79"/>
    <w:rsid w:val="005346E4"/>
    <w:rsid w:val="0053473F"/>
    <w:rsid w:val="00534ADB"/>
    <w:rsid w:val="00535CD4"/>
    <w:rsid w:val="00535D08"/>
    <w:rsid w:val="005361EB"/>
    <w:rsid w:val="005371B9"/>
    <w:rsid w:val="0053732E"/>
    <w:rsid w:val="00537EA1"/>
    <w:rsid w:val="00537F51"/>
    <w:rsid w:val="0054094A"/>
    <w:rsid w:val="00540CCC"/>
    <w:rsid w:val="005418DE"/>
    <w:rsid w:val="00541B46"/>
    <w:rsid w:val="00542F4E"/>
    <w:rsid w:val="00544C0C"/>
    <w:rsid w:val="00545AF8"/>
    <w:rsid w:val="005461DA"/>
    <w:rsid w:val="005466B6"/>
    <w:rsid w:val="0054690E"/>
    <w:rsid w:val="00547B23"/>
    <w:rsid w:val="00550724"/>
    <w:rsid w:val="00550AED"/>
    <w:rsid w:val="00552F8A"/>
    <w:rsid w:val="0055404A"/>
    <w:rsid w:val="00554320"/>
    <w:rsid w:val="00554322"/>
    <w:rsid w:val="00555A61"/>
    <w:rsid w:val="0055677D"/>
    <w:rsid w:val="005567FB"/>
    <w:rsid w:val="00557D91"/>
    <w:rsid w:val="005611FF"/>
    <w:rsid w:val="00561FDC"/>
    <w:rsid w:val="00562806"/>
    <w:rsid w:val="005630B9"/>
    <w:rsid w:val="00563C54"/>
    <w:rsid w:val="00563FF1"/>
    <w:rsid w:val="00564971"/>
    <w:rsid w:val="00564F0C"/>
    <w:rsid w:val="00567558"/>
    <w:rsid w:val="00567C92"/>
    <w:rsid w:val="00567D6B"/>
    <w:rsid w:val="005702CE"/>
    <w:rsid w:val="00575684"/>
    <w:rsid w:val="005768C8"/>
    <w:rsid w:val="00577A62"/>
    <w:rsid w:val="0058033C"/>
    <w:rsid w:val="005805A8"/>
    <w:rsid w:val="0058061A"/>
    <w:rsid w:val="00580CA4"/>
    <w:rsid w:val="005814B5"/>
    <w:rsid w:val="005816AC"/>
    <w:rsid w:val="005816DD"/>
    <w:rsid w:val="00582069"/>
    <w:rsid w:val="00583D2D"/>
    <w:rsid w:val="005841E6"/>
    <w:rsid w:val="00585B79"/>
    <w:rsid w:val="0059077C"/>
    <w:rsid w:val="005908C9"/>
    <w:rsid w:val="00590FD6"/>
    <w:rsid w:val="00591A09"/>
    <w:rsid w:val="005922B9"/>
    <w:rsid w:val="005924A0"/>
    <w:rsid w:val="00592E84"/>
    <w:rsid w:val="005944F1"/>
    <w:rsid w:val="00594C22"/>
    <w:rsid w:val="005968A4"/>
    <w:rsid w:val="0059770E"/>
    <w:rsid w:val="00597BAE"/>
    <w:rsid w:val="00597E50"/>
    <w:rsid w:val="00597EA2"/>
    <w:rsid w:val="005A001C"/>
    <w:rsid w:val="005A0E3B"/>
    <w:rsid w:val="005A166D"/>
    <w:rsid w:val="005A2647"/>
    <w:rsid w:val="005A3207"/>
    <w:rsid w:val="005A343D"/>
    <w:rsid w:val="005A3543"/>
    <w:rsid w:val="005A3EC5"/>
    <w:rsid w:val="005A46A0"/>
    <w:rsid w:val="005A4BDE"/>
    <w:rsid w:val="005A5FDE"/>
    <w:rsid w:val="005A7183"/>
    <w:rsid w:val="005B1065"/>
    <w:rsid w:val="005B3E84"/>
    <w:rsid w:val="005B4E51"/>
    <w:rsid w:val="005B5BD5"/>
    <w:rsid w:val="005B5D5D"/>
    <w:rsid w:val="005B71E7"/>
    <w:rsid w:val="005C004F"/>
    <w:rsid w:val="005C0E43"/>
    <w:rsid w:val="005C1BBC"/>
    <w:rsid w:val="005C2DF8"/>
    <w:rsid w:val="005C2FF7"/>
    <w:rsid w:val="005C3849"/>
    <w:rsid w:val="005C494F"/>
    <w:rsid w:val="005C57AB"/>
    <w:rsid w:val="005C696E"/>
    <w:rsid w:val="005C6DA3"/>
    <w:rsid w:val="005C708B"/>
    <w:rsid w:val="005D0075"/>
    <w:rsid w:val="005D0742"/>
    <w:rsid w:val="005D0910"/>
    <w:rsid w:val="005D10AD"/>
    <w:rsid w:val="005D1A31"/>
    <w:rsid w:val="005D2184"/>
    <w:rsid w:val="005D37A1"/>
    <w:rsid w:val="005D4DDF"/>
    <w:rsid w:val="005D55FE"/>
    <w:rsid w:val="005D5855"/>
    <w:rsid w:val="005D5ED3"/>
    <w:rsid w:val="005E05A4"/>
    <w:rsid w:val="005E0752"/>
    <w:rsid w:val="005E0F0A"/>
    <w:rsid w:val="005E2ACD"/>
    <w:rsid w:val="005E3613"/>
    <w:rsid w:val="005E440A"/>
    <w:rsid w:val="005E5891"/>
    <w:rsid w:val="005E6887"/>
    <w:rsid w:val="005E72D8"/>
    <w:rsid w:val="005E7DA7"/>
    <w:rsid w:val="005F0EFA"/>
    <w:rsid w:val="005F26C6"/>
    <w:rsid w:val="005F553A"/>
    <w:rsid w:val="005F5F7A"/>
    <w:rsid w:val="005F722E"/>
    <w:rsid w:val="005F724A"/>
    <w:rsid w:val="00600544"/>
    <w:rsid w:val="006009F5"/>
    <w:rsid w:val="00601BA2"/>
    <w:rsid w:val="0060222E"/>
    <w:rsid w:val="006027EB"/>
    <w:rsid w:val="00603770"/>
    <w:rsid w:val="00603774"/>
    <w:rsid w:val="00603F98"/>
    <w:rsid w:val="00604AD8"/>
    <w:rsid w:val="00605478"/>
    <w:rsid w:val="0060704E"/>
    <w:rsid w:val="006077F1"/>
    <w:rsid w:val="00611B1F"/>
    <w:rsid w:val="006127FE"/>
    <w:rsid w:val="00613C3C"/>
    <w:rsid w:val="00614904"/>
    <w:rsid w:val="00615C42"/>
    <w:rsid w:val="0061766A"/>
    <w:rsid w:val="00617F05"/>
    <w:rsid w:val="006203C3"/>
    <w:rsid w:val="00621433"/>
    <w:rsid w:val="00621848"/>
    <w:rsid w:val="00622024"/>
    <w:rsid w:val="006236A9"/>
    <w:rsid w:val="00625E44"/>
    <w:rsid w:val="00626A99"/>
    <w:rsid w:val="00627455"/>
    <w:rsid w:val="00630145"/>
    <w:rsid w:val="0063082D"/>
    <w:rsid w:val="006310A2"/>
    <w:rsid w:val="0063114E"/>
    <w:rsid w:val="0063255A"/>
    <w:rsid w:val="006334E8"/>
    <w:rsid w:val="00634257"/>
    <w:rsid w:val="006369B3"/>
    <w:rsid w:val="00637F9E"/>
    <w:rsid w:val="00640E9B"/>
    <w:rsid w:val="006423BD"/>
    <w:rsid w:val="006430F5"/>
    <w:rsid w:val="006434C1"/>
    <w:rsid w:val="006435B2"/>
    <w:rsid w:val="00645302"/>
    <w:rsid w:val="00646F59"/>
    <w:rsid w:val="006477B6"/>
    <w:rsid w:val="00647FC0"/>
    <w:rsid w:val="0065017B"/>
    <w:rsid w:val="006506DC"/>
    <w:rsid w:val="00650ACF"/>
    <w:rsid w:val="00651225"/>
    <w:rsid w:val="00651584"/>
    <w:rsid w:val="006516A0"/>
    <w:rsid w:val="006525BD"/>
    <w:rsid w:val="006534E8"/>
    <w:rsid w:val="00653B8B"/>
    <w:rsid w:val="006540DF"/>
    <w:rsid w:val="00656E71"/>
    <w:rsid w:val="006579FF"/>
    <w:rsid w:val="00660458"/>
    <w:rsid w:val="00661076"/>
    <w:rsid w:val="00661112"/>
    <w:rsid w:val="00661B8A"/>
    <w:rsid w:val="006623EE"/>
    <w:rsid w:val="0066424E"/>
    <w:rsid w:val="0066524A"/>
    <w:rsid w:val="00667894"/>
    <w:rsid w:val="006705A9"/>
    <w:rsid w:val="00670B40"/>
    <w:rsid w:val="006712FC"/>
    <w:rsid w:val="006713DF"/>
    <w:rsid w:val="006723F2"/>
    <w:rsid w:val="0067266E"/>
    <w:rsid w:val="00674063"/>
    <w:rsid w:val="006741DE"/>
    <w:rsid w:val="006750AC"/>
    <w:rsid w:val="0067712F"/>
    <w:rsid w:val="0067724E"/>
    <w:rsid w:val="00682790"/>
    <w:rsid w:val="00684151"/>
    <w:rsid w:val="0068424D"/>
    <w:rsid w:val="00685467"/>
    <w:rsid w:val="00685A12"/>
    <w:rsid w:val="006862DF"/>
    <w:rsid w:val="00686C75"/>
    <w:rsid w:val="00686E0E"/>
    <w:rsid w:val="0069025D"/>
    <w:rsid w:val="00691355"/>
    <w:rsid w:val="00692AF3"/>
    <w:rsid w:val="00692EC7"/>
    <w:rsid w:val="006933BB"/>
    <w:rsid w:val="00693CFF"/>
    <w:rsid w:val="0069404C"/>
    <w:rsid w:val="00694800"/>
    <w:rsid w:val="00697FF6"/>
    <w:rsid w:val="006A0DF2"/>
    <w:rsid w:val="006A1C72"/>
    <w:rsid w:val="006A1EF5"/>
    <w:rsid w:val="006A2297"/>
    <w:rsid w:val="006A3570"/>
    <w:rsid w:val="006A4BA8"/>
    <w:rsid w:val="006A4E2B"/>
    <w:rsid w:val="006A7391"/>
    <w:rsid w:val="006B0C68"/>
    <w:rsid w:val="006B0F72"/>
    <w:rsid w:val="006B11B5"/>
    <w:rsid w:val="006B2681"/>
    <w:rsid w:val="006B4BD1"/>
    <w:rsid w:val="006B56A1"/>
    <w:rsid w:val="006B56BC"/>
    <w:rsid w:val="006B5C1B"/>
    <w:rsid w:val="006B5CCA"/>
    <w:rsid w:val="006B7092"/>
    <w:rsid w:val="006B7D92"/>
    <w:rsid w:val="006C07B8"/>
    <w:rsid w:val="006C141D"/>
    <w:rsid w:val="006C1D63"/>
    <w:rsid w:val="006C2489"/>
    <w:rsid w:val="006C3417"/>
    <w:rsid w:val="006C369D"/>
    <w:rsid w:val="006C4A4D"/>
    <w:rsid w:val="006C5928"/>
    <w:rsid w:val="006C61B2"/>
    <w:rsid w:val="006C64C4"/>
    <w:rsid w:val="006C69C9"/>
    <w:rsid w:val="006C6EAD"/>
    <w:rsid w:val="006C7B04"/>
    <w:rsid w:val="006C7F0E"/>
    <w:rsid w:val="006D0871"/>
    <w:rsid w:val="006D298B"/>
    <w:rsid w:val="006D2DD1"/>
    <w:rsid w:val="006D3A4E"/>
    <w:rsid w:val="006D40EA"/>
    <w:rsid w:val="006D445F"/>
    <w:rsid w:val="006D532F"/>
    <w:rsid w:val="006D6042"/>
    <w:rsid w:val="006D63CD"/>
    <w:rsid w:val="006D6B87"/>
    <w:rsid w:val="006D7146"/>
    <w:rsid w:val="006D7FAD"/>
    <w:rsid w:val="006E13BA"/>
    <w:rsid w:val="006E21B6"/>
    <w:rsid w:val="006E24A4"/>
    <w:rsid w:val="006E2C99"/>
    <w:rsid w:val="006E2FA8"/>
    <w:rsid w:val="006E4D69"/>
    <w:rsid w:val="006E50D4"/>
    <w:rsid w:val="006E5E8D"/>
    <w:rsid w:val="006E7511"/>
    <w:rsid w:val="006E789F"/>
    <w:rsid w:val="006F15A7"/>
    <w:rsid w:val="006F5040"/>
    <w:rsid w:val="006F520D"/>
    <w:rsid w:val="006F61BE"/>
    <w:rsid w:val="006F6B7D"/>
    <w:rsid w:val="006F70F7"/>
    <w:rsid w:val="006F7413"/>
    <w:rsid w:val="006F76A1"/>
    <w:rsid w:val="00700507"/>
    <w:rsid w:val="00702FB8"/>
    <w:rsid w:val="00703110"/>
    <w:rsid w:val="00703DF2"/>
    <w:rsid w:val="00704EBF"/>
    <w:rsid w:val="00707A05"/>
    <w:rsid w:val="00711650"/>
    <w:rsid w:val="007126F4"/>
    <w:rsid w:val="0071344A"/>
    <w:rsid w:val="007135D0"/>
    <w:rsid w:val="007139FB"/>
    <w:rsid w:val="00714C39"/>
    <w:rsid w:val="00714EAB"/>
    <w:rsid w:val="007150FB"/>
    <w:rsid w:val="007157D4"/>
    <w:rsid w:val="0071685F"/>
    <w:rsid w:val="0071764A"/>
    <w:rsid w:val="0071795A"/>
    <w:rsid w:val="007202B3"/>
    <w:rsid w:val="007206BD"/>
    <w:rsid w:val="0072194B"/>
    <w:rsid w:val="00723ED0"/>
    <w:rsid w:val="00726A44"/>
    <w:rsid w:val="00727ABF"/>
    <w:rsid w:val="007300E9"/>
    <w:rsid w:val="00730DC8"/>
    <w:rsid w:val="00731257"/>
    <w:rsid w:val="00733E72"/>
    <w:rsid w:val="00734727"/>
    <w:rsid w:val="00737F98"/>
    <w:rsid w:val="0074031E"/>
    <w:rsid w:val="0074180E"/>
    <w:rsid w:val="00742092"/>
    <w:rsid w:val="00742327"/>
    <w:rsid w:val="00742ED1"/>
    <w:rsid w:val="007448C9"/>
    <w:rsid w:val="00745825"/>
    <w:rsid w:val="00746365"/>
    <w:rsid w:val="00746FC1"/>
    <w:rsid w:val="0075196B"/>
    <w:rsid w:val="007524FE"/>
    <w:rsid w:val="007535F4"/>
    <w:rsid w:val="00754516"/>
    <w:rsid w:val="00754F7C"/>
    <w:rsid w:val="007563EC"/>
    <w:rsid w:val="00757522"/>
    <w:rsid w:val="0076124A"/>
    <w:rsid w:val="00761FFC"/>
    <w:rsid w:val="007623D5"/>
    <w:rsid w:val="00763589"/>
    <w:rsid w:val="00764A1C"/>
    <w:rsid w:val="00764F61"/>
    <w:rsid w:val="00765558"/>
    <w:rsid w:val="007666F4"/>
    <w:rsid w:val="00767191"/>
    <w:rsid w:val="007674FB"/>
    <w:rsid w:val="0076763E"/>
    <w:rsid w:val="007711A0"/>
    <w:rsid w:val="00771F06"/>
    <w:rsid w:val="00772ED4"/>
    <w:rsid w:val="007746D4"/>
    <w:rsid w:val="00774A52"/>
    <w:rsid w:val="007754DD"/>
    <w:rsid w:val="00776894"/>
    <w:rsid w:val="00780DD5"/>
    <w:rsid w:val="00780E6A"/>
    <w:rsid w:val="007810B4"/>
    <w:rsid w:val="0078123A"/>
    <w:rsid w:val="00782435"/>
    <w:rsid w:val="007827B9"/>
    <w:rsid w:val="00783052"/>
    <w:rsid w:val="00783617"/>
    <w:rsid w:val="00783D44"/>
    <w:rsid w:val="0078549A"/>
    <w:rsid w:val="007871E8"/>
    <w:rsid w:val="007905AC"/>
    <w:rsid w:val="00790961"/>
    <w:rsid w:val="0079099F"/>
    <w:rsid w:val="0079126A"/>
    <w:rsid w:val="00791F58"/>
    <w:rsid w:val="00792F75"/>
    <w:rsid w:val="0079475E"/>
    <w:rsid w:val="0079500C"/>
    <w:rsid w:val="007950F8"/>
    <w:rsid w:val="00795A1F"/>
    <w:rsid w:val="00795C42"/>
    <w:rsid w:val="007966BA"/>
    <w:rsid w:val="0079747A"/>
    <w:rsid w:val="007974D4"/>
    <w:rsid w:val="00797727"/>
    <w:rsid w:val="00797BFF"/>
    <w:rsid w:val="007A056B"/>
    <w:rsid w:val="007A12EB"/>
    <w:rsid w:val="007A1FCD"/>
    <w:rsid w:val="007A26E2"/>
    <w:rsid w:val="007A3FED"/>
    <w:rsid w:val="007A4CBC"/>
    <w:rsid w:val="007A5612"/>
    <w:rsid w:val="007A6644"/>
    <w:rsid w:val="007A66D8"/>
    <w:rsid w:val="007A791A"/>
    <w:rsid w:val="007A7F6E"/>
    <w:rsid w:val="007B2CD4"/>
    <w:rsid w:val="007B48B2"/>
    <w:rsid w:val="007B4AD4"/>
    <w:rsid w:val="007B5D7C"/>
    <w:rsid w:val="007B648D"/>
    <w:rsid w:val="007B7EE8"/>
    <w:rsid w:val="007C02C0"/>
    <w:rsid w:val="007C0A6E"/>
    <w:rsid w:val="007C1CFF"/>
    <w:rsid w:val="007C2633"/>
    <w:rsid w:val="007C30DA"/>
    <w:rsid w:val="007C3CCD"/>
    <w:rsid w:val="007C42D8"/>
    <w:rsid w:val="007C5FE3"/>
    <w:rsid w:val="007C668D"/>
    <w:rsid w:val="007C68B9"/>
    <w:rsid w:val="007C6B0D"/>
    <w:rsid w:val="007C7897"/>
    <w:rsid w:val="007D0BC7"/>
    <w:rsid w:val="007D222B"/>
    <w:rsid w:val="007D269E"/>
    <w:rsid w:val="007D3888"/>
    <w:rsid w:val="007D5028"/>
    <w:rsid w:val="007D68ED"/>
    <w:rsid w:val="007D7009"/>
    <w:rsid w:val="007E0EF8"/>
    <w:rsid w:val="007E14E9"/>
    <w:rsid w:val="007E1BEC"/>
    <w:rsid w:val="007E2425"/>
    <w:rsid w:val="007E2E75"/>
    <w:rsid w:val="007E2F35"/>
    <w:rsid w:val="007E3812"/>
    <w:rsid w:val="007E43F9"/>
    <w:rsid w:val="007E4F2A"/>
    <w:rsid w:val="007E5BEB"/>
    <w:rsid w:val="007E639F"/>
    <w:rsid w:val="007E6BAC"/>
    <w:rsid w:val="007E76EC"/>
    <w:rsid w:val="007F000E"/>
    <w:rsid w:val="007F0113"/>
    <w:rsid w:val="007F0582"/>
    <w:rsid w:val="007F0ED3"/>
    <w:rsid w:val="007F1BAC"/>
    <w:rsid w:val="007F32B2"/>
    <w:rsid w:val="007F3A81"/>
    <w:rsid w:val="007F5513"/>
    <w:rsid w:val="007F60B1"/>
    <w:rsid w:val="007F70F8"/>
    <w:rsid w:val="007F7500"/>
    <w:rsid w:val="00801FE2"/>
    <w:rsid w:val="0080230D"/>
    <w:rsid w:val="00802565"/>
    <w:rsid w:val="00802A3F"/>
    <w:rsid w:val="008039BF"/>
    <w:rsid w:val="0080597B"/>
    <w:rsid w:val="00806C53"/>
    <w:rsid w:val="00807217"/>
    <w:rsid w:val="00810926"/>
    <w:rsid w:val="0081125B"/>
    <w:rsid w:val="00814257"/>
    <w:rsid w:val="008145F4"/>
    <w:rsid w:val="008154F6"/>
    <w:rsid w:val="00815F22"/>
    <w:rsid w:val="00816279"/>
    <w:rsid w:val="0082087A"/>
    <w:rsid w:val="00820C74"/>
    <w:rsid w:val="00821283"/>
    <w:rsid w:val="00821A0A"/>
    <w:rsid w:val="00821F93"/>
    <w:rsid w:val="00822480"/>
    <w:rsid w:val="00822A0D"/>
    <w:rsid w:val="00823099"/>
    <w:rsid w:val="00823169"/>
    <w:rsid w:val="00826254"/>
    <w:rsid w:val="00826755"/>
    <w:rsid w:val="00826E86"/>
    <w:rsid w:val="00827402"/>
    <w:rsid w:val="00827BFC"/>
    <w:rsid w:val="0083167C"/>
    <w:rsid w:val="008319EC"/>
    <w:rsid w:val="00833449"/>
    <w:rsid w:val="00833D17"/>
    <w:rsid w:val="0083442D"/>
    <w:rsid w:val="0083510D"/>
    <w:rsid w:val="0083525D"/>
    <w:rsid w:val="00836E39"/>
    <w:rsid w:val="008378DF"/>
    <w:rsid w:val="00837A2B"/>
    <w:rsid w:val="00843634"/>
    <w:rsid w:val="00843D0C"/>
    <w:rsid w:val="00843FD3"/>
    <w:rsid w:val="00844686"/>
    <w:rsid w:val="00845328"/>
    <w:rsid w:val="0084594E"/>
    <w:rsid w:val="00846781"/>
    <w:rsid w:val="0084735D"/>
    <w:rsid w:val="008517D2"/>
    <w:rsid w:val="008526F2"/>
    <w:rsid w:val="00852D8C"/>
    <w:rsid w:val="008535B8"/>
    <w:rsid w:val="00853825"/>
    <w:rsid w:val="00854C2D"/>
    <w:rsid w:val="008551AC"/>
    <w:rsid w:val="00855835"/>
    <w:rsid w:val="00857D7A"/>
    <w:rsid w:val="008601D7"/>
    <w:rsid w:val="008602E0"/>
    <w:rsid w:val="00860740"/>
    <w:rsid w:val="00860CBF"/>
    <w:rsid w:val="00861757"/>
    <w:rsid w:val="00861F72"/>
    <w:rsid w:val="00863C2A"/>
    <w:rsid w:val="00864106"/>
    <w:rsid w:val="008641EC"/>
    <w:rsid w:val="00865292"/>
    <w:rsid w:val="00865795"/>
    <w:rsid w:val="008669FF"/>
    <w:rsid w:val="0086715A"/>
    <w:rsid w:val="0086738B"/>
    <w:rsid w:val="008701B6"/>
    <w:rsid w:val="008702D1"/>
    <w:rsid w:val="00870987"/>
    <w:rsid w:val="0087245F"/>
    <w:rsid w:val="00872F11"/>
    <w:rsid w:val="0087331B"/>
    <w:rsid w:val="008739DE"/>
    <w:rsid w:val="0087428E"/>
    <w:rsid w:val="00874550"/>
    <w:rsid w:val="008757E1"/>
    <w:rsid w:val="0087635F"/>
    <w:rsid w:val="00881982"/>
    <w:rsid w:val="00881C96"/>
    <w:rsid w:val="00884273"/>
    <w:rsid w:val="00884B6F"/>
    <w:rsid w:val="0088506A"/>
    <w:rsid w:val="00885A93"/>
    <w:rsid w:val="0088608D"/>
    <w:rsid w:val="00886F11"/>
    <w:rsid w:val="008878A2"/>
    <w:rsid w:val="0089082F"/>
    <w:rsid w:val="00892A02"/>
    <w:rsid w:val="00893B41"/>
    <w:rsid w:val="0089551E"/>
    <w:rsid w:val="00895A67"/>
    <w:rsid w:val="00895AC8"/>
    <w:rsid w:val="00896930"/>
    <w:rsid w:val="008977C0"/>
    <w:rsid w:val="008A05FE"/>
    <w:rsid w:val="008A0613"/>
    <w:rsid w:val="008A09E8"/>
    <w:rsid w:val="008A0F00"/>
    <w:rsid w:val="008A16CC"/>
    <w:rsid w:val="008A24AB"/>
    <w:rsid w:val="008A266B"/>
    <w:rsid w:val="008A2755"/>
    <w:rsid w:val="008A3B6D"/>
    <w:rsid w:val="008A42B0"/>
    <w:rsid w:val="008A5FDE"/>
    <w:rsid w:val="008A623A"/>
    <w:rsid w:val="008A7BA4"/>
    <w:rsid w:val="008A7BFA"/>
    <w:rsid w:val="008B115A"/>
    <w:rsid w:val="008B14BF"/>
    <w:rsid w:val="008B151C"/>
    <w:rsid w:val="008B32F8"/>
    <w:rsid w:val="008B3977"/>
    <w:rsid w:val="008B3A03"/>
    <w:rsid w:val="008B4378"/>
    <w:rsid w:val="008B548D"/>
    <w:rsid w:val="008B5C68"/>
    <w:rsid w:val="008B601F"/>
    <w:rsid w:val="008B6496"/>
    <w:rsid w:val="008B6921"/>
    <w:rsid w:val="008C0DAC"/>
    <w:rsid w:val="008C0E54"/>
    <w:rsid w:val="008C108D"/>
    <w:rsid w:val="008C1B4F"/>
    <w:rsid w:val="008C2567"/>
    <w:rsid w:val="008C2A56"/>
    <w:rsid w:val="008C2B1D"/>
    <w:rsid w:val="008C34D2"/>
    <w:rsid w:val="008C3BAD"/>
    <w:rsid w:val="008C3C64"/>
    <w:rsid w:val="008C3F7F"/>
    <w:rsid w:val="008C48CB"/>
    <w:rsid w:val="008C4FE9"/>
    <w:rsid w:val="008C7A96"/>
    <w:rsid w:val="008C7B25"/>
    <w:rsid w:val="008C7F26"/>
    <w:rsid w:val="008D0ADE"/>
    <w:rsid w:val="008D483C"/>
    <w:rsid w:val="008D5CCF"/>
    <w:rsid w:val="008D631D"/>
    <w:rsid w:val="008D6889"/>
    <w:rsid w:val="008D68A3"/>
    <w:rsid w:val="008D6DE4"/>
    <w:rsid w:val="008D6FBA"/>
    <w:rsid w:val="008D7AB1"/>
    <w:rsid w:val="008E058C"/>
    <w:rsid w:val="008E0846"/>
    <w:rsid w:val="008E0FBE"/>
    <w:rsid w:val="008E1971"/>
    <w:rsid w:val="008E2DE9"/>
    <w:rsid w:val="008E4327"/>
    <w:rsid w:val="008E617A"/>
    <w:rsid w:val="008E67A8"/>
    <w:rsid w:val="008E6E5F"/>
    <w:rsid w:val="008E6FD0"/>
    <w:rsid w:val="008E7531"/>
    <w:rsid w:val="008F1A18"/>
    <w:rsid w:val="008F28F6"/>
    <w:rsid w:val="008F321D"/>
    <w:rsid w:val="008F63BB"/>
    <w:rsid w:val="008F6B7A"/>
    <w:rsid w:val="008F6DC6"/>
    <w:rsid w:val="008F7629"/>
    <w:rsid w:val="00900D33"/>
    <w:rsid w:val="00903062"/>
    <w:rsid w:val="009042D5"/>
    <w:rsid w:val="00904B62"/>
    <w:rsid w:val="00904C06"/>
    <w:rsid w:val="009054B9"/>
    <w:rsid w:val="009054D4"/>
    <w:rsid w:val="00905DDA"/>
    <w:rsid w:val="009066CC"/>
    <w:rsid w:val="00910F40"/>
    <w:rsid w:val="00912ECB"/>
    <w:rsid w:val="00914068"/>
    <w:rsid w:val="00914455"/>
    <w:rsid w:val="00914576"/>
    <w:rsid w:val="00916E33"/>
    <w:rsid w:val="00916F63"/>
    <w:rsid w:val="00917726"/>
    <w:rsid w:val="009177A9"/>
    <w:rsid w:val="00920824"/>
    <w:rsid w:val="009217AF"/>
    <w:rsid w:val="00921AC4"/>
    <w:rsid w:val="00922EFE"/>
    <w:rsid w:val="009232AF"/>
    <w:rsid w:val="00924349"/>
    <w:rsid w:val="00924DF8"/>
    <w:rsid w:val="00925952"/>
    <w:rsid w:val="00926FF5"/>
    <w:rsid w:val="00927837"/>
    <w:rsid w:val="0092796E"/>
    <w:rsid w:val="00927E42"/>
    <w:rsid w:val="00927EA2"/>
    <w:rsid w:val="00930173"/>
    <w:rsid w:val="0093187F"/>
    <w:rsid w:val="00932A78"/>
    <w:rsid w:val="00933E12"/>
    <w:rsid w:val="00934E91"/>
    <w:rsid w:val="0093502E"/>
    <w:rsid w:val="00935BD6"/>
    <w:rsid w:val="00936DCA"/>
    <w:rsid w:val="009374C1"/>
    <w:rsid w:val="00937C5C"/>
    <w:rsid w:val="00940430"/>
    <w:rsid w:val="00942285"/>
    <w:rsid w:val="00943160"/>
    <w:rsid w:val="0094394F"/>
    <w:rsid w:val="0094435C"/>
    <w:rsid w:val="00944DDC"/>
    <w:rsid w:val="009468AB"/>
    <w:rsid w:val="00947980"/>
    <w:rsid w:val="009516D2"/>
    <w:rsid w:val="00955757"/>
    <w:rsid w:val="00955AC5"/>
    <w:rsid w:val="009562AE"/>
    <w:rsid w:val="009564FC"/>
    <w:rsid w:val="0095727F"/>
    <w:rsid w:val="0095734B"/>
    <w:rsid w:val="0096006E"/>
    <w:rsid w:val="00961B99"/>
    <w:rsid w:val="00961FF6"/>
    <w:rsid w:val="009621CB"/>
    <w:rsid w:val="009622C1"/>
    <w:rsid w:val="009636DF"/>
    <w:rsid w:val="00963AED"/>
    <w:rsid w:val="00963D6D"/>
    <w:rsid w:val="00964218"/>
    <w:rsid w:val="00964230"/>
    <w:rsid w:val="00964847"/>
    <w:rsid w:val="00965C02"/>
    <w:rsid w:val="00966D67"/>
    <w:rsid w:val="00970299"/>
    <w:rsid w:val="00970DFB"/>
    <w:rsid w:val="009714AF"/>
    <w:rsid w:val="00971790"/>
    <w:rsid w:val="009751B1"/>
    <w:rsid w:val="00976647"/>
    <w:rsid w:val="009803EB"/>
    <w:rsid w:val="00980606"/>
    <w:rsid w:val="009806A5"/>
    <w:rsid w:val="00980E6C"/>
    <w:rsid w:val="0098265F"/>
    <w:rsid w:val="00982B1C"/>
    <w:rsid w:val="00983741"/>
    <w:rsid w:val="00983B69"/>
    <w:rsid w:val="00983BB0"/>
    <w:rsid w:val="009864DF"/>
    <w:rsid w:val="00986B8F"/>
    <w:rsid w:val="00990790"/>
    <w:rsid w:val="0099093C"/>
    <w:rsid w:val="009909EF"/>
    <w:rsid w:val="00990F3B"/>
    <w:rsid w:val="00991566"/>
    <w:rsid w:val="00993C6B"/>
    <w:rsid w:val="00994A43"/>
    <w:rsid w:val="00994F56"/>
    <w:rsid w:val="009953B7"/>
    <w:rsid w:val="009958FE"/>
    <w:rsid w:val="00997204"/>
    <w:rsid w:val="00997636"/>
    <w:rsid w:val="009A10D8"/>
    <w:rsid w:val="009A31D1"/>
    <w:rsid w:val="009A3FB2"/>
    <w:rsid w:val="009A7966"/>
    <w:rsid w:val="009B0690"/>
    <w:rsid w:val="009B0C87"/>
    <w:rsid w:val="009B0D81"/>
    <w:rsid w:val="009B25C4"/>
    <w:rsid w:val="009B2952"/>
    <w:rsid w:val="009B2CEB"/>
    <w:rsid w:val="009B3EB6"/>
    <w:rsid w:val="009B46E3"/>
    <w:rsid w:val="009B5CE7"/>
    <w:rsid w:val="009B790D"/>
    <w:rsid w:val="009B7CD3"/>
    <w:rsid w:val="009C0C75"/>
    <w:rsid w:val="009C128A"/>
    <w:rsid w:val="009C13A6"/>
    <w:rsid w:val="009C1482"/>
    <w:rsid w:val="009C16C7"/>
    <w:rsid w:val="009C1B4B"/>
    <w:rsid w:val="009C1FDB"/>
    <w:rsid w:val="009C4B03"/>
    <w:rsid w:val="009C4E23"/>
    <w:rsid w:val="009C6C06"/>
    <w:rsid w:val="009D04C8"/>
    <w:rsid w:val="009D1E7E"/>
    <w:rsid w:val="009D2C98"/>
    <w:rsid w:val="009D2CEB"/>
    <w:rsid w:val="009D2E96"/>
    <w:rsid w:val="009D3C46"/>
    <w:rsid w:val="009D4556"/>
    <w:rsid w:val="009D619F"/>
    <w:rsid w:val="009D62FC"/>
    <w:rsid w:val="009D64DC"/>
    <w:rsid w:val="009D7F4C"/>
    <w:rsid w:val="009E3C5F"/>
    <w:rsid w:val="009E3D88"/>
    <w:rsid w:val="009E7C18"/>
    <w:rsid w:val="009E7C38"/>
    <w:rsid w:val="009F0572"/>
    <w:rsid w:val="009F061A"/>
    <w:rsid w:val="009F0E71"/>
    <w:rsid w:val="009F342B"/>
    <w:rsid w:val="009F599F"/>
    <w:rsid w:val="009F5F53"/>
    <w:rsid w:val="009F686A"/>
    <w:rsid w:val="009F6C06"/>
    <w:rsid w:val="009F6CC6"/>
    <w:rsid w:val="009F7991"/>
    <w:rsid w:val="00A0073D"/>
    <w:rsid w:val="00A01DA9"/>
    <w:rsid w:val="00A02981"/>
    <w:rsid w:val="00A03514"/>
    <w:rsid w:val="00A03972"/>
    <w:rsid w:val="00A044AE"/>
    <w:rsid w:val="00A04A5C"/>
    <w:rsid w:val="00A06D8E"/>
    <w:rsid w:val="00A0714B"/>
    <w:rsid w:val="00A074CD"/>
    <w:rsid w:val="00A13DE8"/>
    <w:rsid w:val="00A150F9"/>
    <w:rsid w:val="00A16041"/>
    <w:rsid w:val="00A16C60"/>
    <w:rsid w:val="00A16EBA"/>
    <w:rsid w:val="00A17A23"/>
    <w:rsid w:val="00A17D55"/>
    <w:rsid w:val="00A2089A"/>
    <w:rsid w:val="00A20A84"/>
    <w:rsid w:val="00A20F3B"/>
    <w:rsid w:val="00A21390"/>
    <w:rsid w:val="00A218B9"/>
    <w:rsid w:val="00A22B01"/>
    <w:rsid w:val="00A230E3"/>
    <w:rsid w:val="00A231DD"/>
    <w:rsid w:val="00A23DF6"/>
    <w:rsid w:val="00A24568"/>
    <w:rsid w:val="00A25192"/>
    <w:rsid w:val="00A25A52"/>
    <w:rsid w:val="00A27C04"/>
    <w:rsid w:val="00A30002"/>
    <w:rsid w:val="00A30168"/>
    <w:rsid w:val="00A30874"/>
    <w:rsid w:val="00A314F2"/>
    <w:rsid w:val="00A32EDF"/>
    <w:rsid w:val="00A33B61"/>
    <w:rsid w:val="00A36491"/>
    <w:rsid w:val="00A372EA"/>
    <w:rsid w:val="00A37957"/>
    <w:rsid w:val="00A407B2"/>
    <w:rsid w:val="00A418CA"/>
    <w:rsid w:val="00A41A2C"/>
    <w:rsid w:val="00A4249C"/>
    <w:rsid w:val="00A42A69"/>
    <w:rsid w:val="00A42CC1"/>
    <w:rsid w:val="00A44065"/>
    <w:rsid w:val="00A44A89"/>
    <w:rsid w:val="00A45468"/>
    <w:rsid w:val="00A45EC3"/>
    <w:rsid w:val="00A46021"/>
    <w:rsid w:val="00A465A0"/>
    <w:rsid w:val="00A47D2E"/>
    <w:rsid w:val="00A52464"/>
    <w:rsid w:val="00A526E2"/>
    <w:rsid w:val="00A52828"/>
    <w:rsid w:val="00A54BE4"/>
    <w:rsid w:val="00A5585F"/>
    <w:rsid w:val="00A559C9"/>
    <w:rsid w:val="00A55A2B"/>
    <w:rsid w:val="00A55C0C"/>
    <w:rsid w:val="00A56740"/>
    <w:rsid w:val="00A579E4"/>
    <w:rsid w:val="00A622F9"/>
    <w:rsid w:val="00A62AB3"/>
    <w:rsid w:val="00A63E3F"/>
    <w:rsid w:val="00A642CC"/>
    <w:rsid w:val="00A65218"/>
    <w:rsid w:val="00A65554"/>
    <w:rsid w:val="00A65F80"/>
    <w:rsid w:val="00A67D55"/>
    <w:rsid w:val="00A70748"/>
    <w:rsid w:val="00A71826"/>
    <w:rsid w:val="00A72365"/>
    <w:rsid w:val="00A74639"/>
    <w:rsid w:val="00A75ECB"/>
    <w:rsid w:val="00A76734"/>
    <w:rsid w:val="00A81718"/>
    <w:rsid w:val="00A83279"/>
    <w:rsid w:val="00A86308"/>
    <w:rsid w:val="00A864F7"/>
    <w:rsid w:val="00A87179"/>
    <w:rsid w:val="00A90697"/>
    <w:rsid w:val="00A90CD4"/>
    <w:rsid w:val="00A90E4B"/>
    <w:rsid w:val="00A922C8"/>
    <w:rsid w:val="00A924FA"/>
    <w:rsid w:val="00A933BF"/>
    <w:rsid w:val="00A93C56"/>
    <w:rsid w:val="00A94178"/>
    <w:rsid w:val="00A94B7C"/>
    <w:rsid w:val="00A94B93"/>
    <w:rsid w:val="00A9580F"/>
    <w:rsid w:val="00A95A56"/>
    <w:rsid w:val="00A961E2"/>
    <w:rsid w:val="00A970AA"/>
    <w:rsid w:val="00A973AD"/>
    <w:rsid w:val="00A97581"/>
    <w:rsid w:val="00AA0A77"/>
    <w:rsid w:val="00AA0C68"/>
    <w:rsid w:val="00AA1A09"/>
    <w:rsid w:val="00AA1CAB"/>
    <w:rsid w:val="00AA22E2"/>
    <w:rsid w:val="00AA3660"/>
    <w:rsid w:val="00AA36E0"/>
    <w:rsid w:val="00AA3A4A"/>
    <w:rsid w:val="00AA442B"/>
    <w:rsid w:val="00AA47C4"/>
    <w:rsid w:val="00AA68D9"/>
    <w:rsid w:val="00AA7291"/>
    <w:rsid w:val="00AB2782"/>
    <w:rsid w:val="00AB40CF"/>
    <w:rsid w:val="00AB429D"/>
    <w:rsid w:val="00AB543C"/>
    <w:rsid w:val="00AB690F"/>
    <w:rsid w:val="00AB6A1A"/>
    <w:rsid w:val="00AB6F02"/>
    <w:rsid w:val="00AC0D07"/>
    <w:rsid w:val="00AC104E"/>
    <w:rsid w:val="00AC11E4"/>
    <w:rsid w:val="00AC1BEC"/>
    <w:rsid w:val="00AC239E"/>
    <w:rsid w:val="00AC3FBA"/>
    <w:rsid w:val="00AC4881"/>
    <w:rsid w:val="00AC52E6"/>
    <w:rsid w:val="00AC5902"/>
    <w:rsid w:val="00AC6056"/>
    <w:rsid w:val="00AC7D89"/>
    <w:rsid w:val="00AD0182"/>
    <w:rsid w:val="00AD02B4"/>
    <w:rsid w:val="00AD05B1"/>
    <w:rsid w:val="00AD254C"/>
    <w:rsid w:val="00AD325A"/>
    <w:rsid w:val="00AD6BE9"/>
    <w:rsid w:val="00AE0AE9"/>
    <w:rsid w:val="00AE0D20"/>
    <w:rsid w:val="00AE161D"/>
    <w:rsid w:val="00AE22D6"/>
    <w:rsid w:val="00AE2DCE"/>
    <w:rsid w:val="00AE2DD1"/>
    <w:rsid w:val="00AE3160"/>
    <w:rsid w:val="00AE4848"/>
    <w:rsid w:val="00AE4D12"/>
    <w:rsid w:val="00AE5044"/>
    <w:rsid w:val="00AE571A"/>
    <w:rsid w:val="00AE6EEF"/>
    <w:rsid w:val="00AE75EB"/>
    <w:rsid w:val="00AF0139"/>
    <w:rsid w:val="00AF1DDA"/>
    <w:rsid w:val="00AF2645"/>
    <w:rsid w:val="00AF4062"/>
    <w:rsid w:val="00AF519E"/>
    <w:rsid w:val="00AF5449"/>
    <w:rsid w:val="00AF5B90"/>
    <w:rsid w:val="00AF6274"/>
    <w:rsid w:val="00B01100"/>
    <w:rsid w:val="00B01E1C"/>
    <w:rsid w:val="00B04049"/>
    <w:rsid w:val="00B04561"/>
    <w:rsid w:val="00B05832"/>
    <w:rsid w:val="00B061EC"/>
    <w:rsid w:val="00B06ACE"/>
    <w:rsid w:val="00B07369"/>
    <w:rsid w:val="00B1012F"/>
    <w:rsid w:val="00B10940"/>
    <w:rsid w:val="00B115F4"/>
    <w:rsid w:val="00B1190E"/>
    <w:rsid w:val="00B12577"/>
    <w:rsid w:val="00B12F8E"/>
    <w:rsid w:val="00B13156"/>
    <w:rsid w:val="00B14925"/>
    <w:rsid w:val="00B149F7"/>
    <w:rsid w:val="00B14FB2"/>
    <w:rsid w:val="00B15697"/>
    <w:rsid w:val="00B156F9"/>
    <w:rsid w:val="00B17189"/>
    <w:rsid w:val="00B17588"/>
    <w:rsid w:val="00B1778E"/>
    <w:rsid w:val="00B17D86"/>
    <w:rsid w:val="00B2273C"/>
    <w:rsid w:val="00B229DB"/>
    <w:rsid w:val="00B2503A"/>
    <w:rsid w:val="00B25775"/>
    <w:rsid w:val="00B26479"/>
    <w:rsid w:val="00B274EA"/>
    <w:rsid w:val="00B27667"/>
    <w:rsid w:val="00B27C56"/>
    <w:rsid w:val="00B27DBF"/>
    <w:rsid w:val="00B308B4"/>
    <w:rsid w:val="00B32171"/>
    <w:rsid w:val="00B325A1"/>
    <w:rsid w:val="00B33194"/>
    <w:rsid w:val="00B33327"/>
    <w:rsid w:val="00B333F0"/>
    <w:rsid w:val="00B3407B"/>
    <w:rsid w:val="00B340BD"/>
    <w:rsid w:val="00B343FE"/>
    <w:rsid w:val="00B34FC7"/>
    <w:rsid w:val="00B3791C"/>
    <w:rsid w:val="00B417C4"/>
    <w:rsid w:val="00B419B5"/>
    <w:rsid w:val="00B4226B"/>
    <w:rsid w:val="00B43558"/>
    <w:rsid w:val="00B43C65"/>
    <w:rsid w:val="00B45102"/>
    <w:rsid w:val="00B50F5E"/>
    <w:rsid w:val="00B51788"/>
    <w:rsid w:val="00B52D1C"/>
    <w:rsid w:val="00B52EC2"/>
    <w:rsid w:val="00B5322C"/>
    <w:rsid w:val="00B53512"/>
    <w:rsid w:val="00B55636"/>
    <w:rsid w:val="00B55D06"/>
    <w:rsid w:val="00B56B51"/>
    <w:rsid w:val="00B571FD"/>
    <w:rsid w:val="00B578C0"/>
    <w:rsid w:val="00B608C6"/>
    <w:rsid w:val="00B60B1C"/>
    <w:rsid w:val="00B62777"/>
    <w:rsid w:val="00B62BAB"/>
    <w:rsid w:val="00B6453B"/>
    <w:rsid w:val="00B6545E"/>
    <w:rsid w:val="00B657AC"/>
    <w:rsid w:val="00B66ADE"/>
    <w:rsid w:val="00B70BC0"/>
    <w:rsid w:val="00B71C02"/>
    <w:rsid w:val="00B72F83"/>
    <w:rsid w:val="00B7340D"/>
    <w:rsid w:val="00B73982"/>
    <w:rsid w:val="00B748AA"/>
    <w:rsid w:val="00B754F4"/>
    <w:rsid w:val="00B76B53"/>
    <w:rsid w:val="00B80F24"/>
    <w:rsid w:val="00B82499"/>
    <w:rsid w:val="00B82DD8"/>
    <w:rsid w:val="00B83DDD"/>
    <w:rsid w:val="00B83F2E"/>
    <w:rsid w:val="00B84201"/>
    <w:rsid w:val="00B85158"/>
    <w:rsid w:val="00B86B02"/>
    <w:rsid w:val="00B8751B"/>
    <w:rsid w:val="00B87807"/>
    <w:rsid w:val="00B908DA"/>
    <w:rsid w:val="00B90FEF"/>
    <w:rsid w:val="00B916A1"/>
    <w:rsid w:val="00B9239B"/>
    <w:rsid w:val="00B9323C"/>
    <w:rsid w:val="00B93BB1"/>
    <w:rsid w:val="00B93E26"/>
    <w:rsid w:val="00B94B7F"/>
    <w:rsid w:val="00B95240"/>
    <w:rsid w:val="00B95DA0"/>
    <w:rsid w:val="00B9718C"/>
    <w:rsid w:val="00B97EAE"/>
    <w:rsid w:val="00BA014C"/>
    <w:rsid w:val="00BA2266"/>
    <w:rsid w:val="00BA27B7"/>
    <w:rsid w:val="00BA383F"/>
    <w:rsid w:val="00BA4234"/>
    <w:rsid w:val="00BA4553"/>
    <w:rsid w:val="00BA5661"/>
    <w:rsid w:val="00BA5861"/>
    <w:rsid w:val="00BA62F4"/>
    <w:rsid w:val="00BA6417"/>
    <w:rsid w:val="00BA6BA3"/>
    <w:rsid w:val="00BA7DB4"/>
    <w:rsid w:val="00BB014F"/>
    <w:rsid w:val="00BB0D0F"/>
    <w:rsid w:val="00BB1775"/>
    <w:rsid w:val="00BB321F"/>
    <w:rsid w:val="00BB3F0C"/>
    <w:rsid w:val="00BB481D"/>
    <w:rsid w:val="00BB5D7A"/>
    <w:rsid w:val="00BB5DA5"/>
    <w:rsid w:val="00BB7C6E"/>
    <w:rsid w:val="00BC03A4"/>
    <w:rsid w:val="00BC1A5C"/>
    <w:rsid w:val="00BC1C8A"/>
    <w:rsid w:val="00BC26D4"/>
    <w:rsid w:val="00BC2AB8"/>
    <w:rsid w:val="00BC346F"/>
    <w:rsid w:val="00BC47EA"/>
    <w:rsid w:val="00BC5492"/>
    <w:rsid w:val="00BC65D4"/>
    <w:rsid w:val="00BC6CEE"/>
    <w:rsid w:val="00BC7EDB"/>
    <w:rsid w:val="00BD128E"/>
    <w:rsid w:val="00BD158B"/>
    <w:rsid w:val="00BD1D0B"/>
    <w:rsid w:val="00BD3B66"/>
    <w:rsid w:val="00BD46A6"/>
    <w:rsid w:val="00BD4760"/>
    <w:rsid w:val="00BD6334"/>
    <w:rsid w:val="00BD7AF5"/>
    <w:rsid w:val="00BE0535"/>
    <w:rsid w:val="00BE07D7"/>
    <w:rsid w:val="00BE1066"/>
    <w:rsid w:val="00BE28EE"/>
    <w:rsid w:val="00BE4081"/>
    <w:rsid w:val="00BE5501"/>
    <w:rsid w:val="00BE6502"/>
    <w:rsid w:val="00BF0B26"/>
    <w:rsid w:val="00BF138F"/>
    <w:rsid w:val="00BF142E"/>
    <w:rsid w:val="00BF168F"/>
    <w:rsid w:val="00BF2131"/>
    <w:rsid w:val="00BF2397"/>
    <w:rsid w:val="00BF47A6"/>
    <w:rsid w:val="00BF4F4F"/>
    <w:rsid w:val="00BF5DF4"/>
    <w:rsid w:val="00BF6B2E"/>
    <w:rsid w:val="00BF6C25"/>
    <w:rsid w:val="00BF6F14"/>
    <w:rsid w:val="00BF6F3B"/>
    <w:rsid w:val="00C003C4"/>
    <w:rsid w:val="00C00421"/>
    <w:rsid w:val="00C01AB2"/>
    <w:rsid w:val="00C0594E"/>
    <w:rsid w:val="00C0596D"/>
    <w:rsid w:val="00C0799C"/>
    <w:rsid w:val="00C07B4D"/>
    <w:rsid w:val="00C102BF"/>
    <w:rsid w:val="00C1180A"/>
    <w:rsid w:val="00C11A33"/>
    <w:rsid w:val="00C12F8C"/>
    <w:rsid w:val="00C130B3"/>
    <w:rsid w:val="00C13B93"/>
    <w:rsid w:val="00C13FCC"/>
    <w:rsid w:val="00C14046"/>
    <w:rsid w:val="00C15558"/>
    <w:rsid w:val="00C1563D"/>
    <w:rsid w:val="00C157A7"/>
    <w:rsid w:val="00C15F92"/>
    <w:rsid w:val="00C1613A"/>
    <w:rsid w:val="00C16F6E"/>
    <w:rsid w:val="00C172DD"/>
    <w:rsid w:val="00C178E7"/>
    <w:rsid w:val="00C2020A"/>
    <w:rsid w:val="00C214C4"/>
    <w:rsid w:val="00C215DF"/>
    <w:rsid w:val="00C21D4B"/>
    <w:rsid w:val="00C2448D"/>
    <w:rsid w:val="00C245AB"/>
    <w:rsid w:val="00C2495B"/>
    <w:rsid w:val="00C26FAC"/>
    <w:rsid w:val="00C271A3"/>
    <w:rsid w:val="00C27952"/>
    <w:rsid w:val="00C27D52"/>
    <w:rsid w:val="00C309AA"/>
    <w:rsid w:val="00C30C50"/>
    <w:rsid w:val="00C30ECB"/>
    <w:rsid w:val="00C31276"/>
    <w:rsid w:val="00C31381"/>
    <w:rsid w:val="00C33809"/>
    <w:rsid w:val="00C35121"/>
    <w:rsid w:val="00C35261"/>
    <w:rsid w:val="00C35668"/>
    <w:rsid w:val="00C358A3"/>
    <w:rsid w:val="00C37373"/>
    <w:rsid w:val="00C37698"/>
    <w:rsid w:val="00C37AE9"/>
    <w:rsid w:val="00C43AE2"/>
    <w:rsid w:val="00C456F8"/>
    <w:rsid w:val="00C45827"/>
    <w:rsid w:val="00C462E2"/>
    <w:rsid w:val="00C472FC"/>
    <w:rsid w:val="00C47B28"/>
    <w:rsid w:val="00C51E7F"/>
    <w:rsid w:val="00C5200D"/>
    <w:rsid w:val="00C52394"/>
    <w:rsid w:val="00C52721"/>
    <w:rsid w:val="00C528D3"/>
    <w:rsid w:val="00C52C6B"/>
    <w:rsid w:val="00C530BB"/>
    <w:rsid w:val="00C53447"/>
    <w:rsid w:val="00C5529C"/>
    <w:rsid w:val="00C55767"/>
    <w:rsid w:val="00C558FB"/>
    <w:rsid w:val="00C57364"/>
    <w:rsid w:val="00C61AB3"/>
    <w:rsid w:val="00C62036"/>
    <w:rsid w:val="00C62DB5"/>
    <w:rsid w:val="00C62EE0"/>
    <w:rsid w:val="00C63ED3"/>
    <w:rsid w:val="00C64857"/>
    <w:rsid w:val="00C65A20"/>
    <w:rsid w:val="00C65B60"/>
    <w:rsid w:val="00C65D65"/>
    <w:rsid w:val="00C65FC9"/>
    <w:rsid w:val="00C66814"/>
    <w:rsid w:val="00C6708A"/>
    <w:rsid w:val="00C67361"/>
    <w:rsid w:val="00C70611"/>
    <w:rsid w:val="00C713DB"/>
    <w:rsid w:val="00C71538"/>
    <w:rsid w:val="00C72690"/>
    <w:rsid w:val="00C72CA1"/>
    <w:rsid w:val="00C735A3"/>
    <w:rsid w:val="00C73662"/>
    <w:rsid w:val="00C7512D"/>
    <w:rsid w:val="00C75AD7"/>
    <w:rsid w:val="00C75E55"/>
    <w:rsid w:val="00C76DCD"/>
    <w:rsid w:val="00C828C7"/>
    <w:rsid w:val="00C830CD"/>
    <w:rsid w:val="00C831CD"/>
    <w:rsid w:val="00C83A3A"/>
    <w:rsid w:val="00C85BE8"/>
    <w:rsid w:val="00C86198"/>
    <w:rsid w:val="00C92018"/>
    <w:rsid w:val="00C931BD"/>
    <w:rsid w:val="00C9697D"/>
    <w:rsid w:val="00C9698A"/>
    <w:rsid w:val="00C96BF0"/>
    <w:rsid w:val="00CA0BAE"/>
    <w:rsid w:val="00CA2744"/>
    <w:rsid w:val="00CA367C"/>
    <w:rsid w:val="00CA39B9"/>
    <w:rsid w:val="00CA40CE"/>
    <w:rsid w:val="00CA52A9"/>
    <w:rsid w:val="00CA5D61"/>
    <w:rsid w:val="00CA68A4"/>
    <w:rsid w:val="00CB0066"/>
    <w:rsid w:val="00CB0F3F"/>
    <w:rsid w:val="00CB12B9"/>
    <w:rsid w:val="00CB2FAF"/>
    <w:rsid w:val="00CB3A09"/>
    <w:rsid w:val="00CB4CE4"/>
    <w:rsid w:val="00CB5A93"/>
    <w:rsid w:val="00CB7068"/>
    <w:rsid w:val="00CB711C"/>
    <w:rsid w:val="00CB7A93"/>
    <w:rsid w:val="00CC1386"/>
    <w:rsid w:val="00CC198D"/>
    <w:rsid w:val="00CC1E8D"/>
    <w:rsid w:val="00CC5358"/>
    <w:rsid w:val="00CC5ABA"/>
    <w:rsid w:val="00CC64EB"/>
    <w:rsid w:val="00CC66E9"/>
    <w:rsid w:val="00CC6A2A"/>
    <w:rsid w:val="00CC6BE5"/>
    <w:rsid w:val="00CC6BF9"/>
    <w:rsid w:val="00CC6F3A"/>
    <w:rsid w:val="00CC75BD"/>
    <w:rsid w:val="00CD0250"/>
    <w:rsid w:val="00CD02FB"/>
    <w:rsid w:val="00CD0C10"/>
    <w:rsid w:val="00CD134E"/>
    <w:rsid w:val="00CD1DF7"/>
    <w:rsid w:val="00CD2ABB"/>
    <w:rsid w:val="00CD2D6B"/>
    <w:rsid w:val="00CD5E4E"/>
    <w:rsid w:val="00CD70D8"/>
    <w:rsid w:val="00CE0652"/>
    <w:rsid w:val="00CE0DCA"/>
    <w:rsid w:val="00CE2233"/>
    <w:rsid w:val="00CE2476"/>
    <w:rsid w:val="00CE33D0"/>
    <w:rsid w:val="00CE34D8"/>
    <w:rsid w:val="00CE3ACA"/>
    <w:rsid w:val="00CE4832"/>
    <w:rsid w:val="00CE4DFD"/>
    <w:rsid w:val="00CE5924"/>
    <w:rsid w:val="00CE64AE"/>
    <w:rsid w:val="00CE798C"/>
    <w:rsid w:val="00CF11E2"/>
    <w:rsid w:val="00CF1A56"/>
    <w:rsid w:val="00CF2B5A"/>
    <w:rsid w:val="00CF2E08"/>
    <w:rsid w:val="00CF3E27"/>
    <w:rsid w:val="00CF4A41"/>
    <w:rsid w:val="00CF4FFC"/>
    <w:rsid w:val="00CF5CCB"/>
    <w:rsid w:val="00CF5F83"/>
    <w:rsid w:val="00CF64D7"/>
    <w:rsid w:val="00CF65D6"/>
    <w:rsid w:val="00CF74E2"/>
    <w:rsid w:val="00D00A06"/>
    <w:rsid w:val="00D00AF1"/>
    <w:rsid w:val="00D015B2"/>
    <w:rsid w:val="00D0291D"/>
    <w:rsid w:val="00D04809"/>
    <w:rsid w:val="00D05217"/>
    <w:rsid w:val="00D0613B"/>
    <w:rsid w:val="00D064CD"/>
    <w:rsid w:val="00D06AB8"/>
    <w:rsid w:val="00D104EF"/>
    <w:rsid w:val="00D11774"/>
    <w:rsid w:val="00D119C0"/>
    <w:rsid w:val="00D133E3"/>
    <w:rsid w:val="00D1353A"/>
    <w:rsid w:val="00D14292"/>
    <w:rsid w:val="00D143C8"/>
    <w:rsid w:val="00D15766"/>
    <w:rsid w:val="00D1620D"/>
    <w:rsid w:val="00D168B8"/>
    <w:rsid w:val="00D16A60"/>
    <w:rsid w:val="00D1757C"/>
    <w:rsid w:val="00D17AB6"/>
    <w:rsid w:val="00D205A6"/>
    <w:rsid w:val="00D228D3"/>
    <w:rsid w:val="00D24342"/>
    <w:rsid w:val="00D24EF8"/>
    <w:rsid w:val="00D26815"/>
    <w:rsid w:val="00D27044"/>
    <w:rsid w:val="00D27278"/>
    <w:rsid w:val="00D276E3"/>
    <w:rsid w:val="00D27968"/>
    <w:rsid w:val="00D30FBB"/>
    <w:rsid w:val="00D31A93"/>
    <w:rsid w:val="00D31F72"/>
    <w:rsid w:val="00D32243"/>
    <w:rsid w:val="00D32E78"/>
    <w:rsid w:val="00D330AF"/>
    <w:rsid w:val="00D33593"/>
    <w:rsid w:val="00D33922"/>
    <w:rsid w:val="00D35FA2"/>
    <w:rsid w:val="00D36E08"/>
    <w:rsid w:val="00D3751D"/>
    <w:rsid w:val="00D37721"/>
    <w:rsid w:val="00D37FD6"/>
    <w:rsid w:val="00D400F1"/>
    <w:rsid w:val="00D421FB"/>
    <w:rsid w:val="00D42E47"/>
    <w:rsid w:val="00D43444"/>
    <w:rsid w:val="00D4376D"/>
    <w:rsid w:val="00D439CC"/>
    <w:rsid w:val="00D44B3D"/>
    <w:rsid w:val="00D450E5"/>
    <w:rsid w:val="00D46105"/>
    <w:rsid w:val="00D46476"/>
    <w:rsid w:val="00D46912"/>
    <w:rsid w:val="00D46DEE"/>
    <w:rsid w:val="00D473A8"/>
    <w:rsid w:val="00D47975"/>
    <w:rsid w:val="00D47B63"/>
    <w:rsid w:val="00D50233"/>
    <w:rsid w:val="00D502C7"/>
    <w:rsid w:val="00D51C7A"/>
    <w:rsid w:val="00D52A22"/>
    <w:rsid w:val="00D53F04"/>
    <w:rsid w:val="00D55F5B"/>
    <w:rsid w:val="00D563B5"/>
    <w:rsid w:val="00D56596"/>
    <w:rsid w:val="00D56B30"/>
    <w:rsid w:val="00D56C18"/>
    <w:rsid w:val="00D57AC2"/>
    <w:rsid w:val="00D60933"/>
    <w:rsid w:val="00D60B61"/>
    <w:rsid w:val="00D60DF0"/>
    <w:rsid w:val="00D61C95"/>
    <w:rsid w:val="00D62553"/>
    <w:rsid w:val="00D62E1A"/>
    <w:rsid w:val="00D65340"/>
    <w:rsid w:val="00D659DA"/>
    <w:rsid w:val="00D66220"/>
    <w:rsid w:val="00D67151"/>
    <w:rsid w:val="00D679A5"/>
    <w:rsid w:val="00D67B79"/>
    <w:rsid w:val="00D67C1D"/>
    <w:rsid w:val="00D71ABB"/>
    <w:rsid w:val="00D739E9"/>
    <w:rsid w:val="00D73C7A"/>
    <w:rsid w:val="00D75940"/>
    <w:rsid w:val="00D76297"/>
    <w:rsid w:val="00D76382"/>
    <w:rsid w:val="00D76CF2"/>
    <w:rsid w:val="00D76D9F"/>
    <w:rsid w:val="00D774FE"/>
    <w:rsid w:val="00D77730"/>
    <w:rsid w:val="00D8156D"/>
    <w:rsid w:val="00D8157E"/>
    <w:rsid w:val="00D81D87"/>
    <w:rsid w:val="00D82D20"/>
    <w:rsid w:val="00D84E43"/>
    <w:rsid w:val="00D84E46"/>
    <w:rsid w:val="00D8546F"/>
    <w:rsid w:val="00D85FFD"/>
    <w:rsid w:val="00D87173"/>
    <w:rsid w:val="00D87911"/>
    <w:rsid w:val="00D87BD5"/>
    <w:rsid w:val="00D90A7E"/>
    <w:rsid w:val="00D9103F"/>
    <w:rsid w:val="00D935C9"/>
    <w:rsid w:val="00D9362F"/>
    <w:rsid w:val="00D968C5"/>
    <w:rsid w:val="00D97016"/>
    <w:rsid w:val="00DA0612"/>
    <w:rsid w:val="00DA1E6C"/>
    <w:rsid w:val="00DA3A42"/>
    <w:rsid w:val="00DA3A48"/>
    <w:rsid w:val="00DA40AB"/>
    <w:rsid w:val="00DA412E"/>
    <w:rsid w:val="00DA44AF"/>
    <w:rsid w:val="00DA4F15"/>
    <w:rsid w:val="00DB016C"/>
    <w:rsid w:val="00DB0DA5"/>
    <w:rsid w:val="00DB1751"/>
    <w:rsid w:val="00DB1768"/>
    <w:rsid w:val="00DB1837"/>
    <w:rsid w:val="00DB1B0A"/>
    <w:rsid w:val="00DB4150"/>
    <w:rsid w:val="00DB4CD9"/>
    <w:rsid w:val="00DB6F7F"/>
    <w:rsid w:val="00DC03C2"/>
    <w:rsid w:val="00DC1E24"/>
    <w:rsid w:val="00DC517C"/>
    <w:rsid w:val="00DC6565"/>
    <w:rsid w:val="00DC659E"/>
    <w:rsid w:val="00DC772B"/>
    <w:rsid w:val="00DC79BD"/>
    <w:rsid w:val="00DD06C3"/>
    <w:rsid w:val="00DD117E"/>
    <w:rsid w:val="00DD34C0"/>
    <w:rsid w:val="00DD419D"/>
    <w:rsid w:val="00DD4729"/>
    <w:rsid w:val="00DD4D32"/>
    <w:rsid w:val="00DD67AA"/>
    <w:rsid w:val="00DD7030"/>
    <w:rsid w:val="00DD7107"/>
    <w:rsid w:val="00DD722A"/>
    <w:rsid w:val="00DD77D3"/>
    <w:rsid w:val="00DD7E90"/>
    <w:rsid w:val="00DE0B48"/>
    <w:rsid w:val="00DE208B"/>
    <w:rsid w:val="00DE23DE"/>
    <w:rsid w:val="00DE2B35"/>
    <w:rsid w:val="00DE2F39"/>
    <w:rsid w:val="00DE35B5"/>
    <w:rsid w:val="00DE4462"/>
    <w:rsid w:val="00DE45DA"/>
    <w:rsid w:val="00DE5632"/>
    <w:rsid w:val="00DE59D1"/>
    <w:rsid w:val="00DE61C9"/>
    <w:rsid w:val="00DE6C2E"/>
    <w:rsid w:val="00DE7BAF"/>
    <w:rsid w:val="00DF02CB"/>
    <w:rsid w:val="00DF14B6"/>
    <w:rsid w:val="00DF2BF9"/>
    <w:rsid w:val="00DF2F6B"/>
    <w:rsid w:val="00DF345B"/>
    <w:rsid w:val="00DF39B5"/>
    <w:rsid w:val="00DF4C68"/>
    <w:rsid w:val="00DF4DDE"/>
    <w:rsid w:val="00DF512C"/>
    <w:rsid w:val="00DF52C4"/>
    <w:rsid w:val="00DF5663"/>
    <w:rsid w:val="00DF7501"/>
    <w:rsid w:val="00E000C9"/>
    <w:rsid w:val="00E00A7E"/>
    <w:rsid w:val="00E0150B"/>
    <w:rsid w:val="00E02065"/>
    <w:rsid w:val="00E02784"/>
    <w:rsid w:val="00E038FB"/>
    <w:rsid w:val="00E04211"/>
    <w:rsid w:val="00E04584"/>
    <w:rsid w:val="00E0790A"/>
    <w:rsid w:val="00E10943"/>
    <w:rsid w:val="00E156CF"/>
    <w:rsid w:val="00E15F5E"/>
    <w:rsid w:val="00E17903"/>
    <w:rsid w:val="00E204F8"/>
    <w:rsid w:val="00E222C4"/>
    <w:rsid w:val="00E22A31"/>
    <w:rsid w:val="00E23605"/>
    <w:rsid w:val="00E239D1"/>
    <w:rsid w:val="00E24748"/>
    <w:rsid w:val="00E250CC"/>
    <w:rsid w:val="00E25468"/>
    <w:rsid w:val="00E26852"/>
    <w:rsid w:val="00E31EDA"/>
    <w:rsid w:val="00E321A3"/>
    <w:rsid w:val="00E32BA4"/>
    <w:rsid w:val="00E3379D"/>
    <w:rsid w:val="00E341FF"/>
    <w:rsid w:val="00E34C02"/>
    <w:rsid w:val="00E34F8C"/>
    <w:rsid w:val="00E3505E"/>
    <w:rsid w:val="00E35901"/>
    <w:rsid w:val="00E3611C"/>
    <w:rsid w:val="00E40E8D"/>
    <w:rsid w:val="00E41A5F"/>
    <w:rsid w:val="00E41D96"/>
    <w:rsid w:val="00E42D51"/>
    <w:rsid w:val="00E43643"/>
    <w:rsid w:val="00E451B9"/>
    <w:rsid w:val="00E45224"/>
    <w:rsid w:val="00E45C5B"/>
    <w:rsid w:val="00E461C2"/>
    <w:rsid w:val="00E50FCE"/>
    <w:rsid w:val="00E513CF"/>
    <w:rsid w:val="00E516B4"/>
    <w:rsid w:val="00E528B1"/>
    <w:rsid w:val="00E539E0"/>
    <w:rsid w:val="00E53C72"/>
    <w:rsid w:val="00E550E3"/>
    <w:rsid w:val="00E55CB7"/>
    <w:rsid w:val="00E56E2D"/>
    <w:rsid w:val="00E572E7"/>
    <w:rsid w:val="00E60D0E"/>
    <w:rsid w:val="00E62551"/>
    <w:rsid w:val="00E627B5"/>
    <w:rsid w:val="00E628D7"/>
    <w:rsid w:val="00E64E9A"/>
    <w:rsid w:val="00E65C07"/>
    <w:rsid w:val="00E661FC"/>
    <w:rsid w:val="00E66C44"/>
    <w:rsid w:val="00E700F1"/>
    <w:rsid w:val="00E70AAC"/>
    <w:rsid w:val="00E70F61"/>
    <w:rsid w:val="00E712F1"/>
    <w:rsid w:val="00E7268B"/>
    <w:rsid w:val="00E7449F"/>
    <w:rsid w:val="00E7544B"/>
    <w:rsid w:val="00E75494"/>
    <w:rsid w:val="00E75661"/>
    <w:rsid w:val="00E777E6"/>
    <w:rsid w:val="00E800ED"/>
    <w:rsid w:val="00E8011A"/>
    <w:rsid w:val="00E819C4"/>
    <w:rsid w:val="00E81B8D"/>
    <w:rsid w:val="00E82690"/>
    <w:rsid w:val="00E827C8"/>
    <w:rsid w:val="00E82B43"/>
    <w:rsid w:val="00E83AE8"/>
    <w:rsid w:val="00E83D2F"/>
    <w:rsid w:val="00E851C9"/>
    <w:rsid w:val="00E85B7F"/>
    <w:rsid w:val="00E85D68"/>
    <w:rsid w:val="00E92BE8"/>
    <w:rsid w:val="00E9385A"/>
    <w:rsid w:val="00E93AE3"/>
    <w:rsid w:val="00E93EDE"/>
    <w:rsid w:val="00E9458B"/>
    <w:rsid w:val="00E95299"/>
    <w:rsid w:val="00E955D7"/>
    <w:rsid w:val="00E95B30"/>
    <w:rsid w:val="00E95B98"/>
    <w:rsid w:val="00E961A3"/>
    <w:rsid w:val="00E96A76"/>
    <w:rsid w:val="00E979B5"/>
    <w:rsid w:val="00EA0090"/>
    <w:rsid w:val="00EA0688"/>
    <w:rsid w:val="00EA0D2C"/>
    <w:rsid w:val="00EA17B7"/>
    <w:rsid w:val="00EA34A8"/>
    <w:rsid w:val="00EA4A7F"/>
    <w:rsid w:val="00EA502C"/>
    <w:rsid w:val="00EA63CB"/>
    <w:rsid w:val="00EA6865"/>
    <w:rsid w:val="00EA6F21"/>
    <w:rsid w:val="00EA75F6"/>
    <w:rsid w:val="00EA7CC4"/>
    <w:rsid w:val="00EB0962"/>
    <w:rsid w:val="00EB13CC"/>
    <w:rsid w:val="00EB1445"/>
    <w:rsid w:val="00EB265C"/>
    <w:rsid w:val="00EB27F8"/>
    <w:rsid w:val="00EB2AAD"/>
    <w:rsid w:val="00EB3012"/>
    <w:rsid w:val="00EB50D4"/>
    <w:rsid w:val="00EB6CD2"/>
    <w:rsid w:val="00EC06FD"/>
    <w:rsid w:val="00EC2A1B"/>
    <w:rsid w:val="00EC55DC"/>
    <w:rsid w:val="00EC62E4"/>
    <w:rsid w:val="00EC66A4"/>
    <w:rsid w:val="00ED0D5B"/>
    <w:rsid w:val="00ED16A4"/>
    <w:rsid w:val="00ED23BD"/>
    <w:rsid w:val="00ED2A11"/>
    <w:rsid w:val="00ED2D47"/>
    <w:rsid w:val="00ED2D67"/>
    <w:rsid w:val="00ED37BB"/>
    <w:rsid w:val="00ED50FB"/>
    <w:rsid w:val="00ED5C3B"/>
    <w:rsid w:val="00ED6BF5"/>
    <w:rsid w:val="00ED6FA8"/>
    <w:rsid w:val="00ED7D1C"/>
    <w:rsid w:val="00EE3153"/>
    <w:rsid w:val="00EE3FCB"/>
    <w:rsid w:val="00EE564B"/>
    <w:rsid w:val="00EE6EEF"/>
    <w:rsid w:val="00EE7B98"/>
    <w:rsid w:val="00EE7F20"/>
    <w:rsid w:val="00EF0135"/>
    <w:rsid w:val="00EF10C6"/>
    <w:rsid w:val="00EF2F7D"/>
    <w:rsid w:val="00EF50E5"/>
    <w:rsid w:val="00EF5486"/>
    <w:rsid w:val="00EF5B58"/>
    <w:rsid w:val="00F003DB"/>
    <w:rsid w:val="00F00A2C"/>
    <w:rsid w:val="00F00D53"/>
    <w:rsid w:val="00F01310"/>
    <w:rsid w:val="00F02902"/>
    <w:rsid w:val="00F02C02"/>
    <w:rsid w:val="00F02E66"/>
    <w:rsid w:val="00F039CA"/>
    <w:rsid w:val="00F039CE"/>
    <w:rsid w:val="00F040A0"/>
    <w:rsid w:val="00F042DC"/>
    <w:rsid w:val="00F0433B"/>
    <w:rsid w:val="00F0434A"/>
    <w:rsid w:val="00F0488E"/>
    <w:rsid w:val="00F04E9B"/>
    <w:rsid w:val="00F0507E"/>
    <w:rsid w:val="00F05A70"/>
    <w:rsid w:val="00F05BAB"/>
    <w:rsid w:val="00F06126"/>
    <w:rsid w:val="00F06926"/>
    <w:rsid w:val="00F07115"/>
    <w:rsid w:val="00F1024B"/>
    <w:rsid w:val="00F10E99"/>
    <w:rsid w:val="00F12FFC"/>
    <w:rsid w:val="00F13461"/>
    <w:rsid w:val="00F136BA"/>
    <w:rsid w:val="00F14C1D"/>
    <w:rsid w:val="00F16955"/>
    <w:rsid w:val="00F174E6"/>
    <w:rsid w:val="00F179F1"/>
    <w:rsid w:val="00F17F3F"/>
    <w:rsid w:val="00F2217F"/>
    <w:rsid w:val="00F22E25"/>
    <w:rsid w:val="00F243C0"/>
    <w:rsid w:val="00F26165"/>
    <w:rsid w:val="00F2616A"/>
    <w:rsid w:val="00F303CA"/>
    <w:rsid w:val="00F30946"/>
    <w:rsid w:val="00F30ACC"/>
    <w:rsid w:val="00F32DB0"/>
    <w:rsid w:val="00F32F6C"/>
    <w:rsid w:val="00F33AD0"/>
    <w:rsid w:val="00F3458D"/>
    <w:rsid w:val="00F34EF6"/>
    <w:rsid w:val="00F36D06"/>
    <w:rsid w:val="00F40CE1"/>
    <w:rsid w:val="00F41B63"/>
    <w:rsid w:val="00F424D4"/>
    <w:rsid w:val="00F44254"/>
    <w:rsid w:val="00F45258"/>
    <w:rsid w:val="00F46CF6"/>
    <w:rsid w:val="00F50792"/>
    <w:rsid w:val="00F5193D"/>
    <w:rsid w:val="00F51D81"/>
    <w:rsid w:val="00F52AC8"/>
    <w:rsid w:val="00F53562"/>
    <w:rsid w:val="00F55287"/>
    <w:rsid w:val="00F55A18"/>
    <w:rsid w:val="00F5627D"/>
    <w:rsid w:val="00F57CDE"/>
    <w:rsid w:val="00F57E07"/>
    <w:rsid w:val="00F60A0B"/>
    <w:rsid w:val="00F6223C"/>
    <w:rsid w:val="00F63102"/>
    <w:rsid w:val="00F63294"/>
    <w:rsid w:val="00F64262"/>
    <w:rsid w:val="00F6536F"/>
    <w:rsid w:val="00F6546B"/>
    <w:rsid w:val="00F65D1C"/>
    <w:rsid w:val="00F666ED"/>
    <w:rsid w:val="00F71391"/>
    <w:rsid w:val="00F73D71"/>
    <w:rsid w:val="00F74839"/>
    <w:rsid w:val="00F74983"/>
    <w:rsid w:val="00F76023"/>
    <w:rsid w:val="00F76125"/>
    <w:rsid w:val="00F7630D"/>
    <w:rsid w:val="00F76BBC"/>
    <w:rsid w:val="00F776CD"/>
    <w:rsid w:val="00F77D1F"/>
    <w:rsid w:val="00F77DA7"/>
    <w:rsid w:val="00F803A8"/>
    <w:rsid w:val="00F81397"/>
    <w:rsid w:val="00F845EE"/>
    <w:rsid w:val="00F84A56"/>
    <w:rsid w:val="00F84B08"/>
    <w:rsid w:val="00F86948"/>
    <w:rsid w:val="00F86E49"/>
    <w:rsid w:val="00F87042"/>
    <w:rsid w:val="00F872F5"/>
    <w:rsid w:val="00F87EEE"/>
    <w:rsid w:val="00F91D55"/>
    <w:rsid w:val="00F921C3"/>
    <w:rsid w:val="00F92A8C"/>
    <w:rsid w:val="00F948F4"/>
    <w:rsid w:val="00F949B3"/>
    <w:rsid w:val="00F97107"/>
    <w:rsid w:val="00F974DC"/>
    <w:rsid w:val="00F97AB6"/>
    <w:rsid w:val="00FA1219"/>
    <w:rsid w:val="00FA1B4A"/>
    <w:rsid w:val="00FA3142"/>
    <w:rsid w:val="00FA44CA"/>
    <w:rsid w:val="00FA4B55"/>
    <w:rsid w:val="00FA5B91"/>
    <w:rsid w:val="00FA7983"/>
    <w:rsid w:val="00FA7B06"/>
    <w:rsid w:val="00FB0564"/>
    <w:rsid w:val="00FB0734"/>
    <w:rsid w:val="00FB0869"/>
    <w:rsid w:val="00FB1DDB"/>
    <w:rsid w:val="00FB2D1A"/>
    <w:rsid w:val="00FB3163"/>
    <w:rsid w:val="00FB3F39"/>
    <w:rsid w:val="00FB49D8"/>
    <w:rsid w:val="00FB4A4B"/>
    <w:rsid w:val="00FB5747"/>
    <w:rsid w:val="00FB5A49"/>
    <w:rsid w:val="00FB6E85"/>
    <w:rsid w:val="00FB7061"/>
    <w:rsid w:val="00FC0B7F"/>
    <w:rsid w:val="00FC1A3B"/>
    <w:rsid w:val="00FC371B"/>
    <w:rsid w:val="00FC3FB3"/>
    <w:rsid w:val="00FC4D0E"/>
    <w:rsid w:val="00FC5D1B"/>
    <w:rsid w:val="00FC738D"/>
    <w:rsid w:val="00FC73E0"/>
    <w:rsid w:val="00FD18AF"/>
    <w:rsid w:val="00FD25B5"/>
    <w:rsid w:val="00FD2993"/>
    <w:rsid w:val="00FD3195"/>
    <w:rsid w:val="00FD3906"/>
    <w:rsid w:val="00FD3BD9"/>
    <w:rsid w:val="00FD488C"/>
    <w:rsid w:val="00FD6DA8"/>
    <w:rsid w:val="00FD7554"/>
    <w:rsid w:val="00FD782A"/>
    <w:rsid w:val="00FE02D7"/>
    <w:rsid w:val="00FE0332"/>
    <w:rsid w:val="00FE0422"/>
    <w:rsid w:val="00FE1080"/>
    <w:rsid w:val="00FE122C"/>
    <w:rsid w:val="00FE154B"/>
    <w:rsid w:val="00FE21B6"/>
    <w:rsid w:val="00FE22AD"/>
    <w:rsid w:val="00FE371E"/>
    <w:rsid w:val="00FE6E9D"/>
    <w:rsid w:val="00FE74E0"/>
    <w:rsid w:val="00FF1210"/>
    <w:rsid w:val="00FF17F8"/>
    <w:rsid w:val="00FF1A8E"/>
    <w:rsid w:val="00FF3071"/>
    <w:rsid w:val="00FF4466"/>
    <w:rsid w:val="00FF5916"/>
    <w:rsid w:val="00FF599F"/>
    <w:rsid w:val="00FF5AEA"/>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FBA2"/>
  <w15:docId w15:val="{C8962F94-E838-4B3B-8CAC-93444C7C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4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23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F068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unhideWhenUsed/>
    <w:qFormat/>
    <w:rsid w:val="002F06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4A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0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0F0"/>
  </w:style>
  <w:style w:type="paragraph" w:styleId="Footer">
    <w:name w:val="footer"/>
    <w:basedOn w:val="Normal"/>
    <w:link w:val="FooterChar"/>
    <w:uiPriority w:val="99"/>
    <w:unhideWhenUsed/>
    <w:rsid w:val="005120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0F0"/>
  </w:style>
  <w:style w:type="paragraph" w:styleId="FootnoteText">
    <w:name w:val="footnote text"/>
    <w:aliases w:val="Car Car,Car17,Car1 Car Car,Texto nota pie1 Car,Texto nota pie1,Footnote reference,FA Fu,Footnote Text Char Char Char Char Char,Footnote Text Char Char Char Char,Footnote Text Char Char Char,Car1 Car,Car,Car1 C,Carattere,note"/>
    <w:basedOn w:val="Normal"/>
    <w:link w:val="FootnoteTextChar"/>
    <w:uiPriority w:val="99"/>
    <w:semiHidden/>
    <w:rsid w:val="00014279"/>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Car Car Char,Car17 Char,Car1 Car Car Char,Texto nota pie1 Car Char,Texto nota pie1 Char,Footnote reference Char,FA Fu Char,Footnote Text Char Char Char Char Char Char,Footnote Text Char Char Char Char Char1,Car1 Car Char,Car Char"/>
    <w:basedOn w:val="DefaultParagraphFont"/>
    <w:link w:val="FootnoteText"/>
    <w:uiPriority w:val="99"/>
    <w:semiHidden/>
    <w:rsid w:val="00014279"/>
    <w:rPr>
      <w:rFonts w:ascii="Times New Roman" w:eastAsia="Times New Roman" w:hAnsi="Times New Roman" w:cs="Times New Roman"/>
      <w:sz w:val="20"/>
      <w:szCs w:val="20"/>
      <w:lang w:val="en-GB" w:eastAsia="en-GB"/>
    </w:rPr>
  </w:style>
  <w:style w:type="character" w:styleId="FootnoteReference">
    <w:name w:val="footnote reference"/>
    <w:aliases w:val="art-rjuam,2,Appel note de bas de p..BVI fnr Car Car Car Car Char Char,Ref,de nota al pie,FC,Appel note de bas de p,BVI fnr,Appel note de bas de p..BVI fnr Car Car Car Car Char Char Car,BVI fnr Car Car,PIC Footnote Reference"/>
    <w:basedOn w:val="DefaultParagraphFont"/>
    <w:link w:val="AppelnotedebasdepBVIfnrCarCarCarCar"/>
    <w:rsid w:val="00014279"/>
    <w:rPr>
      <w:vertAlign w:val="superscript"/>
    </w:rPr>
  </w:style>
  <w:style w:type="character" w:styleId="Hyperlink">
    <w:name w:val="Hyperlink"/>
    <w:basedOn w:val="DefaultParagraphFont"/>
    <w:uiPriority w:val="99"/>
    <w:unhideWhenUsed/>
    <w:rsid w:val="003133F8"/>
    <w:rPr>
      <w:color w:val="0000FF" w:themeColor="hyperlink"/>
      <w:u w:val="single"/>
    </w:rPr>
  </w:style>
  <w:style w:type="paragraph" w:styleId="ListParagraph">
    <w:name w:val="List Paragraph"/>
    <w:basedOn w:val="Normal"/>
    <w:uiPriority w:val="34"/>
    <w:qFormat/>
    <w:rsid w:val="00175974"/>
    <w:pPr>
      <w:ind w:left="720"/>
      <w:contextualSpacing/>
    </w:pPr>
  </w:style>
  <w:style w:type="paragraph" w:styleId="NormalWeb">
    <w:name w:val="Normal (Web)"/>
    <w:basedOn w:val="Normal"/>
    <w:uiPriority w:val="99"/>
    <w:unhideWhenUsed/>
    <w:rsid w:val="008969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2F0687"/>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2F0687"/>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F0687"/>
  </w:style>
  <w:style w:type="paragraph" w:styleId="BalloonText">
    <w:name w:val="Balloon Text"/>
    <w:basedOn w:val="Normal"/>
    <w:link w:val="BalloonTextChar"/>
    <w:uiPriority w:val="99"/>
    <w:semiHidden/>
    <w:unhideWhenUsed/>
    <w:rsid w:val="002F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87"/>
    <w:rPr>
      <w:rFonts w:ascii="Tahoma" w:hAnsi="Tahoma" w:cs="Tahoma"/>
      <w:sz w:val="16"/>
      <w:szCs w:val="16"/>
    </w:rPr>
  </w:style>
  <w:style w:type="character" w:customStyle="1" w:styleId="Heading1Char">
    <w:name w:val="Heading 1 Char"/>
    <w:basedOn w:val="DefaultParagraphFont"/>
    <w:link w:val="Heading1"/>
    <w:uiPriority w:val="9"/>
    <w:rsid w:val="004D14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239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16EBA"/>
    <w:rPr>
      <w:color w:val="800080" w:themeColor="followedHyperlink"/>
      <w:u w:val="single"/>
    </w:rPr>
  </w:style>
  <w:style w:type="paragraph" w:styleId="HTMLPreformatted">
    <w:name w:val="HTML Preformatted"/>
    <w:basedOn w:val="Normal"/>
    <w:link w:val="HTMLPreformattedChar"/>
    <w:uiPriority w:val="99"/>
    <w:semiHidden/>
    <w:unhideWhenUsed/>
    <w:rsid w:val="00D82D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D20"/>
    <w:rPr>
      <w:rFonts w:ascii="Consolas" w:hAnsi="Consolas"/>
      <w:sz w:val="20"/>
      <w:szCs w:val="20"/>
    </w:rPr>
  </w:style>
  <w:style w:type="character" w:styleId="CommentReference">
    <w:name w:val="annotation reference"/>
    <w:basedOn w:val="DefaultParagraphFont"/>
    <w:uiPriority w:val="99"/>
    <w:semiHidden/>
    <w:unhideWhenUsed/>
    <w:rsid w:val="00EA63CB"/>
    <w:rPr>
      <w:sz w:val="16"/>
      <w:szCs w:val="16"/>
    </w:rPr>
  </w:style>
  <w:style w:type="paragraph" w:styleId="CommentText">
    <w:name w:val="annotation text"/>
    <w:basedOn w:val="Normal"/>
    <w:link w:val="CommentTextChar"/>
    <w:uiPriority w:val="99"/>
    <w:semiHidden/>
    <w:unhideWhenUsed/>
    <w:rsid w:val="00EA63CB"/>
    <w:pPr>
      <w:spacing w:line="240" w:lineRule="auto"/>
    </w:pPr>
    <w:rPr>
      <w:sz w:val="20"/>
      <w:szCs w:val="20"/>
    </w:rPr>
  </w:style>
  <w:style w:type="character" w:customStyle="1" w:styleId="CommentTextChar">
    <w:name w:val="Comment Text Char"/>
    <w:basedOn w:val="DefaultParagraphFont"/>
    <w:link w:val="CommentText"/>
    <w:uiPriority w:val="99"/>
    <w:semiHidden/>
    <w:rsid w:val="00EA63CB"/>
    <w:rPr>
      <w:sz w:val="20"/>
      <w:szCs w:val="20"/>
    </w:rPr>
  </w:style>
  <w:style w:type="paragraph" w:styleId="CommentSubject">
    <w:name w:val="annotation subject"/>
    <w:basedOn w:val="CommentText"/>
    <w:next w:val="CommentText"/>
    <w:link w:val="CommentSubjectChar"/>
    <w:uiPriority w:val="99"/>
    <w:semiHidden/>
    <w:unhideWhenUsed/>
    <w:rsid w:val="00EA63CB"/>
    <w:rPr>
      <w:b/>
      <w:bCs/>
    </w:rPr>
  </w:style>
  <w:style w:type="character" w:customStyle="1" w:styleId="CommentSubjectChar">
    <w:name w:val="Comment Subject Char"/>
    <w:basedOn w:val="CommentTextChar"/>
    <w:link w:val="CommentSubject"/>
    <w:uiPriority w:val="99"/>
    <w:semiHidden/>
    <w:rsid w:val="00EA63CB"/>
    <w:rPr>
      <w:b/>
      <w:bCs/>
      <w:sz w:val="20"/>
      <w:szCs w:val="20"/>
    </w:rPr>
  </w:style>
  <w:style w:type="character" w:customStyle="1" w:styleId="affairetitle">
    <w:name w:val="affaire_title"/>
    <w:basedOn w:val="DefaultParagraphFont"/>
    <w:rsid w:val="003C71BE"/>
  </w:style>
  <w:style w:type="character" w:customStyle="1" w:styleId="addmd">
    <w:name w:val="addmd"/>
    <w:basedOn w:val="DefaultParagraphFont"/>
    <w:rsid w:val="00381BC9"/>
  </w:style>
  <w:style w:type="paragraph" w:styleId="z-TopofForm">
    <w:name w:val="HTML Top of Form"/>
    <w:basedOn w:val="Normal"/>
    <w:next w:val="Normal"/>
    <w:link w:val="z-TopofFormChar"/>
    <w:hidden/>
    <w:uiPriority w:val="99"/>
    <w:semiHidden/>
    <w:unhideWhenUsed/>
    <w:rsid w:val="00381BC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381BC9"/>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381BC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381BC9"/>
    <w:rPr>
      <w:rFonts w:ascii="Arial" w:eastAsia="Times New Roman" w:hAnsi="Arial" w:cs="Arial"/>
      <w:vanish/>
      <w:sz w:val="16"/>
      <w:szCs w:val="16"/>
      <w:lang w:eastAsia="fr-FR"/>
    </w:rPr>
  </w:style>
  <w:style w:type="character" w:customStyle="1" w:styleId="Heading5Char">
    <w:name w:val="Heading 5 Char"/>
    <w:basedOn w:val="DefaultParagraphFont"/>
    <w:link w:val="Heading5"/>
    <w:uiPriority w:val="9"/>
    <w:rsid w:val="002D4A76"/>
    <w:rPr>
      <w:rFonts w:asciiTheme="majorHAnsi" w:eastAsiaTheme="majorEastAsia" w:hAnsiTheme="majorHAnsi" w:cstheme="majorBidi"/>
      <w:color w:val="365F91" w:themeColor="accent1" w:themeShade="BF"/>
    </w:rPr>
  </w:style>
  <w:style w:type="paragraph" w:styleId="NoSpacing">
    <w:name w:val="No Spacing"/>
    <w:uiPriority w:val="1"/>
    <w:qFormat/>
    <w:rsid w:val="00886F11"/>
    <w:pPr>
      <w:spacing w:after="0" w:line="240" w:lineRule="auto"/>
    </w:pPr>
  </w:style>
  <w:style w:type="paragraph" w:customStyle="1" w:styleId="AppelnotedebasdepBVIfnrCarCarCarCar">
    <w:name w:val="Appel note de bas de p..BVI fnr Car Car Car Car"/>
    <w:basedOn w:val="Normal"/>
    <w:link w:val="FootnoteReference"/>
    <w:rsid w:val="00E461C2"/>
    <w:pPr>
      <w:widowControl w:val="0"/>
      <w:autoSpaceDE w:val="0"/>
      <w:autoSpaceDN w:val="0"/>
      <w:adjustRightInd w:val="0"/>
      <w:spacing w:before="160" w:after="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6025">
      <w:bodyDiv w:val="1"/>
      <w:marLeft w:val="0"/>
      <w:marRight w:val="0"/>
      <w:marTop w:val="0"/>
      <w:marBottom w:val="0"/>
      <w:divBdr>
        <w:top w:val="none" w:sz="0" w:space="0" w:color="auto"/>
        <w:left w:val="none" w:sz="0" w:space="0" w:color="auto"/>
        <w:bottom w:val="none" w:sz="0" w:space="0" w:color="auto"/>
        <w:right w:val="none" w:sz="0" w:space="0" w:color="auto"/>
      </w:divBdr>
    </w:div>
    <w:div w:id="177014559">
      <w:bodyDiv w:val="1"/>
      <w:marLeft w:val="0"/>
      <w:marRight w:val="0"/>
      <w:marTop w:val="0"/>
      <w:marBottom w:val="0"/>
      <w:divBdr>
        <w:top w:val="none" w:sz="0" w:space="0" w:color="auto"/>
        <w:left w:val="none" w:sz="0" w:space="0" w:color="auto"/>
        <w:bottom w:val="none" w:sz="0" w:space="0" w:color="auto"/>
        <w:right w:val="none" w:sz="0" w:space="0" w:color="auto"/>
      </w:divBdr>
    </w:div>
    <w:div w:id="186875812">
      <w:bodyDiv w:val="1"/>
      <w:marLeft w:val="0"/>
      <w:marRight w:val="0"/>
      <w:marTop w:val="0"/>
      <w:marBottom w:val="0"/>
      <w:divBdr>
        <w:top w:val="none" w:sz="0" w:space="0" w:color="auto"/>
        <w:left w:val="none" w:sz="0" w:space="0" w:color="auto"/>
        <w:bottom w:val="none" w:sz="0" w:space="0" w:color="auto"/>
        <w:right w:val="none" w:sz="0" w:space="0" w:color="auto"/>
      </w:divBdr>
      <w:divsChild>
        <w:div w:id="545685386">
          <w:marLeft w:val="0"/>
          <w:marRight w:val="0"/>
          <w:marTop w:val="240"/>
          <w:marBottom w:val="0"/>
          <w:divBdr>
            <w:top w:val="none" w:sz="0" w:space="0" w:color="auto"/>
            <w:left w:val="none" w:sz="0" w:space="0" w:color="auto"/>
            <w:bottom w:val="none" w:sz="0" w:space="0" w:color="auto"/>
            <w:right w:val="none" w:sz="0" w:space="0" w:color="auto"/>
          </w:divBdr>
        </w:div>
      </w:divsChild>
    </w:div>
    <w:div w:id="203298959">
      <w:bodyDiv w:val="1"/>
      <w:marLeft w:val="0"/>
      <w:marRight w:val="0"/>
      <w:marTop w:val="0"/>
      <w:marBottom w:val="0"/>
      <w:divBdr>
        <w:top w:val="none" w:sz="0" w:space="0" w:color="auto"/>
        <w:left w:val="none" w:sz="0" w:space="0" w:color="auto"/>
        <w:bottom w:val="none" w:sz="0" w:space="0" w:color="auto"/>
        <w:right w:val="none" w:sz="0" w:space="0" w:color="auto"/>
      </w:divBdr>
      <w:divsChild>
        <w:div w:id="160125751">
          <w:marLeft w:val="0"/>
          <w:marRight w:val="0"/>
          <w:marTop w:val="0"/>
          <w:marBottom w:val="0"/>
          <w:divBdr>
            <w:top w:val="none" w:sz="0" w:space="0" w:color="auto"/>
            <w:left w:val="none" w:sz="0" w:space="0" w:color="auto"/>
            <w:bottom w:val="none" w:sz="0" w:space="0" w:color="auto"/>
            <w:right w:val="none" w:sz="0" w:space="0" w:color="auto"/>
          </w:divBdr>
          <w:divsChild>
            <w:div w:id="1656301339">
              <w:marLeft w:val="0"/>
              <w:marRight w:val="0"/>
              <w:marTop w:val="0"/>
              <w:marBottom w:val="0"/>
              <w:divBdr>
                <w:top w:val="none" w:sz="0" w:space="0" w:color="auto"/>
                <w:left w:val="none" w:sz="0" w:space="0" w:color="auto"/>
                <w:bottom w:val="none" w:sz="0" w:space="0" w:color="auto"/>
                <w:right w:val="none" w:sz="0" w:space="0" w:color="auto"/>
              </w:divBdr>
              <w:divsChild>
                <w:div w:id="325863634">
                  <w:marLeft w:val="0"/>
                  <w:marRight w:val="0"/>
                  <w:marTop w:val="0"/>
                  <w:marBottom w:val="60"/>
                  <w:divBdr>
                    <w:top w:val="none" w:sz="0" w:space="0" w:color="auto"/>
                    <w:left w:val="none" w:sz="0" w:space="0" w:color="auto"/>
                    <w:bottom w:val="none" w:sz="0" w:space="0" w:color="auto"/>
                    <w:right w:val="none" w:sz="0" w:space="0" w:color="auto"/>
                  </w:divBdr>
                  <w:divsChild>
                    <w:div w:id="889072737">
                      <w:marLeft w:val="0"/>
                      <w:marRight w:val="0"/>
                      <w:marTop w:val="0"/>
                      <w:marBottom w:val="0"/>
                      <w:divBdr>
                        <w:top w:val="none" w:sz="0" w:space="0" w:color="auto"/>
                        <w:left w:val="none" w:sz="0" w:space="0" w:color="auto"/>
                        <w:bottom w:val="none" w:sz="0" w:space="0" w:color="auto"/>
                        <w:right w:val="none" w:sz="0" w:space="0" w:color="auto"/>
                      </w:divBdr>
                    </w:div>
                  </w:divsChild>
                </w:div>
                <w:div w:id="86075952">
                  <w:marLeft w:val="0"/>
                  <w:marRight w:val="0"/>
                  <w:marTop w:val="0"/>
                  <w:marBottom w:val="0"/>
                  <w:divBdr>
                    <w:top w:val="none" w:sz="0" w:space="0" w:color="auto"/>
                    <w:left w:val="none" w:sz="0" w:space="0" w:color="auto"/>
                    <w:bottom w:val="none" w:sz="0" w:space="0" w:color="auto"/>
                    <w:right w:val="none" w:sz="0" w:space="0" w:color="auto"/>
                  </w:divBdr>
                  <w:divsChild>
                    <w:div w:id="15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28410">
      <w:bodyDiv w:val="1"/>
      <w:marLeft w:val="0"/>
      <w:marRight w:val="0"/>
      <w:marTop w:val="0"/>
      <w:marBottom w:val="0"/>
      <w:divBdr>
        <w:top w:val="none" w:sz="0" w:space="0" w:color="auto"/>
        <w:left w:val="none" w:sz="0" w:space="0" w:color="auto"/>
        <w:bottom w:val="none" w:sz="0" w:space="0" w:color="auto"/>
        <w:right w:val="none" w:sz="0" w:space="0" w:color="auto"/>
      </w:divBdr>
      <w:divsChild>
        <w:div w:id="1022589811">
          <w:marLeft w:val="0"/>
          <w:marRight w:val="0"/>
          <w:marTop w:val="0"/>
          <w:marBottom w:val="0"/>
          <w:divBdr>
            <w:top w:val="none" w:sz="0" w:space="0" w:color="auto"/>
            <w:left w:val="none" w:sz="0" w:space="0" w:color="auto"/>
            <w:bottom w:val="none" w:sz="0" w:space="0" w:color="auto"/>
            <w:right w:val="none" w:sz="0" w:space="0" w:color="auto"/>
          </w:divBdr>
        </w:div>
      </w:divsChild>
    </w:div>
    <w:div w:id="361053312">
      <w:bodyDiv w:val="1"/>
      <w:marLeft w:val="0"/>
      <w:marRight w:val="0"/>
      <w:marTop w:val="0"/>
      <w:marBottom w:val="0"/>
      <w:divBdr>
        <w:top w:val="none" w:sz="0" w:space="0" w:color="auto"/>
        <w:left w:val="none" w:sz="0" w:space="0" w:color="auto"/>
        <w:bottom w:val="none" w:sz="0" w:space="0" w:color="auto"/>
        <w:right w:val="none" w:sz="0" w:space="0" w:color="auto"/>
      </w:divBdr>
    </w:div>
    <w:div w:id="403189253">
      <w:bodyDiv w:val="1"/>
      <w:marLeft w:val="0"/>
      <w:marRight w:val="0"/>
      <w:marTop w:val="0"/>
      <w:marBottom w:val="0"/>
      <w:divBdr>
        <w:top w:val="none" w:sz="0" w:space="0" w:color="auto"/>
        <w:left w:val="none" w:sz="0" w:space="0" w:color="auto"/>
        <w:bottom w:val="none" w:sz="0" w:space="0" w:color="auto"/>
        <w:right w:val="none" w:sz="0" w:space="0" w:color="auto"/>
      </w:divBdr>
    </w:div>
    <w:div w:id="477919251">
      <w:bodyDiv w:val="1"/>
      <w:marLeft w:val="0"/>
      <w:marRight w:val="0"/>
      <w:marTop w:val="0"/>
      <w:marBottom w:val="0"/>
      <w:divBdr>
        <w:top w:val="none" w:sz="0" w:space="0" w:color="auto"/>
        <w:left w:val="none" w:sz="0" w:space="0" w:color="auto"/>
        <w:bottom w:val="none" w:sz="0" w:space="0" w:color="auto"/>
        <w:right w:val="none" w:sz="0" w:space="0" w:color="auto"/>
      </w:divBdr>
    </w:div>
    <w:div w:id="620963690">
      <w:bodyDiv w:val="1"/>
      <w:marLeft w:val="0"/>
      <w:marRight w:val="0"/>
      <w:marTop w:val="0"/>
      <w:marBottom w:val="0"/>
      <w:divBdr>
        <w:top w:val="none" w:sz="0" w:space="0" w:color="auto"/>
        <w:left w:val="none" w:sz="0" w:space="0" w:color="auto"/>
        <w:bottom w:val="none" w:sz="0" w:space="0" w:color="auto"/>
        <w:right w:val="none" w:sz="0" w:space="0" w:color="auto"/>
      </w:divBdr>
    </w:div>
    <w:div w:id="638807915">
      <w:bodyDiv w:val="1"/>
      <w:marLeft w:val="0"/>
      <w:marRight w:val="0"/>
      <w:marTop w:val="0"/>
      <w:marBottom w:val="0"/>
      <w:divBdr>
        <w:top w:val="none" w:sz="0" w:space="0" w:color="auto"/>
        <w:left w:val="none" w:sz="0" w:space="0" w:color="auto"/>
        <w:bottom w:val="none" w:sz="0" w:space="0" w:color="auto"/>
        <w:right w:val="none" w:sz="0" w:space="0" w:color="auto"/>
      </w:divBdr>
      <w:divsChild>
        <w:div w:id="2035379071">
          <w:marLeft w:val="0"/>
          <w:marRight w:val="0"/>
          <w:marTop w:val="0"/>
          <w:marBottom w:val="0"/>
          <w:divBdr>
            <w:top w:val="none" w:sz="0" w:space="0" w:color="F3F3F3"/>
            <w:left w:val="none" w:sz="0" w:space="0" w:color="F3F3F3"/>
            <w:bottom w:val="none" w:sz="0" w:space="0" w:color="auto"/>
            <w:right w:val="none" w:sz="0" w:space="0" w:color="F3F3F3"/>
          </w:divBdr>
          <w:divsChild>
            <w:div w:id="1813669601">
              <w:marLeft w:val="0"/>
              <w:marRight w:val="0"/>
              <w:marTop w:val="0"/>
              <w:marBottom w:val="0"/>
              <w:divBdr>
                <w:top w:val="none" w:sz="0" w:space="0" w:color="auto"/>
                <w:left w:val="none" w:sz="0" w:space="0" w:color="auto"/>
                <w:bottom w:val="none" w:sz="0" w:space="0" w:color="auto"/>
                <w:right w:val="none" w:sz="0" w:space="0" w:color="auto"/>
              </w:divBdr>
              <w:divsChild>
                <w:div w:id="662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0152">
      <w:bodyDiv w:val="1"/>
      <w:marLeft w:val="0"/>
      <w:marRight w:val="0"/>
      <w:marTop w:val="0"/>
      <w:marBottom w:val="0"/>
      <w:divBdr>
        <w:top w:val="none" w:sz="0" w:space="0" w:color="auto"/>
        <w:left w:val="none" w:sz="0" w:space="0" w:color="auto"/>
        <w:bottom w:val="none" w:sz="0" w:space="0" w:color="auto"/>
        <w:right w:val="none" w:sz="0" w:space="0" w:color="auto"/>
      </w:divBdr>
      <w:divsChild>
        <w:div w:id="1200586699">
          <w:marLeft w:val="0"/>
          <w:marRight w:val="0"/>
          <w:marTop w:val="0"/>
          <w:marBottom w:val="0"/>
          <w:divBdr>
            <w:top w:val="none" w:sz="0" w:space="0" w:color="auto"/>
            <w:left w:val="none" w:sz="0" w:space="0" w:color="auto"/>
            <w:bottom w:val="none" w:sz="0" w:space="0" w:color="auto"/>
            <w:right w:val="none" w:sz="0" w:space="0" w:color="auto"/>
          </w:divBdr>
        </w:div>
      </w:divsChild>
    </w:div>
    <w:div w:id="745030194">
      <w:bodyDiv w:val="1"/>
      <w:marLeft w:val="0"/>
      <w:marRight w:val="0"/>
      <w:marTop w:val="0"/>
      <w:marBottom w:val="0"/>
      <w:divBdr>
        <w:top w:val="none" w:sz="0" w:space="0" w:color="auto"/>
        <w:left w:val="none" w:sz="0" w:space="0" w:color="auto"/>
        <w:bottom w:val="none" w:sz="0" w:space="0" w:color="auto"/>
        <w:right w:val="none" w:sz="0" w:space="0" w:color="auto"/>
      </w:divBdr>
      <w:divsChild>
        <w:div w:id="8141335">
          <w:marLeft w:val="0"/>
          <w:marRight w:val="0"/>
          <w:marTop w:val="0"/>
          <w:marBottom w:val="60"/>
          <w:divBdr>
            <w:top w:val="none" w:sz="0" w:space="0" w:color="auto"/>
            <w:left w:val="none" w:sz="0" w:space="0" w:color="auto"/>
            <w:bottom w:val="none" w:sz="0" w:space="0" w:color="auto"/>
            <w:right w:val="none" w:sz="0" w:space="0" w:color="auto"/>
          </w:divBdr>
        </w:div>
      </w:divsChild>
    </w:div>
    <w:div w:id="769928927">
      <w:bodyDiv w:val="1"/>
      <w:marLeft w:val="0"/>
      <w:marRight w:val="0"/>
      <w:marTop w:val="0"/>
      <w:marBottom w:val="0"/>
      <w:divBdr>
        <w:top w:val="none" w:sz="0" w:space="0" w:color="auto"/>
        <w:left w:val="none" w:sz="0" w:space="0" w:color="auto"/>
        <w:bottom w:val="none" w:sz="0" w:space="0" w:color="auto"/>
        <w:right w:val="none" w:sz="0" w:space="0" w:color="auto"/>
      </w:divBdr>
    </w:div>
    <w:div w:id="787309527">
      <w:bodyDiv w:val="1"/>
      <w:marLeft w:val="0"/>
      <w:marRight w:val="0"/>
      <w:marTop w:val="0"/>
      <w:marBottom w:val="0"/>
      <w:divBdr>
        <w:top w:val="none" w:sz="0" w:space="0" w:color="auto"/>
        <w:left w:val="none" w:sz="0" w:space="0" w:color="auto"/>
        <w:bottom w:val="none" w:sz="0" w:space="0" w:color="auto"/>
        <w:right w:val="none" w:sz="0" w:space="0" w:color="auto"/>
      </w:divBdr>
      <w:divsChild>
        <w:div w:id="1819151332">
          <w:marLeft w:val="0"/>
          <w:marRight w:val="0"/>
          <w:marTop w:val="0"/>
          <w:marBottom w:val="60"/>
          <w:divBdr>
            <w:top w:val="none" w:sz="0" w:space="0" w:color="auto"/>
            <w:left w:val="none" w:sz="0" w:space="0" w:color="auto"/>
            <w:bottom w:val="none" w:sz="0" w:space="0" w:color="auto"/>
            <w:right w:val="none" w:sz="0" w:space="0" w:color="auto"/>
          </w:divBdr>
        </w:div>
      </w:divsChild>
    </w:div>
    <w:div w:id="921571834">
      <w:bodyDiv w:val="1"/>
      <w:marLeft w:val="0"/>
      <w:marRight w:val="0"/>
      <w:marTop w:val="0"/>
      <w:marBottom w:val="0"/>
      <w:divBdr>
        <w:top w:val="none" w:sz="0" w:space="0" w:color="auto"/>
        <w:left w:val="none" w:sz="0" w:space="0" w:color="auto"/>
        <w:bottom w:val="none" w:sz="0" w:space="0" w:color="auto"/>
        <w:right w:val="none" w:sz="0" w:space="0" w:color="auto"/>
      </w:divBdr>
      <w:divsChild>
        <w:div w:id="487720188">
          <w:marLeft w:val="0"/>
          <w:marRight w:val="0"/>
          <w:marTop w:val="0"/>
          <w:marBottom w:val="0"/>
          <w:divBdr>
            <w:top w:val="none" w:sz="0" w:space="0" w:color="auto"/>
            <w:left w:val="none" w:sz="0" w:space="0" w:color="auto"/>
            <w:bottom w:val="none" w:sz="0" w:space="0" w:color="auto"/>
            <w:right w:val="none" w:sz="0" w:space="0" w:color="auto"/>
          </w:divBdr>
        </w:div>
      </w:divsChild>
    </w:div>
    <w:div w:id="925305000">
      <w:bodyDiv w:val="1"/>
      <w:marLeft w:val="0"/>
      <w:marRight w:val="0"/>
      <w:marTop w:val="0"/>
      <w:marBottom w:val="0"/>
      <w:divBdr>
        <w:top w:val="none" w:sz="0" w:space="0" w:color="auto"/>
        <w:left w:val="none" w:sz="0" w:space="0" w:color="auto"/>
        <w:bottom w:val="none" w:sz="0" w:space="0" w:color="auto"/>
        <w:right w:val="none" w:sz="0" w:space="0" w:color="auto"/>
      </w:divBdr>
    </w:div>
    <w:div w:id="935400732">
      <w:bodyDiv w:val="1"/>
      <w:marLeft w:val="0"/>
      <w:marRight w:val="0"/>
      <w:marTop w:val="0"/>
      <w:marBottom w:val="0"/>
      <w:divBdr>
        <w:top w:val="none" w:sz="0" w:space="0" w:color="auto"/>
        <w:left w:val="none" w:sz="0" w:space="0" w:color="auto"/>
        <w:bottom w:val="none" w:sz="0" w:space="0" w:color="auto"/>
        <w:right w:val="none" w:sz="0" w:space="0" w:color="auto"/>
      </w:divBdr>
    </w:div>
    <w:div w:id="970476906">
      <w:bodyDiv w:val="1"/>
      <w:marLeft w:val="0"/>
      <w:marRight w:val="0"/>
      <w:marTop w:val="0"/>
      <w:marBottom w:val="0"/>
      <w:divBdr>
        <w:top w:val="none" w:sz="0" w:space="0" w:color="auto"/>
        <w:left w:val="none" w:sz="0" w:space="0" w:color="auto"/>
        <w:bottom w:val="none" w:sz="0" w:space="0" w:color="auto"/>
        <w:right w:val="none" w:sz="0" w:space="0" w:color="auto"/>
      </w:divBdr>
    </w:div>
    <w:div w:id="1007054120">
      <w:bodyDiv w:val="1"/>
      <w:marLeft w:val="0"/>
      <w:marRight w:val="0"/>
      <w:marTop w:val="0"/>
      <w:marBottom w:val="0"/>
      <w:divBdr>
        <w:top w:val="none" w:sz="0" w:space="0" w:color="auto"/>
        <w:left w:val="none" w:sz="0" w:space="0" w:color="auto"/>
        <w:bottom w:val="none" w:sz="0" w:space="0" w:color="auto"/>
        <w:right w:val="none" w:sz="0" w:space="0" w:color="auto"/>
      </w:divBdr>
      <w:divsChild>
        <w:div w:id="1859849655">
          <w:marLeft w:val="0"/>
          <w:marRight w:val="0"/>
          <w:marTop w:val="0"/>
          <w:marBottom w:val="0"/>
          <w:divBdr>
            <w:top w:val="none" w:sz="0" w:space="0" w:color="auto"/>
            <w:left w:val="none" w:sz="0" w:space="0" w:color="auto"/>
            <w:bottom w:val="none" w:sz="0" w:space="0" w:color="auto"/>
            <w:right w:val="none" w:sz="0" w:space="0" w:color="auto"/>
          </w:divBdr>
        </w:div>
      </w:divsChild>
    </w:div>
    <w:div w:id="1082677902">
      <w:bodyDiv w:val="1"/>
      <w:marLeft w:val="0"/>
      <w:marRight w:val="0"/>
      <w:marTop w:val="0"/>
      <w:marBottom w:val="0"/>
      <w:divBdr>
        <w:top w:val="none" w:sz="0" w:space="0" w:color="auto"/>
        <w:left w:val="none" w:sz="0" w:space="0" w:color="auto"/>
        <w:bottom w:val="none" w:sz="0" w:space="0" w:color="auto"/>
        <w:right w:val="none" w:sz="0" w:space="0" w:color="auto"/>
      </w:divBdr>
    </w:div>
    <w:div w:id="1118793353">
      <w:bodyDiv w:val="1"/>
      <w:marLeft w:val="0"/>
      <w:marRight w:val="0"/>
      <w:marTop w:val="0"/>
      <w:marBottom w:val="0"/>
      <w:divBdr>
        <w:top w:val="none" w:sz="0" w:space="0" w:color="auto"/>
        <w:left w:val="none" w:sz="0" w:space="0" w:color="auto"/>
        <w:bottom w:val="none" w:sz="0" w:space="0" w:color="auto"/>
        <w:right w:val="none" w:sz="0" w:space="0" w:color="auto"/>
      </w:divBdr>
    </w:div>
    <w:div w:id="1121877210">
      <w:bodyDiv w:val="1"/>
      <w:marLeft w:val="0"/>
      <w:marRight w:val="0"/>
      <w:marTop w:val="0"/>
      <w:marBottom w:val="0"/>
      <w:divBdr>
        <w:top w:val="none" w:sz="0" w:space="0" w:color="auto"/>
        <w:left w:val="none" w:sz="0" w:space="0" w:color="auto"/>
        <w:bottom w:val="none" w:sz="0" w:space="0" w:color="auto"/>
        <w:right w:val="none" w:sz="0" w:space="0" w:color="auto"/>
      </w:divBdr>
    </w:div>
    <w:div w:id="1141726494">
      <w:bodyDiv w:val="1"/>
      <w:marLeft w:val="0"/>
      <w:marRight w:val="0"/>
      <w:marTop w:val="0"/>
      <w:marBottom w:val="0"/>
      <w:divBdr>
        <w:top w:val="none" w:sz="0" w:space="0" w:color="auto"/>
        <w:left w:val="none" w:sz="0" w:space="0" w:color="auto"/>
        <w:bottom w:val="none" w:sz="0" w:space="0" w:color="auto"/>
        <w:right w:val="none" w:sz="0" w:space="0" w:color="auto"/>
      </w:divBdr>
    </w:div>
    <w:div w:id="1159350693">
      <w:bodyDiv w:val="1"/>
      <w:marLeft w:val="0"/>
      <w:marRight w:val="0"/>
      <w:marTop w:val="0"/>
      <w:marBottom w:val="0"/>
      <w:divBdr>
        <w:top w:val="none" w:sz="0" w:space="0" w:color="auto"/>
        <w:left w:val="none" w:sz="0" w:space="0" w:color="auto"/>
        <w:bottom w:val="none" w:sz="0" w:space="0" w:color="auto"/>
        <w:right w:val="none" w:sz="0" w:space="0" w:color="auto"/>
      </w:divBdr>
    </w:div>
    <w:div w:id="1199976870">
      <w:bodyDiv w:val="1"/>
      <w:marLeft w:val="0"/>
      <w:marRight w:val="0"/>
      <w:marTop w:val="0"/>
      <w:marBottom w:val="0"/>
      <w:divBdr>
        <w:top w:val="none" w:sz="0" w:space="0" w:color="auto"/>
        <w:left w:val="none" w:sz="0" w:space="0" w:color="auto"/>
        <w:bottom w:val="none" w:sz="0" w:space="0" w:color="auto"/>
        <w:right w:val="none" w:sz="0" w:space="0" w:color="auto"/>
      </w:divBdr>
      <w:divsChild>
        <w:div w:id="2066947441">
          <w:marLeft w:val="0"/>
          <w:marRight w:val="0"/>
          <w:marTop w:val="0"/>
          <w:marBottom w:val="60"/>
          <w:divBdr>
            <w:top w:val="none" w:sz="0" w:space="0" w:color="auto"/>
            <w:left w:val="none" w:sz="0" w:space="0" w:color="auto"/>
            <w:bottom w:val="none" w:sz="0" w:space="0" w:color="auto"/>
            <w:right w:val="none" w:sz="0" w:space="0" w:color="auto"/>
          </w:divBdr>
        </w:div>
        <w:div w:id="236063943">
          <w:marLeft w:val="0"/>
          <w:marRight w:val="0"/>
          <w:marTop w:val="60"/>
          <w:marBottom w:val="60"/>
          <w:divBdr>
            <w:top w:val="none" w:sz="0" w:space="0" w:color="auto"/>
            <w:left w:val="none" w:sz="0" w:space="0" w:color="auto"/>
            <w:bottom w:val="none" w:sz="0" w:space="0" w:color="auto"/>
            <w:right w:val="none" w:sz="0" w:space="0" w:color="auto"/>
          </w:divBdr>
        </w:div>
        <w:div w:id="806898005">
          <w:marLeft w:val="0"/>
          <w:marRight w:val="0"/>
          <w:marTop w:val="60"/>
          <w:marBottom w:val="60"/>
          <w:divBdr>
            <w:top w:val="none" w:sz="0" w:space="0" w:color="auto"/>
            <w:left w:val="none" w:sz="0" w:space="0" w:color="auto"/>
            <w:bottom w:val="none" w:sz="0" w:space="0" w:color="auto"/>
            <w:right w:val="none" w:sz="0" w:space="0" w:color="auto"/>
          </w:divBdr>
        </w:div>
        <w:div w:id="1563327191">
          <w:marLeft w:val="0"/>
          <w:marRight w:val="0"/>
          <w:marTop w:val="60"/>
          <w:marBottom w:val="60"/>
          <w:divBdr>
            <w:top w:val="none" w:sz="0" w:space="0" w:color="auto"/>
            <w:left w:val="none" w:sz="0" w:space="0" w:color="auto"/>
            <w:bottom w:val="none" w:sz="0" w:space="0" w:color="auto"/>
            <w:right w:val="none" w:sz="0" w:space="0" w:color="auto"/>
          </w:divBdr>
        </w:div>
      </w:divsChild>
    </w:div>
    <w:div w:id="1228883414">
      <w:bodyDiv w:val="1"/>
      <w:marLeft w:val="0"/>
      <w:marRight w:val="0"/>
      <w:marTop w:val="0"/>
      <w:marBottom w:val="0"/>
      <w:divBdr>
        <w:top w:val="none" w:sz="0" w:space="0" w:color="auto"/>
        <w:left w:val="none" w:sz="0" w:space="0" w:color="auto"/>
        <w:bottom w:val="none" w:sz="0" w:space="0" w:color="auto"/>
        <w:right w:val="none" w:sz="0" w:space="0" w:color="auto"/>
      </w:divBdr>
    </w:div>
    <w:div w:id="1239561268">
      <w:bodyDiv w:val="1"/>
      <w:marLeft w:val="0"/>
      <w:marRight w:val="0"/>
      <w:marTop w:val="0"/>
      <w:marBottom w:val="0"/>
      <w:divBdr>
        <w:top w:val="none" w:sz="0" w:space="0" w:color="auto"/>
        <w:left w:val="none" w:sz="0" w:space="0" w:color="auto"/>
        <w:bottom w:val="none" w:sz="0" w:space="0" w:color="auto"/>
        <w:right w:val="none" w:sz="0" w:space="0" w:color="auto"/>
      </w:divBdr>
      <w:divsChild>
        <w:div w:id="1193760475">
          <w:marLeft w:val="0"/>
          <w:marRight w:val="0"/>
          <w:marTop w:val="0"/>
          <w:marBottom w:val="0"/>
          <w:divBdr>
            <w:top w:val="none" w:sz="0" w:space="0" w:color="auto"/>
            <w:left w:val="none" w:sz="0" w:space="0" w:color="auto"/>
            <w:bottom w:val="none" w:sz="0" w:space="0" w:color="auto"/>
            <w:right w:val="none" w:sz="0" w:space="0" w:color="auto"/>
          </w:divBdr>
          <w:divsChild>
            <w:div w:id="875315333">
              <w:marLeft w:val="0"/>
              <w:marRight w:val="0"/>
              <w:marTop w:val="0"/>
              <w:marBottom w:val="0"/>
              <w:divBdr>
                <w:top w:val="none" w:sz="0" w:space="0" w:color="auto"/>
                <w:left w:val="none" w:sz="0" w:space="0" w:color="auto"/>
                <w:bottom w:val="none" w:sz="0" w:space="0" w:color="auto"/>
                <w:right w:val="none" w:sz="0" w:space="0" w:color="auto"/>
              </w:divBdr>
              <w:divsChild>
                <w:div w:id="1055200882">
                  <w:marLeft w:val="0"/>
                  <w:marRight w:val="0"/>
                  <w:marTop w:val="0"/>
                  <w:marBottom w:val="0"/>
                  <w:divBdr>
                    <w:top w:val="none" w:sz="0" w:space="0" w:color="auto"/>
                    <w:left w:val="none" w:sz="0" w:space="0" w:color="auto"/>
                    <w:bottom w:val="none" w:sz="0" w:space="0" w:color="auto"/>
                    <w:right w:val="none" w:sz="0" w:space="0" w:color="auto"/>
                  </w:divBdr>
                  <w:divsChild>
                    <w:div w:id="533730661">
                      <w:marLeft w:val="0"/>
                      <w:marRight w:val="0"/>
                      <w:marTop w:val="0"/>
                      <w:marBottom w:val="0"/>
                      <w:divBdr>
                        <w:top w:val="none" w:sz="0" w:space="0" w:color="auto"/>
                        <w:left w:val="none" w:sz="0" w:space="0" w:color="auto"/>
                        <w:bottom w:val="none" w:sz="0" w:space="0" w:color="auto"/>
                        <w:right w:val="none" w:sz="0" w:space="0" w:color="auto"/>
                      </w:divBdr>
                      <w:divsChild>
                        <w:div w:id="2083747802">
                          <w:marLeft w:val="0"/>
                          <w:marRight w:val="0"/>
                          <w:marTop w:val="0"/>
                          <w:marBottom w:val="0"/>
                          <w:divBdr>
                            <w:top w:val="none" w:sz="0" w:space="0" w:color="auto"/>
                            <w:left w:val="none" w:sz="0" w:space="0" w:color="auto"/>
                            <w:bottom w:val="none" w:sz="0" w:space="0" w:color="auto"/>
                            <w:right w:val="none" w:sz="0" w:space="0" w:color="auto"/>
                          </w:divBdr>
                          <w:divsChild>
                            <w:div w:id="892545103">
                              <w:marLeft w:val="0"/>
                              <w:marRight w:val="0"/>
                              <w:marTop w:val="0"/>
                              <w:marBottom w:val="0"/>
                              <w:divBdr>
                                <w:top w:val="none" w:sz="0" w:space="0" w:color="auto"/>
                                <w:left w:val="none" w:sz="0" w:space="0" w:color="auto"/>
                                <w:bottom w:val="none" w:sz="0" w:space="0" w:color="auto"/>
                                <w:right w:val="none" w:sz="0" w:space="0" w:color="auto"/>
                              </w:divBdr>
                              <w:divsChild>
                                <w:div w:id="1507093523">
                                  <w:marLeft w:val="0"/>
                                  <w:marRight w:val="0"/>
                                  <w:marTop w:val="0"/>
                                  <w:marBottom w:val="0"/>
                                  <w:divBdr>
                                    <w:top w:val="none" w:sz="0" w:space="0" w:color="auto"/>
                                    <w:left w:val="none" w:sz="0" w:space="0" w:color="auto"/>
                                    <w:bottom w:val="none" w:sz="0" w:space="0" w:color="auto"/>
                                    <w:right w:val="none" w:sz="0" w:space="0" w:color="auto"/>
                                  </w:divBdr>
                                  <w:divsChild>
                                    <w:div w:id="1467091571">
                                      <w:marLeft w:val="0"/>
                                      <w:marRight w:val="0"/>
                                      <w:marTop w:val="0"/>
                                      <w:marBottom w:val="0"/>
                                      <w:divBdr>
                                        <w:top w:val="none" w:sz="0" w:space="0" w:color="auto"/>
                                        <w:left w:val="none" w:sz="0" w:space="0" w:color="auto"/>
                                        <w:bottom w:val="none" w:sz="0" w:space="0" w:color="auto"/>
                                        <w:right w:val="none" w:sz="0" w:space="0" w:color="auto"/>
                                      </w:divBdr>
                                      <w:divsChild>
                                        <w:div w:id="10606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440100">
      <w:bodyDiv w:val="1"/>
      <w:marLeft w:val="0"/>
      <w:marRight w:val="0"/>
      <w:marTop w:val="0"/>
      <w:marBottom w:val="0"/>
      <w:divBdr>
        <w:top w:val="none" w:sz="0" w:space="0" w:color="auto"/>
        <w:left w:val="none" w:sz="0" w:space="0" w:color="auto"/>
        <w:bottom w:val="none" w:sz="0" w:space="0" w:color="auto"/>
        <w:right w:val="none" w:sz="0" w:space="0" w:color="auto"/>
      </w:divBdr>
    </w:div>
    <w:div w:id="1415930285">
      <w:bodyDiv w:val="1"/>
      <w:marLeft w:val="0"/>
      <w:marRight w:val="0"/>
      <w:marTop w:val="0"/>
      <w:marBottom w:val="0"/>
      <w:divBdr>
        <w:top w:val="none" w:sz="0" w:space="0" w:color="auto"/>
        <w:left w:val="none" w:sz="0" w:space="0" w:color="auto"/>
        <w:bottom w:val="none" w:sz="0" w:space="0" w:color="auto"/>
        <w:right w:val="none" w:sz="0" w:space="0" w:color="auto"/>
      </w:divBdr>
    </w:div>
    <w:div w:id="1542667156">
      <w:bodyDiv w:val="1"/>
      <w:marLeft w:val="0"/>
      <w:marRight w:val="0"/>
      <w:marTop w:val="0"/>
      <w:marBottom w:val="0"/>
      <w:divBdr>
        <w:top w:val="none" w:sz="0" w:space="0" w:color="auto"/>
        <w:left w:val="none" w:sz="0" w:space="0" w:color="auto"/>
        <w:bottom w:val="none" w:sz="0" w:space="0" w:color="auto"/>
        <w:right w:val="none" w:sz="0" w:space="0" w:color="auto"/>
      </w:divBdr>
    </w:div>
    <w:div w:id="1639993663">
      <w:bodyDiv w:val="1"/>
      <w:marLeft w:val="0"/>
      <w:marRight w:val="0"/>
      <w:marTop w:val="0"/>
      <w:marBottom w:val="0"/>
      <w:divBdr>
        <w:top w:val="none" w:sz="0" w:space="0" w:color="auto"/>
        <w:left w:val="none" w:sz="0" w:space="0" w:color="auto"/>
        <w:bottom w:val="none" w:sz="0" w:space="0" w:color="auto"/>
        <w:right w:val="none" w:sz="0" w:space="0" w:color="auto"/>
      </w:divBdr>
    </w:div>
    <w:div w:id="1675259755">
      <w:bodyDiv w:val="1"/>
      <w:marLeft w:val="0"/>
      <w:marRight w:val="0"/>
      <w:marTop w:val="0"/>
      <w:marBottom w:val="0"/>
      <w:divBdr>
        <w:top w:val="none" w:sz="0" w:space="0" w:color="auto"/>
        <w:left w:val="none" w:sz="0" w:space="0" w:color="auto"/>
        <w:bottom w:val="none" w:sz="0" w:space="0" w:color="auto"/>
        <w:right w:val="none" w:sz="0" w:space="0" w:color="auto"/>
      </w:divBdr>
      <w:divsChild>
        <w:div w:id="506987315">
          <w:marLeft w:val="0"/>
          <w:marRight w:val="0"/>
          <w:marTop w:val="0"/>
          <w:marBottom w:val="60"/>
          <w:divBdr>
            <w:top w:val="none" w:sz="0" w:space="0" w:color="auto"/>
            <w:left w:val="none" w:sz="0" w:space="0" w:color="auto"/>
            <w:bottom w:val="none" w:sz="0" w:space="0" w:color="auto"/>
            <w:right w:val="none" w:sz="0" w:space="0" w:color="auto"/>
          </w:divBdr>
        </w:div>
        <w:div w:id="931208310">
          <w:marLeft w:val="0"/>
          <w:marRight w:val="0"/>
          <w:marTop w:val="60"/>
          <w:marBottom w:val="60"/>
          <w:divBdr>
            <w:top w:val="none" w:sz="0" w:space="0" w:color="auto"/>
            <w:left w:val="none" w:sz="0" w:space="0" w:color="auto"/>
            <w:bottom w:val="none" w:sz="0" w:space="0" w:color="auto"/>
            <w:right w:val="none" w:sz="0" w:space="0" w:color="auto"/>
          </w:divBdr>
        </w:div>
        <w:div w:id="1609198143">
          <w:marLeft w:val="0"/>
          <w:marRight w:val="0"/>
          <w:marTop w:val="60"/>
          <w:marBottom w:val="60"/>
          <w:divBdr>
            <w:top w:val="none" w:sz="0" w:space="0" w:color="auto"/>
            <w:left w:val="none" w:sz="0" w:space="0" w:color="auto"/>
            <w:bottom w:val="none" w:sz="0" w:space="0" w:color="auto"/>
            <w:right w:val="none" w:sz="0" w:space="0" w:color="auto"/>
          </w:divBdr>
        </w:div>
        <w:div w:id="624192375">
          <w:marLeft w:val="0"/>
          <w:marRight w:val="0"/>
          <w:marTop w:val="60"/>
          <w:marBottom w:val="60"/>
          <w:divBdr>
            <w:top w:val="none" w:sz="0" w:space="0" w:color="auto"/>
            <w:left w:val="none" w:sz="0" w:space="0" w:color="auto"/>
            <w:bottom w:val="none" w:sz="0" w:space="0" w:color="auto"/>
            <w:right w:val="none" w:sz="0" w:space="0" w:color="auto"/>
          </w:divBdr>
        </w:div>
      </w:divsChild>
    </w:div>
    <w:div w:id="1681857565">
      <w:bodyDiv w:val="1"/>
      <w:marLeft w:val="0"/>
      <w:marRight w:val="0"/>
      <w:marTop w:val="0"/>
      <w:marBottom w:val="0"/>
      <w:divBdr>
        <w:top w:val="none" w:sz="0" w:space="0" w:color="auto"/>
        <w:left w:val="none" w:sz="0" w:space="0" w:color="auto"/>
        <w:bottom w:val="none" w:sz="0" w:space="0" w:color="auto"/>
        <w:right w:val="none" w:sz="0" w:space="0" w:color="auto"/>
      </w:divBdr>
      <w:divsChild>
        <w:div w:id="1166359340">
          <w:marLeft w:val="0"/>
          <w:marRight w:val="0"/>
          <w:marTop w:val="0"/>
          <w:marBottom w:val="60"/>
          <w:divBdr>
            <w:top w:val="none" w:sz="0" w:space="0" w:color="auto"/>
            <w:left w:val="none" w:sz="0" w:space="0" w:color="auto"/>
            <w:bottom w:val="none" w:sz="0" w:space="0" w:color="auto"/>
            <w:right w:val="none" w:sz="0" w:space="0" w:color="auto"/>
          </w:divBdr>
        </w:div>
        <w:div w:id="760295987">
          <w:marLeft w:val="0"/>
          <w:marRight w:val="0"/>
          <w:marTop w:val="0"/>
          <w:marBottom w:val="45"/>
          <w:divBdr>
            <w:top w:val="none" w:sz="0" w:space="0" w:color="auto"/>
            <w:left w:val="none" w:sz="0" w:space="0" w:color="auto"/>
            <w:bottom w:val="none" w:sz="0" w:space="0" w:color="auto"/>
            <w:right w:val="none" w:sz="0" w:space="0" w:color="auto"/>
          </w:divBdr>
        </w:div>
      </w:divsChild>
    </w:div>
    <w:div w:id="1742481661">
      <w:bodyDiv w:val="1"/>
      <w:marLeft w:val="0"/>
      <w:marRight w:val="0"/>
      <w:marTop w:val="0"/>
      <w:marBottom w:val="0"/>
      <w:divBdr>
        <w:top w:val="none" w:sz="0" w:space="0" w:color="auto"/>
        <w:left w:val="none" w:sz="0" w:space="0" w:color="auto"/>
        <w:bottom w:val="none" w:sz="0" w:space="0" w:color="auto"/>
        <w:right w:val="none" w:sz="0" w:space="0" w:color="auto"/>
      </w:divBdr>
      <w:divsChild>
        <w:div w:id="1826628173">
          <w:marLeft w:val="0"/>
          <w:marRight w:val="0"/>
          <w:marTop w:val="0"/>
          <w:marBottom w:val="0"/>
          <w:divBdr>
            <w:top w:val="none" w:sz="0" w:space="0" w:color="auto"/>
            <w:left w:val="none" w:sz="0" w:space="0" w:color="auto"/>
            <w:bottom w:val="none" w:sz="0" w:space="0" w:color="auto"/>
            <w:right w:val="none" w:sz="0" w:space="0" w:color="auto"/>
          </w:divBdr>
        </w:div>
      </w:divsChild>
    </w:div>
    <w:div w:id="1767119439">
      <w:bodyDiv w:val="1"/>
      <w:marLeft w:val="0"/>
      <w:marRight w:val="0"/>
      <w:marTop w:val="0"/>
      <w:marBottom w:val="0"/>
      <w:divBdr>
        <w:top w:val="none" w:sz="0" w:space="0" w:color="auto"/>
        <w:left w:val="none" w:sz="0" w:space="0" w:color="auto"/>
        <w:bottom w:val="none" w:sz="0" w:space="0" w:color="auto"/>
        <w:right w:val="none" w:sz="0" w:space="0" w:color="auto"/>
      </w:divBdr>
    </w:div>
    <w:div w:id="1771772675">
      <w:bodyDiv w:val="1"/>
      <w:marLeft w:val="0"/>
      <w:marRight w:val="0"/>
      <w:marTop w:val="0"/>
      <w:marBottom w:val="0"/>
      <w:divBdr>
        <w:top w:val="none" w:sz="0" w:space="0" w:color="auto"/>
        <w:left w:val="none" w:sz="0" w:space="0" w:color="auto"/>
        <w:bottom w:val="none" w:sz="0" w:space="0" w:color="auto"/>
        <w:right w:val="none" w:sz="0" w:space="0" w:color="auto"/>
      </w:divBdr>
    </w:div>
    <w:div w:id="1783720939">
      <w:bodyDiv w:val="1"/>
      <w:marLeft w:val="0"/>
      <w:marRight w:val="0"/>
      <w:marTop w:val="0"/>
      <w:marBottom w:val="0"/>
      <w:divBdr>
        <w:top w:val="none" w:sz="0" w:space="0" w:color="auto"/>
        <w:left w:val="none" w:sz="0" w:space="0" w:color="auto"/>
        <w:bottom w:val="none" w:sz="0" w:space="0" w:color="auto"/>
        <w:right w:val="none" w:sz="0" w:space="0" w:color="auto"/>
      </w:divBdr>
    </w:div>
    <w:div w:id="1849639903">
      <w:bodyDiv w:val="1"/>
      <w:marLeft w:val="0"/>
      <w:marRight w:val="0"/>
      <w:marTop w:val="0"/>
      <w:marBottom w:val="0"/>
      <w:divBdr>
        <w:top w:val="none" w:sz="0" w:space="0" w:color="auto"/>
        <w:left w:val="none" w:sz="0" w:space="0" w:color="auto"/>
        <w:bottom w:val="none" w:sz="0" w:space="0" w:color="auto"/>
        <w:right w:val="none" w:sz="0" w:space="0" w:color="auto"/>
      </w:divBdr>
    </w:div>
    <w:div w:id="1943419646">
      <w:bodyDiv w:val="1"/>
      <w:marLeft w:val="0"/>
      <w:marRight w:val="0"/>
      <w:marTop w:val="0"/>
      <w:marBottom w:val="0"/>
      <w:divBdr>
        <w:top w:val="none" w:sz="0" w:space="0" w:color="auto"/>
        <w:left w:val="none" w:sz="0" w:space="0" w:color="auto"/>
        <w:bottom w:val="none" w:sz="0" w:space="0" w:color="auto"/>
        <w:right w:val="none" w:sz="0" w:space="0" w:color="auto"/>
      </w:divBdr>
    </w:div>
    <w:div w:id="2057701172">
      <w:bodyDiv w:val="1"/>
      <w:marLeft w:val="0"/>
      <w:marRight w:val="0"/>
      <w:marTop w:val="0"/>
      <w:marBottom w:val="0"/>
      <w:divBdr>
        <w:top w:val="none" w:sz="0" w:space="0" w:color="auto"/>
        <w:left w:val="none" w:sz="0" w:space="0" w:color="auto"/>
        <w:bottom w:val="none" w:sz="0" w:space="0" w:color="auto"/>
        <w:right w:val="none" w:sz="0" w:space="0" w:color="auto"/>
      </w:divBdr>
    </w:div>
    <w:div w:id="2073113052">
      <w:bodyDiv w:val="1"/>
      <w:marLeft w:val="0"/>
      <w:marRight w:val="0"/>
      <w:marTop w:val="0"/>
      <w:marBottom w:val="0"/>
      <w:divBdr>
        <w:top w:val="none" w:sz="0" w:space="0" w:color="auto"/>
        <w:left w:val="none" w:sz="0" w:space="0" w:color="auto"/>
        <w:bottom w:val="none" w:sz="0" w:space="0" w:color="auto"/>
        <w:right w:val="none" w:sz="0" w:space="0" w:color="auto"/>
      </w:divBdr>
    </w:div>
    <w:div w:id="2102748930">
      <w:bodyDiv w:val="1"/>
      <w:marLeft w:val="0"/>
      <w:marRight w:val="0"/>
      <w:marTop w:val="0"/>
      <w:marBottom w:val="0"/>
      <w:divBdr>
        <w:top w:val="none" w:sz="0" w:space="0" w:color="auto"/>
        <w:left w:val="none" w:sz="0" w:space="0" w:color="auto"/>
        <w:bottom w:val="none" w:sz="0" w:space="0" w:color="auto"/>
        <w:right w:val="none" w:sz="0" w:space="0" w:color="auto"/>
      </w:divBdr>
    </w:div>
    <w:div w:id="2134520341">
      <w:bodyDiv w:val="1"/>
      <w:marLeft w:val="0"/>
      <w:marRight w:val="0"/>
      <w:marTop w:val="0"/>
      <w:marBottom w:val="0"/>
      <w:divBdr>
        <w:top w:val="none" w:sz="0" w:space="0" w:color="auto"/>
        <w:left w:val="none" w:sz="0" w:space="0" w:color="auto"/>
        <w:bottom w:val="none" w:sz="0" w:space="0" w:color="auto"/>
        <w:right w:val="none" w:sz="0" w:space="0" w:color="auto"/>
      </w:divBdr>
      <w:divsChild>
        <w:div w:id="40160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mff/simplification/index_e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a.europa.eu/en/Pages/PublicProcuremen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cb.europa.eu/ecb/jobsproc/proc/pdf/Terms_services_works_EN.pdf?a92f1a09054cf83c0a29f15781b37672" TargetMode="External"/><Relationship Id="rId13" Type="http://schemas.openxmlformats.org/officeDocument/2006/relationships/hyperlink" Target="https://www.un.org/Depts/ptd/complaints/complaints-guideline" TargetMode="External"/><Relationship Id="rId3" Type="http://schemas.openxmlformats.org/officeDocument/2006/relationships/hyperlink" Target="http://www.afdb.org/en/documents/corporate-procurement/" TargetMode="External"/><Relationship Id="rId7" Type="http://schemas.openxmlformats.org/officeDocument/2006/relationships/hyperlink" Target="http://www.ecb.europa.eu/ecb/legal/pdf/l_18420070714en00340048.pdf?42411110c7456dce56eabd535dca2177" TargetMode="External"/><Relationship Id="rId12" Type="http://schemas.openxmlformats.org/officeDocument/2006/relationships/hyperlink" Target="https://www.un.org/Depts/ptd/sites/www.un.org.Depts.ptd/files/files/attachment/page/pdf/pm.pdf" TargetMode="External"/><Relationship Id="rId17" Type="http://schemas.openxmlformats.org/officeDocument/2006/relationships/hyperlink" Target="https://justicehub.org/article/2016-icc-budget-more-money-more-problems" TargetMode="External"/><Relationship Id="rId2" Type="http://schemas.openxmlformats.org/officeDocument/2006/relationships/hyperlink" Target="http://siteresources.worldbank.org/EXTCORPPROCUREMENT/Resources/CorporateProcurementPolicySumma)ry_V7-13.pdf?resourceurlname=CorporateProcurementPolicySummary_V7-13.pdf" TargetMode="External"/><Relationship Id="rId16" Type="http://schemas.openxmlformats.org/officeDocument/2006/relationships/hyperlink" Target="https://eumits.eumetsat.int/" TargetMode="External"/><Relationship Id="rId1" Type="http://schemas.openxmlformats.org/officeDocument/2006/relationships/hyperlink" Target="http://www.unops.org/english/whatwedo/news/Pages/UN_procurement_reaches_154_billion_in_2012.aspx" TargetMode="External"/><Relationship Id="rId6" Type="http://schemas.openxmlformats.org/officeDocument/2006/relationships/hyperlink" Target="https://www.ungm.org/" TargetMode="External"/><Relationship Id="rId11" Type="http://schemas.openxmlformats.org/officeDocument/2006/relationships/hyperlink" Target="https://www.ungm.org/Areas/Public/Downloads/gbg_master.pdf" TargetMode="External"/><Relationship Id="rId5" Type="http://schemas.openxmlformats.org/officeDocument/2006/relationships/hyperlink" Target="https://www.un.org/Depts/ptd/sites/www.un.org.Depts.ptd/files/files/attachment/page/pdf/pm.pdf" TargetMode="External"/><Relationship Id="rId15" Type="http://schemas.openxmlformats.org/officeDocument/2006/relationships/hyperlink" Target="http://www.ecb.europa.eu/ecb/legal/pdf/l_18420070714en00340048.pdf?42411110c7456dce56eabd535dca2177" TargetMode="External"/><Relationship Id="rId10" Type="http://schemas.openxmlformats.org/officeDocument/2006/relationships/hyperlink" Target="http://ec.europa.eu/europeaid/node/101249" TargetMode="External"/><Relationship Id="rId4" Type="http://schemas.openxmlformats.org/officeDocument/2006/relationships/hyperlink" Target="http://www.afdb.org/fileadmin/uploads/afdb/Documents/Corporate-Procurement/Presidential%20Directive%20Concerning%20the%20Rules%20for%20Corporate%20Procurement%20Activities%20of%20the%20AfDB.pdf" TargetMode="External"/><Relationship Id="rId9" Type="http://schemas.openxmlformats.org/officeDocument/2006/relationships/hyperlink" Target="http://eur-lex.europa.eu/legal-content/EN/TXT/PDF/?uri=CELEX:32016D1353&amp;from=EN" TargetMode="External"/><Relationship Id="rId14" Type="http://schemas.openxmlformats.org/officeDocument/2006/relationships/hyperlink" Target="http://ec.europa.eu/budget/library/biblio/documents/regulations/financial_regulation_2017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2733-7928-4FF5-9DC0-81874702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7064</Words>
  <Characters>40266</Characters>
  <Application>Microsoft Office Word</Application>
  <DocSecurity>4</DocSecurity>
  <Lines>335</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Yukins, Christopher R.</cp:lastModifiedBy>
  <cp:revision>2</cp:revision>
  <cp:lastPrinted>2014-05-15T09:58:00Z</cp:lastPrinted>
  <dcterms:created xsi:type="dcterms:W3CDTF">2021-05-05T10:18:00Z</dcterms:created>
  <dcterms:modified xsi:type="dcterms:W3CDTF">2021-05-05T10:18:00Z</dcterms:modified>
</cp:coreProperties>
</file>