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A380" w14:textId="54F4D8E4" w:rsidR="002C3A73" w:rsidRPr="002C3A73" w:rsidRDefault="002C3A73" w:rsidP="002C3A73">
      <w:pPr>
        <w:jc w:val="center"/>
        <w:rPr>
          <w:b/>
          <w:bCs/>
          <w:sz w:val="28"/>
          <w:szCs w:val="28"/>
        </w:rPr>
      </w:pPr>
      <w:r w:rsidRPr="002C3A73">
        <w:rPr>
          <w:b/>
          <w:bCs/>
          <w:sz w:val="28"/>
          <w:szCs w:val="28"/>
        </w:rPr>
        <w:t>COMPARISON:  2000 MODEL PROCUREMENT CODE vs. OMB UNIFORM GRANTS GUIDANCE</w:t>
      </w:r>
    </w:p>
    <w:p w14:paraId="32FBBD4D" w14:textId="77777777" w:rsidR="002C3A73" w:rsidRDefault="002C3A73" w:rsidP="00607ABE"/>
    <w:p w14:paraId="687A9B1A" w14:textId="6F788E16" w:rsidR="00744E66" w:rsidRPr="002C3A73" w:rsidRDefault="00B834A8" w:rsidP="00607ABE">
      <w:r>
        <w:t>The ABA Model Procurement Code (MPC) was drafted in important part to afford federal grants recipients a uniform set of rules that the grantees might</w:t>
      </w:r>
      <w:r w:rsidR="00B36623">
        <w:t xml:space="preserve"> </w:t>
      </w:r>
      <w:r>
        <w:t>adopt</w:t>
      </w:r>
      <w:r w:rsidR="00B36623">
        <w:t xml:space="preserve"> </w:t>
      </w:r>
      <w:r>
        <w:t xml:space="preserve">to bring </w:t>
      </w:r>
      <w:r w:rsidR="00B36623">
        <w:t xml:space="preserve">their procurement practices into line with Office of Management and Budget (OMB) guidance to federal grantees. </w:t>
      </w:r>
      <w:r w:rsidR="00744E66" w:rsidRPr="00744E66">
        <w:rPr>
          <w:i/>
          <w:iCs/>
        </w:rPr>
        <w:t>See, e.g.</w:t>
      </w:r>
      <w:r w:rsidR="00744E66" w:rsidRPr="00744E66">
        <w:t xml:space="preserve">, F. Trowbridge </w:t>
      </w:r>
      <w:proofErr w:type="spellStart"/>
      <w:r w:rsidR="00744E66" w:rsidRPr="00744E66">
        <w:t>vom</w:t>
      </w:r>
      <w:proofErr w:type="spellEnd"/>
      <w:r w:rsidR="00744E66" w:rsidRPr="00744E66">
        <w:t xml:space="preserve"> Baur,</w:t>
      </w:r>
      <w:r w:rsidR="00744E66" w:rsidRPr="00744E66">
        <w:rPr>
          <w:i/>
          <w:iCs/>
        </w:rPr>
        <w:t xml:space="preserve"> A Personal History of the Model Procurement Code</w:t>
      </w:r>
      <w:r w:rsidR="00744E66" w:rsidRPr="00744E66">
        <w:t xml:space="preserve">, 25 Pub. Cont. L.J. 149, 161 (1996). </w:t>
      </w:r>
      <w:r w:rsidR="00744E66">
        <w:t xml:space="preserve">OMB’s </w:t>
      </w:r>
      <w:r w:rsidR="00744E66" w:rsidRPr="00744E66">
        <w:t xml:space="preserve">grants guidance </w:t>
      </w:r>
      <w:r w:rsidR="00744E66">
        <w:t xml:space="preserve">(what is known as the “OMB Uniform Guidance”) </w:t>
      </w:r>
      <w:r w:rsidR="00744E66" w:rsidRPr="00744E66">
        <w:t xml:space="preserve">has changed a good deal since the 2000 version of the Model Procurement Code was published.  Sections 200.317 </w:t>
      </w:r>
      <w:r w:rsidR="00744E66" w:rsidRPr="007825C7">
        <w:rPr>
          <w:i/>
          <w:iCs/>
        </w:rPr>
        <w:t>et seq</w:t>
      </w:r>
      <w:r w:rsidR="00744E66" w:rsidRPr="00744E66">
        <w:t xml:space="preserve">. of the OMB Uniform Guidance set forth procurement guidance for federal grantees, including guidance regarding (for example) organizational conflicts of interest, competition requirements, socioeconomic preferences and domestic content requirements.  To ensure that the MPC remains a useful tool for federal grantees that seek to use federal funds in conformance with the OMB Uniform Guidance, the MPC </w:t>
      </w:r>
      <w:r w:rsidR="007825C7">
        <w:t xml:space="preserve">may </w:t>
      </w:r>
      <w:r w:rsidR="00744E66" w:rsidRPr="00744E66">
        <w:t xml:space="preserve">be </w:t>
      </w:r>
      <w:r w:rsidR="007825C7">
        <w:t xml:space="preserve">revised </w:t>
      </w:r>
      <w:r w:rsidR="00744E66" w:rsidRPr="00744E66">
        <w:t>to ensure that it conforms to that current federal guidance</w:t>
      </w:r>
      <w:r w:rsidR="007825C7">
        <w:t xml:space="preserve">.  </w:t>
      </w:r>
      <w:r w:rsidR="00B36623">
        <w:t xml:space="preserve">The chart below identifies key points of possible reform, to align the MPC with the current OMB grants guidance. </w:t>
      </w:r>
      <w:r w:rsidR="002C3A73">
        <w:t>As the chart reflects,</w:t>
      </w:r>
      <w:r w:rsidR="007825C7">
        <w:t xml:space="preserve"> cumulatively</w:t>
      </w:r>
      <w:r w:rsidR="002C3A73">
        <w:t xml:space="preserve"> </w:t>
      </w:r>
      <w:r w:rsidR="002C3A73">
        <w:rPr>
          <w:u w:val="single"/>
        </w:rPr>
        <w:t>all</w:t>
      </w:r>
      <w:r w:rsidR="002C3A73">
        <w:t xml:space="preserve"> of the MPC 2000 articles are implicated by the amended OMB guidance.</w:t>
      </w:r>
      <w:r w:rsidR="00744E66" w:rsidRPr="00744E66">
        <w:t xml:space="preserve"> </w:t>
      </w:r>
    </w:p>
    <w:p w14:paraId="11FDEA9E" w14:textId="551E5DB4" w:rsidR="00B36623" w:rsidRDefault="00B36623" w:rsidP="00607ABE"/>
    <w:tbl>
      <w:tblPr>
        <w:tblW w:w="129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735"/>
        <w:gridCol w:w="5375"/>
        <w:gridCol w:w="4350"/>
        <w:gridCol w:w="2480"/>
      </w:tblGrid>
      <w:tr w:rsidR="00B36623" w:rsidRPr="00066C0C" w14:paraId="5DE8E576" w14:textId="77777777" w:rsidTr="007F23D8">
        <w:trPr>
          <w:trHeight w:val="600"/>
        </w:trPr>
        <w:tc>
          <w:tcPr>
            <w:tcW w:w="735" w:type="dxa"/>
            <w:shd w:val="clear" w:color="auto" w:fill="0099CC"/>
            <w:tcMar>
              <w:top w:w="15" w:type="dxa"/>
              <w:left w:w="81" w:type="dxa"/>
              <w:bottom w:w="0" w:type="dxa"/>
              <w:right w:w="81" w:type="dxa"/>
            </w:tcMar>
            <w:hideMark/>
          </w:tcPr>
          <w:p w14:paraId="05D5044C" w14:textId="77777777" w:rsidR="00B36623" w:rsidRPr="003D2A02" w:rsidRDefault="00B36623" w:rsidP="007F23D8">
            <w:pPr>
              <w:rPr>
                <w:rFonts w:ascii="Garamond" w:eastAsia="Times New Roman" w:hAnsi="Garamond" w:cs="Arial"/>
              </w:rPr>
            </w:pPr>
            <w:r w:rsidRPr="003D2A02">
              <w:rPr>
                <w:rFonts w:ascii="Garamond" w:eastAsia="Times New Roman" w:hAnsi="Garamond" w:cs="Arial"/>
                <w:b/>
                <w:bCs/>
                <w:color w:val="FFFFFF" w:themeColor="light1"/>
                <w:kern w:val="24"/>
              </w:rPr>
              <w:t> </w:t>
            </w:r>
          </w:p>
        </w:tc>
        <w:tc>
          <w:tcPr>
            <w:tcW w:w="5375" w:type="dxa"/>
            <w:shd w:val="clear" w:color="auto" w:fill="0099CC"/>
            <w:tcMar>
              <w:top w:w="15" w:type="dxa"/>
              <w:left w:w="81" w:type="dxa"/>
              <w:bottom w:w="0" w:type="dxa"/>
              <w:right w:w="81" w:type="dxa"/>
            </w:tcMar>
            <w:hideMark/>
          </w:tcPr>
          <w:p w14:paraId="58128BFC" w14:textId="77777777" w:rsidR="00B36623" w:rsidRPr="003D2A02" w:rsidRDefault="00B36623" w:rsidP="007F23D8">
            <w:pPr>
              <w:rPr>
                <w:rFonts w:ascii="Garamond" w:eastAsia="Times New Roman" w:hAnsi="Garamond" w:cs="Arial"/>
              </w:rPr>
            </w:pPr>
            <w:hyperlink r:id="rId5" w:history="1">
              <w:r w:rsidRPr="003D2A02">
                <w:rPr>
                  <w:rStyle w:val="Hyperlink"/>
                  <w:rFonts w:ascii="Garamond" w:eastAsia="Times New Roman" w:hAnsi="Garamond" w:cs="Arial"/>
                  <w:b/>
                  <w:bCs/>
                  <w:color w:val="FFFF00"/>
                  <w:kern w:val="24"/>
                </w:rPr>
                <w:t>OMB Grants Guidance</w:t>
              </w:r>
            </w:hyperlink>
            <w:r w:rsidRPr="003D2A02">
              <w:rPr>
                <w:rFonts w:ascii="Garamond" w:eastAsia="Times New Roman" w:hAnsi="Garamond" w:cs="Arial"/>
                <w:b/>
                <w:bCs/>
                <w:color w:val="FFFFFF" w:themeColor="light1"/>
                <w:kern w:val="24"/>
              </w:rPr>
              <w:t xml:space="preserve"> - 2 CFR</w:t>
            </w:r>
          </w:p>
        </w:tc>
        <w:tc>
          <w:tcPr>
            <w:tcW w:w="4350" w:type="dxa"/>
            <w:shd w:val="clear" w:color="auto" w:fill="0099CC"/>
            <w:tcMar>
              <w:top w:w="15" w:type="dxa"/>
              <w:left w:w="81" w:type="dxa"/>
              <w:bottom w:w="0" w:type="dxa"/>
              <w:right w:w="81" w:type="dxa"/>
            </w:tcMar>
            <w:hideMark/>
          </w:tcPr>
          <w:p w14:paraId="5A911B1C" w14:textId="77777777" w:rsidR="00B36623" w:rsidRPr="003D2A02" w:rsidRDefault="00B36623" w:rsidP="007F23D8">
            <w:pPr>
              <w:rPr>
                <w:rFonts w:ascii="Garamond" w:eastAsia="Times New Roman" w:hAnsi="Garamond" w:cs="Arial"/>
                <w:b/>
                <w:bCs/>
                <w:color w:val="FFFFFF" w:themeColor="light1"/>
                <w:kern w:val="24"/>
              </w:rPr>
            </w:pPr>
            <w:r w:rsidRPr="003D2A02">
              <w:rPr>
                <w:rFonts w:ascii="Garamond" w:eastAsia="Times New Roman" w:hAnsi="Garamond" w:cs="Arial"/>
                <w:b/>
                <w:bCs/>
                <w:color w:val="FFFFFF" w:themeColor="light1"/>
                <w:kern w:val="24"/>
              </w:rPr>
              <w:t>MPC Revision Issue</w:t>
            </w:r>
            <w:r w:rsidRPr="00066C0C">
              <w:rPr>
                <w:rFonts w:ascii="Garamond" w:eastAsia="Times New Roman" w:hAnsi="Garamond" w:cs="Arial"/>
                <w:b/>
                <w:bCs/>
                <w:color w:val="FFFFFF" w:themeColor="light1"/>
                <w:kern w:val="24"/>
              </w:rPr>
              <w:t xml:space="preserve"> -- Key Issues Highlighted in </w:t>
            </w:r>
            <w:r w:rsidRPr="00066C0C">
              <w:rPr>
                <w:rFonts w:ascii="Garamond" w:eastAsia="Times New Roman" w:hAnsi="Garamond" w:cs="Arial"/>
                <w:b/>
                <w:bCs/>
                <w:color w:val="4472C4" w:themeColor="accent1"/>
                <w:kern w:val="24"/>
                <w:highlight w:val="yellow"/>
              </w:rPr>
              <w:t>Yellow</w:t>
            </w:r>
          </w:p>
        </w:tc>
        <w:tc>
          <w:tcPr>
            <w:tcW w:w="2480" w:type="dxa"/>
            <w:shd w:val="clear" w:color="auto" w:fill="0099CC"/>
          </w:tcPr>
          <w:p w14:paraId="0BC9F5D7" w14:textId="77777777" w:rsidR="00B36623" w:rsidRPr="00066C0C" w:rsidRDefault="00B36623" w:rsidP="007F23D8">
            <w:pPr>
              <w:rPr>
                <w:rFonts w:ascii="Garamond" w:eastAsia="Times New Roman" w:hAnsi="Garamond" w:cs="Arial"/>
                <w:b/>
                <w:bCs/>
                <w:color w:val="FFFFFF" w:themeColor="light1"/>
                <w:kern w:val="24"/>
              </w:rPr>
            </w:pPr>
            <w:hyperlink r:id="rId6" w:history="1">
              <w:r w:rsidRPr="00066C0C">
                <w:rPr>
                  <w:rStyle w:val="Hyperlink"/>
                  <w:rFonts w:ascii="Garamond" w:eastAsia="Times New Roman" w:hAnsi="Garamond" w:cs="Arial"/>
                  <w:b/>
                  <w:bCs/>
                  <w:color w:val="FFFF00"/>
                  <w:kern w:val="24"/>
                </w:rPr>
                <w:t>MPC Provisions</w:t>
              </w:r>
            </w:hyperlink>
            <w:r w:rsidRPr="00066C0C">
              <w:rPr>
                <w:rFonts w:ascii="Garamond" w:eastAsia="Times New Roman" w:hAnsi="Garamond" w:cs="Arial"/>
                <w:b/>
                <w:bCs/>
                <w:color w:val="FFFF00"/>
                <w:kern w:val="24"/>
              </w:rPr>
              <w:t xml:space="preserve"> </w:t>
            </w:r>
            <w:r w:rsidRPr="00066C0C">
              <w:rPr>
                <w:rFonts w:ascii="Garamond" w:eastAsia="Times New Roman" w:hAnsi="Garamond" w:cs="Arial"/>
                <w:b/>
                <w:bCs/>
                <w:color w:val="FFFFFF" w:themeColor="light1"/>
                <w:kern w:val="24"/>
              </w:rPr>
              <w:t xml:space="preserve">At Issue </w:t>
            </w:r>
          </w:p>
        </w:tc>
      </w:tr>
      <w:tr w:rsidR="00B36623" w:rsidRPr="00066C0C" w14:paraId="200F92D6" w14:textId="77777777" w:rsidTr="007825C7">
        <w:trPr>
          <w:cantSplit/>
          <w:trHeight w:val="820"/>
        </w:trPr>
        <w:tc>
          <w:tcPr>
            <w:tcW w:w="735" w:type="dxa"/>
            <w:shd w:val="clear" w:color="auto" w:fill="0099CC"/>
            <w:tcMar>
              <w:top w:w="15" w:type="dxa"/>
              <w:left w:w="81" w:type="dxa"/>
              <w:bottom w:w="0" w:type="dxa"/>
              <w:right w:w="81" w:type="dxa"/>
            </w:tcMar>
            <w:textDirection w:val="btLr"/>
            <w:hideMark/>
          </w:tcPr>
          <w:p w14:paraId="4AB7CE16" w14:textId="77777777" w:rsidR="00B36623" w:rsidRPr="003D2A02" w:rsidRDefault="00B36623" w:rsidP="007F23D8">
            <w:pPr>
              <w:ind w:left="113" w:right="113"/>
              <w:rPr>
                <w:rFonts w:ascii="Garamond" w:eastAsia="Times New Roman" w:hAnsi="Garamond" w:cs="Arial"/>
              </w:rPr>
            </w:pPr>
            <w:r w:rsidRPr="003D2A02">
              <w:rPr>
                <w:rFonts w:ascii="Garamond" w:eastAsia="Times New Roman" w:hAnsi="Garamond" w:cs="Arial"/>
                <w:b/>
                <w:bCs/>
                <w:color w:val="FFFFFF" w:themeColor="light1"/>
                <w:kern w:val="24"/>
                <w:sz w:val="32"/>
                <w:szCs w:val="32"/>
              </w:rPr>
              <w:t> </w:t>
            </w:r>
            <w:r w:rsidRPr="007825C7">
              <w:rPr>
                <w:rFonts w:ascii="Garamond" w:eastAsia="Times New Roman" w:hAnsi="Garamond" w:cs="Arial"/>
                <w:b/>
                <w:bCs/>
                <w:color w:val="FFFFFF" w:themeColor="light1"/>
                <w:kern w:val="24"/>
                <w:sz w:val="20"/>
                <w:szCs w:val="20"/>
              </w:rPr>
              <w:t>States</w:t>
            </w:r>
          </w:p>
        </w:tc>
        <w:tc>
          <w:tcPr>
            <w:tcW w:w="5375" w:type="dxa"/>
            <w:shd w:val="clear" w:color="auto" w:fill="CBDEEC"/>
            <w:tcMar>
              <w:top w:w="15" w:type="dxa"/>
              <w:left w:w="81" w:type="dxa"/>
              <w:bottom w:w="0" w:type="dxa"/>
              <w:right w:w="81" w:type="dxa"/>
            </w:tcMar>
            <w:hideMark/>
          </w:tcPr>
          <w:p w14:paraId="086A0341"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200.317 Procurements by states.</w:t>
            </w:r>
          </w:p>
        </w:tc>
        <w:tc>
          <w:tcPr>
            <w:tcW w:w="4350" w:type="dxa"/>
            <w:shd w:val="clear" w:color="auto" w:fill="CBDEEC"/>
            <w:tcMar>
              <w:top w:w="15" w:type="dxa"/>
              <w:left w:w="81" w:type="dxa"/>
              <w:bottom w:w="0" w:type="dxa"/>
              <w:right w:w="81" w:type="dxa"/>
            </w:tcMar>
            <w:hideMark/>
          </w:tcPr>
          <w:p w14:paraId="660B7F3F"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States left to own procurement methods. MPC 11-301 defers to federal requirements.</w:t>
            </w:r>
          </w:p>
        </w:tc>
        <w:tc>
          <w:tcPr>
            <w:tcW w:w="2480" w:type="dxa"/>
            <w:shd w:val="clear" w:color="auto" w:fill="CBDEEC"/>
          </w:tcPr>
          <w:p w14:paraId="44450D74" w14:textId="77777777" w:rsidR="002C3A73" w:rsidRDefault="00B36623" w:rsidP="007F23D8">
            <w:pPr>
              <w:rPr>
                <w:rFonts w:ascii="Garamond" w:eastAsia="Times New Roman" w:hAnsi="Garamond" w:cs="Arial"/>
                <w:b/>
                <w:bCs/>
                <w:color w:val="000000" w:themeColor="dark1"/>
                <w:kern w:val="24"/>
              </w:rPr>
            </w:pPr>
            <w:r w:rsidRPr="00066C0C">
              <w:rPr>
                <w:rFonts w:ascii="Garamond" w:eastAsia="Times New Roman" w:hAnsi="Garamond" w:cs="Arial"/>
                <w:b/>
                <w:bCs/>
                <w:color w:val="000000" w:themeColor="dark1"/>
                <w:kern w:val="24"/>
              </w:rPr>
              <w:t xml:space="preserve">MPC 11-301  </w:t>
            </w:r>
          </w:p>
          <w:p w14:paraId="621D7B49" w14:textId="27716539"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color w:val="000000" w:themeColor="dark1"/>
                <w:kern w:val="24"/>
              </w:rPr>
              <w:t>Compliance with Federal Requirements</w:t>
            </w:r>
          </w:p>
        </w:tc>
      </w:tr>
      <w:tr w:rsidR="00B36623" w:rsidRPr="00066C0C" w14:paraId="50BD3D9E" w14:textId="77777777" w:rsidTr="007825C7">
        <w:trPr>
          <w:trHeight w:val="505"/>
        </w:trPr>
        <w:tc>
          <w:tcPr>
            <w:tcW w:w="735" w:type="dxa"/>
            <w:vMerge w:val="restart"/>
            <w:shd w:val="clear" w:color="auto" w:fill="0099CC"/>
            <w:tcMar>
              <w:top w:w="15" w:type="dxa"/>
              <w:left w:w="81" w:type="dxa"/>
              <w:bottom w:w="0" w:type="dxa"/>
              <w:right w:w="81" w:type="dxa"/>
            </w:tcMar>
            <w:textDirection w:val="btLr"/>
            <w:hideMark/>
          </w:tcPr>
          <w:p w14:paraId="1080E420" w14:textId="451455DB" w:rsidR="00B36623" w:rsidRPr="003D2A02" w:rsidRDefault="00B36623" w:rsidP="00744E66">
            <w:pPr>
              <w:ind w:left="115" w:right="115"/>
              <w:jc w:val="both"/>
              <w:rPr>
                <w:rFonts w:ascii="Garamond" w:eastAsia="Times New Roman" w:hAnsi="Garamond" w:cs="Arial"/>
                <w:sz w:val="28"/>
                <w:szCs w:val="28"/>
              </w:rPr>
            </w:pPr>
            <w:r w:rsidRPr="00744E66">
              <w:rPr>
                <w:rFonts w:ascii="Garamond" w:eastAsia="Times New Roman" w:hAnsi="Garamond" w:cs="Arial"/>
                <w:b/>
                <w:bCs/>
                <w:color w:val="FFFFFF" w:themeColor="light1"/>
                <w:kern w:val="24"/>
                <w:sz w:val="28"/>
                <w:szCs w:val="28"/>
              </w:rPr>
              <w:t xml:space="preserve">Other </w:t>
            </w:r>
            <w:r w:rsidRPr="003D2A02">
              <w:rPr>
                <w:rFonts w:ascii="Garamond" w:eastAsia="Times New Roman" w:hAnsi="Garamond" w:cs="Arial"/>
                <w:b/>
                <w:bCs/>
                <w:color w:val="FFFFFF" w:themeColor="light1"/>
                <w:kern w:val="24"/>
                <w:sz w:val="28"/>
                <w:szCs w:val="28"/>
              </w:rPr>
              <w:t>Non-Federal Entities (NFEs)</w:t>
            </w:r>
          </w:p>
        </w:tc>
        <w:tc>
          <w:tcPr>
            <w:tcW w:w="5375" w:type="dxa"/>
            <w:shd w:val="clear" w:color="auto" w:fill="E7EFF6"/>
            <w:tcMar>
              <w:top w:w="15" w:type="dxa"/>
              <w:left w:w="81" w:type="dxa"/>
              <w:bottom w:w="0" w:type="dxa"/>
              <w:right w:w="81" w:type="dxa"/>
            </w:tcMar>
            <w:hideMark/>
          </w:tcPr>
          <w:p w14:paraId="3BBC64EF" w14:textId="77777777" w:rsidR="00B36623" w:rsidRPr="003D2A02" w:rsidRDefault="00B36623" w:rsidP="007F23D8">
            <w:pPr>
              <w:rPr>
                <w:rFonts w:ascii="Garamond" w:eastAsia="Times New Roman" w:hAnsi="Garamond" w:cs="Arial"/>
                <w:sz w:val="28"/>
                <w:szCs w:val="28"/>
              </w:rPr>
            </w:pPr>
            <w:r w:rsidRPr="003D2A02">
              <w:rPr>
                <w:rFonts w:ascii="Garamond" w:eastAsia="Times New Roman" w:hAnsi="Garamond" w:cs="Arial"/>
                <w:color w:val="000000" w:themeColor="dark1"/>
                <w:kern w:val="24"/>
                <w:sz w:val="28"/>
                <w:szCs w:val="28"/>
              </w:rPr>
              <w:t>§ 200.318 General procurement standards.</w:t>
            </w:r>
          </w:p>
        </w:tc>
        <w:tc>
          <w:tcPr>
            <w:tcW w:w="4350" w:type="dxa"/>
            <w:shd w:val="clear" w:color="auto" w:fill="FFFF00"/>
            <w:tcMar>
              <w:top w:w="15" w:type="dxa"/>
              <w:left w:w="81" w:type="dxa"/>
              <w:bottom w:w="0" w:type="dxa"/>
              <w:right w:w="81" w:type="dxa"/>
            </w:tcMar>
            <w:hideMark/>
          </w:tcPr>
          <w:p w14:paraId="4578FF56" w14:textId="33CD897C"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OCI rules required; must consider contractor integrity; no T&amp;M (IDIQ?) absent determination; oversight required</w:t>
            </w:r>
            <w:r w:rsidR="002C3A73">
              <w:rPr>
                <w:rFonts w:ascii="Garamond" w:eastAsia="Times New Roman" w:hAnsi="Garamond" w:cs="Arial"/>
                <w:color w:val="000000" w:themeColor="dark1"/>
                <w:kern w:val="24"/>
              </w:rPr>
              <w:t>; NFE must address protests and disputes</w:t>
            </w:r>
            <w:r w:rsidR="007825C7">
              <w:rPr>
                <w:rFonts w:ascii="Garamond" w:eastAsia="Times New Roman" w:hAnsi="Garamond" w:cs="Arial"/>
                <w:color w:val="000000" w:themeColor="dark1"/>
                <w:kern w:val="24"/>
              </w:rPr>
              <w:t>.</w:t>
            </w:r>
          </w:p>
        </w:tc>
        <w:tc>
          <w:tcPr>
            <w:tcW w:w="2480" w:type="dxa"/>
            <w:shd w:val="clear" w:color="auto" w:fill="DEEAF6" w:themeFill="accent5" w:themeFillTint="33"/>
          </w:tcPr>
          <w:p w14:paraId="4DE87044" w14:textId="77777777"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b/>
                <w:bCs/>
                <w:color w:val="000000" w:themeColor="dark1"/>
                <w:kern w:val="24"/>
              </w:rPr>
              <w:t>Article 2</w:t>
            </w:r>
            <w:r w:rsidRPr="00066C0C">
              <w:rPr>
                <w:rFonts w:ascii="Garamond" w:eastAsia="Times New Roman" w:hAnsi="Garamond" w:cs="Arial"/>
                <w:color w:val="000000" w:themeColor="dark1"/>
                <w:kern w:val="24"/>
              </w:rPr>
              <w:t xml:space="preserve"> Procurement Organization</w:t>
            </w:r>
          </w:p>
          <w:p w14:paraId="6927BB5D" w14:textId="77777777"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b/>
                <w:bCs/>
                <w:color w:val="000000" w:themeColor="dark1"/>
                <w:kern w:val="24"/>
              </w:rPr>
              <w:t>Art. 3, Part B</w:t>
            </w:r>
            <w:r w:rsidRPr="00066C0C">
              <w:rPr>
                <w:rFonts w:ascii="Garamond" w:eastAsia="Times New Roman" w:hAnsi="Garamond" w:cs="Arial"/>
                <w:color w:val="000000" w:themeColor="dark1"/>
                <w:kern w:val="24"/>
              </w:rPr>
              <w:t xml:space="preserve"> Methods of Source Selection</w:t>
            </w:r>
          </w:p>
          <w:p w14:paraId="344BD6BF" w14:textId="77777777" w:rsidR="00B36623" w:rsidRDefault="00B36623" w:rsidP="007F23D8">
            <w:pPr>
              <w:rPr>
                <w:rFonts w:ascii="Garamond" w:eastAsia="Times New Roman" w:hAnsi="Garamond" w:cs="Arial"/>
                <w:color w:val="000000" w:themeColor="dark1"/>
                <w:kern w:val="24"/>
              </w:rPr>
            </w:pPr>
            <w:r w:rsidRPr="00066C0C">
              <w:rPr>
                <w:rFonts w:ascii="Garamond" w:eastAsia="Times New Roman" w:hAnsi="Garamond" w:cs="Arial"/>
                <w:b/>
                <w:bCs/>
                <w:color w:val="000000" w:themeColor="dark1"/>
                <w:kern w:val="24"/>
              </w:rPr>
              <w:t>Art. 3, Part D</w:t>
            </w:r>
            <w:r w:rsidRPr="00066C0C">
              <w:rPr>
                <w:rFonts w:ascii="Garamond" w:eastAsia="Times New Roman" w:hAnsi="Garamond" w:cs="Arial"/>
                <w:color w:val="000000" w:themeColor="dark1"/>
                <w:kern w:val="24"/>
              </w:rPr>
              <w:t xml:space="preserve"> </w:t>
            </w:r>
          </w:p>
          <w:p w14:paraId="5C7A2FCE" w14:textId="77777777"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color w:val="000000" w:themeColor="dark1"/>
                <w:kern w:val="24"/>
              </w:rPr>
              <w:t>Qualifications and Duties</w:t>
            </w:r>
          </w:p>
          <w:p w14:paraId="5688EA8B" w14:textId="77777777" w:rsidR="00B36623" w:rsidRDefault="00B36623" w:rsidP="007F23D8">
            <w:pPr>
              <w:rPr>
                <w:rFonts w:ascii="Garamond" w:eastAsia="Times New Roman" w:hAnsi="Garamond" w:cs="Arial"/>
                <w:b/>
                <w:bCs/>
                <w:color w:val="000000" w:themeColor="dark1"/>
                <w:kern w:val="24"/>
              </w:rPr>
            </w:pPr>
            <w:r>
              <w:rPr>
                <w:rFonts w:ascii="Garamond" w:eastAsia="Times New Roman" w:hAnsi="Garamond" w:cs="Arial"/>
                <w:b/>
                <w:bCs/>
                <w:color w:val="000000" w:themeColor="dark1"/>
                <w:kern w:val="24"/>
              </w:rPr>
              <w:t>Article 4</w:t>
            </w:r>
          </w:p>
          <w:p w14:paraId="5D9AC83C" w14:textId="070A9C40" w:rsidR="00B36623" w:rsidRDefault="00B36623" w:rsidP="007F23D8">
            <w:pPr>
              <w:rPr>
                <w:rFonts w:ascii="Garamond" w:eastAsia="Times New Roman" w:hAnsi="Garamond" w:cs="Arial"/>
                <w:color w:val="000000" w:themeColor="dark1"/>
                <w:kern w:val="24"/>
              </w:rPr>
            </w:pPr>
            <w:r>
              <w:rPr>
                <w:rFonts w:ascii="Garamond" w:eastAsia="Times New Roman" w:hAnsi="Garamond" w:cs="Arial"/>
                <w:color w:val="000000" w:themeColor="dark1"/>
                <w:kern w:val="24"/>
              </w:rPr>
              <w:t>Specifications</w:t>
            </w:r>
          </w:p>
          <w:p w14:paraId="3D1909E8" w14:textId="1CBE7579" w:rsidR="002C3A73" w:rsidRDefault="002C3A73" w:rsidP="007F23D8">
            <w:pPr>
              <w:rPr>
                <w:rFonts w:ascii="Garamond" w:eastAsia="Times New Roman" w:hAnsi="Garamond" w:cs="Arial"/>
                <w:color w:val="000000" w:themeColor="dark1"/>
                <w:kern w:val="24"/>
              </w:rPr>
            </w:pPr>
            <w:r>
              <w:rPr>
                <w:rFonts w:ascii="Garamond" w:eastAsia="Times New Roman" w:hAnsi="Garamond" w:cs="Arial"/>
                <w:b/>
                <w:bCs/>
                <w:color w:val="000000" w:themeColor="dark1"/>
                <w:kern w:val="24"/>
              </w:rPr>
              <w:t>Article 9</w:t>
            </w:r>
          </w:p>
          <w:p w14:paraId="51AD5EC0" w14:textId="74EDE5CE" w:rsidR="002C3A73" w:rsidRPr="002C3A73" w:rsidRDefault="002C3A73" w:rsidP="007F23D8">
            <w:pPr>
              <w:rPr>
                <w:rFonts w:ascii="Garamond" w:eastAsia="Times New Roman" w:hAnsi="Garamond" w:cs="Arial"/>
                <w:color w:val="000000" w:themeColor="dark1"/>
                <w:kern w:val="24"/>
              </w:rPr>
            </w:pPr>
            <w:r>
              <w:rPr>
                <w:rFonts w:ascii="Garamond" w:eastAsia="Times New Roman" w:hAnsi="Garamond" w:cs="Arial"/>
                <w:color w:val="000000" w:themeColor="dark1"/>
                <w:kern w:val="24"/>
              </w:rPr>
              <w:t>Legal and Contractual Remedies</w:t>
            </w:r>
          </w:p>
          <w:p w14:paraId="49457D8E" w14:textId="77777777" w:rsidR="002C3A73" w:rsidRDefault="00B36623" w:rsidP="007F23D8">
            <w:pPr>
              <w:rPr>
                <w:rFonts w:ascii="Garamond" w:eastAsia="Times New Roman" w:hAnsi="Garamond" w:cs="Arial"/>
                <w:color w:val="000000" w:themeColor="dark1"/>
                <w:kern w:val="24"/>
              </w:rPr>
            </w:pPr>
            <w:r w:rsidRPr="00066C0C">
              <w:rPr>
                <w:rFonts w:ascii="Garamond" w:eastAsia="Times New Roman" w:hAnsi="Garamond" w:cs="Arial"/>
                <w:b/>
                <w:bCs/>
                <w:color w:val="000000" w:themeColor="dark1"/>
                <w:kern w:val="24"/>
              </w:rPr>
              <w:t>MPC 10-201</w:t>
            </w:r>
            <w:r w:rsidRPr="00066C0C">
              <w:rPr>
                <w:rFonts w:ascii="Garamond" w:eastAsia="Times New Roman" w:hAnsi="Garamond" w:cs="Arial"/>
                <w:color w:val="000000" w:themeColor="dark1"/>
                <w:kern w:val="24"/>
              </w:rPr>
              <w:t xml:space="preserve"> </w:t>
            </w:r>
          </w:p>
          <w:p w14:paraId="16009BA9" w14:textId="65961236"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color w:val="000000" w:themeColor="dark1"/>
                <w:kern w:val="24"/>
              </w:rPr>
              <w:t>Cooperative purchasing</w:t>
            </w:r>
          </w:p>
          <w:p w14:paraId="30607185" w14:textId="77777777"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b/>
                <w:bCs/>
                <w:color w:val="000000" w:themeColor="dark1"/>
                <w:kern w:val="24"/>
              </w:rPr>
              <w:t>Article 12</w:t>
            </w:r>
            <w:r w:rsidRPr="00066C0C">
              <w:rPr>
                <w:rFonts w:ascii="Garamond" w:eastAsia="Times New Roman" w:hAnsi="Garamond" w:cs="Arial"/>
                <w:color w:val="000000" w:themeColor="dark1"/>
                <w:kern w:val="24"/>
              </w:rPr>
              <w:t xml:space="preserve"> </w:t>
            </w:r>
          </w:p>
          <w:p w14:paraId="7EEFCDF5" w14:textId="53398928" w:rsidR="002C3A7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color w:val="000000" w:themeColor="dark1"/>
                <w:kern w:val="24"/>
              </w:rPr>
              <w:lastRenderedPageBreak/>
              <w:t>Ethics in Public Contracting</w:t>
            </w:r>
          </w:p>
        </w:tc>
      </w:tr>
      <w:tr w:rsidR="00B36623" w:rsidRPr="00066C0C" w14:paraId="71B11010" w14:textId="77777777" w:rsidTr="007F23D8">
        <w:trPr>
          <w:trHeight w:val="679"/>
        </w:trPr>
        <w:tc>
          <w:tcPr>
            <w:tcW w:w="0" w:type="auto"/>
            <w:vMerge/>
            <w:vAlign w:val="center"/>
            <w:hideMark/>
          </w:tcPr>
          <w:p w14:paraId="06F1BBEE" w14:textId="77777777" w:rsidR="00B36623" w:rsidRPr="003D2A02" w:rsidRDefault="00B36623" w:rsidP="007F23D8">
            <w:pPr>
              <w:rPr>
                <w:rFonts w:ascii="Garamond" w:eastAsia="Times New Roman" w:hAnsi="Garamond" w:cs="Arial"/>
              </w:rPr>
            </w:pPr>
          </w:p>
        </w:tc>
        <w:tc>
          <w:tcPr>
            <w:tcW w:w="5375" w:type="dxa"/>
            <w:shd w:val="clear" w:color="auto" w:fill="CBDEEC"/>
            <w:tcMar>
              <w:top w:w="15" w:type="dxa"/>
              <w:left w:w="81" w:type="dxa"/>
              <w:bottom w:w="0" w:type="dxa"/>
              <w:right w:w="81" w:type="dxa"/>
            </w:tcMar>
            <w:hideMark/>
          </w:tcPr>
          <w:p w14:paraId="02C351A9"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200.319 Competition.</w:t>
            </w:r>
          </w:p>
        </w:tc>
        <w:tc>
          <w:tcPr>
            <w:tcW w:w="4350" w:type="dxa"/>
            <w:shd w:val="clear" w:color="auto" w:fill="FFFF00"/>
            <w:tcMar>
              <w:top w:w="15" w:type="dxa"/>
              <w:left w:w="81" w:type="dxa"/>
              <w:bottom w:w="0" w:type="dxa"/>
              <w:right w:w="81" w:type="dxa"/>
            </w:tcMar>
            <w:hideMark/>
          </w:tcPr>
          <w:p w14:paraId="1A207CB7"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Exclude those with OCIs; no geographic preferences; prequalification must be open</w:t>
            </w:r>
          </w:p>
        </w:tc>
        <w:tc>
          <w:tcPr>
            <w:tcW w:w="2480" w:type="dxa"/>
            <w:shd w:val="clear" w:color="auto" w:fill="D9E2F3" w:themeFill="accent1" w:themeFillTint="33"/>
          </w:tcPr>
          <w:p w14:paraId="6B5D346C" w14:textId="47520BCE"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b/>
                <w:bCs/>
                <w:color w:val="000000" w:themeColor="dark1"/>
                <w:kern w:val="24"/>
              </w:rPr>
              <w:t>Art</w:t>
            </w:r>
            <w:r>
              <w:rPr>
                <w:rFonts w:ascii="Garamond" w:eastAsia="Times New Roman" w:hAnsi="Garamond" w:cs="Arial"/>
                <w:b/>
                <w:bCs/>
                <w:color w:val="000000" w:themeColor="dark1"/>
                <w:kern w:val="24"/>
              </w:rPr>
              <w:t>icle</w:t>
            </w:r>
            <w:r w:rsidRPr="00066C0C">
              <w:rPr>
                <w:rFonts w:ascii="Garamond" w:eastAsia="Times New Roman" w:hAnsi="Garamond" w:cs="Arial"/>
                <w:b/>
                <w:bCs/>
                <w:color w:val="000000" w:themeColor="dark1"/>
                <w:kern w:val="24"/>
              </w:rPr>
              <w:t xml:space="preserve"> 3, Part D</w:t>
            </w:r>
            <w:r w:rsidRPr="00066C0C">
              <w:rPr>
                <w:rFonts w:ascii="Garamond" w:eastAsia="Times New Roman" w:hAnsi="Garamond" w:cs="Arial"/>
                <w:color w:val="000000" w:themeColor="dark1"/>
                <w:kern w:val="24"/>
              </w:rPr>
              <w:t xml:space="preserve"> Qualifications and Duties</w:t>
            </w:r>
          </w:p>
        </w:tc>
      </w:tr>
      <w:tr w:rsidR="00B36623" w:rsidRPr="00066C0C" w14:paraId="25456FEC" w14:textId="77777777" w:rsidTr="007F23D8">
        <w:trPr>
          <w:trHeight w:val="339"/>
        </w:trPr>
        <w:tc>
          <w:tcPr>
            <w:tcW w:w="0" w:type="auto"/>
            <w:vMerge/>
            <w:vAlign w:val="center"/>
            <w:hideMark/>
          </w:tcPr>
          <w:p w14:paraId="30C22755" w14:textId="77777777" w:rsidR="00B36623" w:rsidRPr="003D2A02" w:rsidRDefault="00B36623" w:rsidP="007F23D8">
            <w:pPr>
              <w:rPr>
                <w:rFonts w:ascii="Garamond" w:eastAsia="Times New Roman" w:hAnsi="Garamond" w:cs="Arial"/>
              </w:rPr>
            </w:pPr>
          </w:p>
        </w:tc>
        <w:tc>
          <w:tcPr>
            <w:tcW w:w="5375" w:type="dxa"/>
            <w:shd w:val="clear" w:color="auto" w:fill="E7EFF6"/>
            <w:tcMar>
              <w:top w:w="15" w:type="dxa"/>
              <w:left w:w="81" w:type="dxa"/>
              <w:bottom w:w="0" w:type="dxa"/>
              <w:right w:w="81" w:type="dxa"/>
            </w:tcMar>
            <w:hideMark/>
          </w:tcPr>
          <w:p w14:paraId="236BA28D"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200.320 Methods of procurement to be followed.</w:t>
            </w:r>
          </w:p>
        </w:tc>
        <w:tc>
          <w:tcPr>
            <w:tcW w:w="4350" w:type="dxa"/>
            <w:shd w:val="clear" w:color="auto" w:fill="E7EFF6"/>
            <w:tcMar>
              <w:top w:w="15" w:type="dxa"/>
              <w:left w:w="81" w:type="dxa"/>
              <w:bottom w:w="0" w:type="dxa"/>
              <w:right w:w="81" w:type="dxa"/>
            </w:tcMar>
            <w:hideMark/>
          </w:tcPr>
          <w:p w14:paraId="7347B750"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Micro-purchases (optional)</w:t>
            </w:r>
          </w:p>
        </w:tc>
        <w:tc>
          <w:tcPr>
            <w:tcW w:w="2480" w:type="dxa"/>
            <w:shd w:val="clear" w:color="auto" w:fill="E7EFF6"/>
          </w:tcPr>
          <w:p w14:paraId="21506BD4" w14:textId="45A7C3ED" w:rsidR="00B36623" w:rsidRPr="00066C0C" w:rsidRDefault="00B36623" w:rsidP="007F23D8">
            <w:pPr>
              <w:rPr>
                <w:rFonts w:ascii="Garamond" w:eastAsia="Times New Roman" w:hAnsi="Garamond" w:cs="Arial"/>
                <w:color w:val="000000" w:themeColor="dark1"/>
                <w:kern w:val="24"/>
              </w:rPr>
            </w:pPr>
            <w:r w:rsidRPr="00066C0C">
              <w:rPr>
                <w:rFonts w:ascii="Garamond" w:eastAsia="Times New Roman" w:hAnsi="Garamond" w:cs="Arial"/>
                <w:b/>
                <w:bCs/>
                <w:color w:val="000000" w:themeColor="dark1"/>
                <w:kern w:val="24"/>
              </w:rPr>
              <w:t>Art</w:t>
            </w:r>
            <w:r>
              <w:rPr>
                <w:rFonts w:ascii="Garamond" w:eastAsia="Times New Roman" w:hAnsi="Garamond" w:cs="Arial"/>
                <w:b/>
                <w:bCs/>
                <w:color w:val="000000" w:themeColor="dark1"/>
                <w:kern w:val="24"/>
              </w:rPr>
              <w:t>icle</w:t>
            </w:r>
            <w:r w:rsidRPr="00066C0C">
              <w:rPr>
                <w:rFonts w:ascii="Garamond" w:eastAsia="Times New Roman" w:hAnsi="Garamond" w:cs="Arial"/>
                <w:b/>
                <w:bCs/>
                <w:color w:val="000000" w:themeColor="dark1"/>
                <w:kern w:val="24"/>
              </w:rPr>
              <w:t xml:space="preserve"> 3, Part B</w:t>
            </w:r>
            <w:r w:rsidRPr="00066C0C">
              <w:rPr>
                <w:rFonts w:ascii="Garamond" w:eastAsia="Times New Roman" w:hAnsi="Garamond" w:cs="Arial"/>
                <w:color w:val="000000" w:themeColor="dark1"/>
                <w:kern w:val="24"/>
              </w:rPr>
              <w:t xml:space="preserve"> Methods of Source Selection</w:t>
            </w:r>
          </w:p>
        </w:tc>
      </w:tr>
      <w:tr w:rsidR="00B36623" w:rsidRPr="00066C0C" w14:paraId="60F4F9FD" w14:textId="77777777" w:rsidTr="007F23D8">
        <w:trPr>
          <w:trHeight w:val="1984"/>
        </w:trPr>
        <w:tc>
          <w:tcPr>
            <w:tcW w:w="0" w:type="auto"/>
            <w:vMerge/>
            <w:vAlign w:val="center"/>
            <w:hideMark/>
          </w:tcPr>
          <w:p w14:paraId="73E36448" w14:textId="77777777" w:rsidR="00B36623" w:rsidRPr="003D2A02" w:rsidRDefault="00B36623" w:rsidP="007F23D8">
            <w:pPr>
              <w:rPr>
                <w:rFonts w:ascii="Garamond" w:eastAsia="Times New Roman" w:hAnsi="Garamond" w:cs="Arial"/>
              </w:rPr>
            </w:pPr>
          </w:p>
        </w:tc>
        <w:tc>
          <w:tcPr>
            <w:tcW w:w="5375" w:type="dxa"/>
            <w:shd w:val="clear" w:color="auto" w:fill="CBDEEC"/>
            <w:tcMar>
              <w:top w:w="15" w:type="dxa"/>
              <w:left w:w="81" w:type="dxa"/>
              <w:bottom w:w="0" w:type="dxa"/>
              <w:right w:w="81" w:type="dxa"/>
            </w:tcMar>
            <w:hideMark/>
          </w:tcPr>
          <w:p w14:paraId="758B1D28"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200.321 Contracting with small and minority businesses, women's business enterprises, and labor surplus area firms.  NFE “must take all necessary affirmative steps to assure that minority businesses, women's business enterprises, and labor surplus area firms are used when possible” --</w:t>
            </w:r>
          </w:p>
        </w:tc>
        <w:tc>
          <w:tcPr>
            <w:tcW w:w="4350" w:type="dxa"/>
            <w:shd w:val="clear" w:color="auto" w:fill="CBDEEC"/>
            <w:tcMar>
              <w:top w:w="15" w:type="dxa"/>
              <w:left w:w="81" w:type="dxa"/>
              <w:bottom w:w="0" w:type="dxa"/>
              <w:right w:w="81" w:type="dxa"/>
            </w:tcMar>
            <w:hideMark/>
          </w:tcPr>
          <w:p w14:paraId="74EA833C"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MPC sets suggested methods for addressing socioeconomic goals.</w:t>
            </w:r>
          </w:p>
        </w:tc>
        <w:tc>
          <w:tcPr>
            <w:tcW w:w="2480" w:type="dxa"/>
            <w:shd w:val="clear" w:color="auto" w:fill="CBDEEC"/>
          </w:tcPr>
          <w:p w14:paraId="3B4671AB" w14:textId="53815471" w:rsidR="002C3A73" w:rsidRDefault="00B36623" w:rsidP="007F23D8">
            <w:pPr>
              <w:rPr>
                <w:rFonts w:ascii="Garamond" w:hAnsi="Garamond"/>
                <w:b/>
                <w:bCs/>
              </w:rPr>
            </w:pPr>
            <w:r w:rsidRPr="00066C0C">
              <w:rPr>
                <w:rFonts w:ascii="Garamond" w:hAnsi="Garamond"/>
                <w:b/>
                <w:bCs/>
              </w:rPr>
              <w:t xml:space="preserve">Article 11 </w:t>
            </w:r>
          </w:p>
          <w:p w14:paraId="63B990CD" w14:textId="01372300" w:rsidR="00B36623" w:rsidRPr="00066C0C" w:rsidRDefault="00B36623" w:rsidP="007F23D8">
            <w:pPr>
              <w:rPr>
                <w:rFonts w:ascii="Garamond" w:eastAsia="Times New Roman" w:hAnsi="Garamond" w:cs="Arial"/>
                <w:color w:val="000000" w:themeColor="dark1"/>
                <w:kern w:val="24"/>
              </w:rPr>
            </w:pPr>
            <w:r w:rsidRPr="00066C0C">
              <w:rPr>
                <w:rFonts w:ascii="Garamond" w:hAnsi="Garamond"/>
              </w:rPr>
              <w:t xml:space="preserve">Assistance to Small and Disadvantaged Businesses; Federal Assistance or Contract Procurement Requirements </w:t>
            </w:r>
          </w:p>
        </w:tc>
      </w:tr>
      <w:tr w:rsidR="00B36623" w:rsidRPr="00066C0C" w14:paraId="76DECF80" w14:textId="77777777" w:rsidTr="007F23D8">
        <w:trPr>
          <w:trHeight w:val="1419"/>
        </w:trPr>
        <w:tc>
          <w:tcPr>
            <w:tcW w:w="0" w:type="auto"/>
            <w:vMerge/>
            <w:vAlign w:val="center"/>
            <w:hideMark/>
          </w:tcPr>
          <w:p w14:paraId="31273FDE" w14:textId="77777777" w:rsidR="00B36623" w:rsidRPr="003D2A02" w:rsidRDefault="00B36623" w:rsidP="007F23D8">
            <w:pPr>
              <w:rPr>
                <w:rFonts w:ascii="Garamond" w:eastAsia="Times New Roman" w:hAnsi="Garamond" w:cs="Arial"/>
              </w:rPr>
            </w:pPr>
          </w:p>
        </w:tc>
        <w:tc>
          <w:tcPr>
            <w:tcW w:w="5375" w:type="dxa"/>
            <w:shd w:val="clear" w:color="auto" w:fill="E7EFF6"/>
            <w:tcMar>
              <w:top w:w="15" w:type="dxa"/>
              <w:left w:w="81" w:type="dxa"/>
              <w:bottom w:w="0" w:type="dxa"/>
              <w:right w:w="81" w:type="dxa"/>
            </w:tcMar>
            <w:hideMark/>
          </w:tcPr>
          <w:p w14:paraId="49CA0323"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200.322 Domestic preferences for procurements.  OMB:  “As appropriate . . . [NFE] . . . the non-Federal entity should, to the greatest extent practicable under a Federal award, provide a preference for . . . goods, products, or materials produced in the United States . . .”</w:t>
            </w:r>
          </w:p>
        </w:tc>
        <w:tc>
          <w:tcPr>
            <w:tcW w:w="4350" w:type="dxa"/>
            <w:shd w:val="clear" w:color="auto" w:fill="FFFF00"/>
            <w:tcMar>
              <w:top w:w="15" w:type="dxa"/>
              <w:left w:w="81" w:type="dxa"/>
              <w:bottom w:w="0" w:type="dxa"/>
              <w:right w:w="81" w:type="dxa"/>
            </w:tcMar>
            <w:hideMark/>
          </w:tcPr>
          <w:p w14:paraId="65E7273C"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w:t>
            </w:r>
            <w:r w:rsidRPr="00066C0C">
              <w:rPr>
                <w:rFonts w:ascii="Garamond" w:eastAsia="Times New Roman" w:hAnsi="Garamond" w:cs="Arial"/>
                <w:color w:val="000000" w:themeColor="dark1"/>
                <w:kern w:val="24"/>
              </w:rPr>
              <w:t>No MPC provision.</w:t>
            </w:r>
          </w:p>
        </w:tc>
        <w:tc>
          <w:tcPr>
            <w:tcW w:w="2480" w:type="dxa"/>
            <w:shd w:val="clear" w:color="auto" w:fill="FFFF00"/>
          </w:tcPr>
          <w:p w14:paraId="345D7AA7" w14:textId="239164DE" w:rsidR="002C3A73" w:rsidRDefault="00B36623" w:rsidP="007F23D8">
            <w:pPr>
              <w:rPr>
                <w:rFonts w:ascii="Garamond" w:hAnsi="Garamond"/>
                <w:b/>
                <w:bCs/>
              </w:rPr>
            </w:pPr>
            <w:r w:rsidRPr="00066C0C">
              <w:rPr>
                <w:rFonts w:ascii="Garamond" w:hAnsi="Garamond"/>
                <w:b/>
                <w:bCs/>
              </w:rPr>
              <w:t xml:space="preserve">Article 11    </w:t>
            </w:r>
          </w:p>
          <w:p w14:paraId="6FD91A9C" w14:textId="25BF3B95" w:rsidR="00B36623" w:rsidRPr="00066C0C" w:rsidRDefault="00B36623" w:rsidP="007F23D8">
            <w:pPr>
              <w:rPr>
                <w:rFonts w:ascii="Garamond" w:eastAsia="Times New Roman" w:hAnsi="Garamond" w:cs="Arial"/>
                <w:color w:val="000000" w:themeColor="dark1"/>
                <w:kern w:val="24"/>
              </w:rPr>
            </w:pPr>
            <w:r w:rsidRPr="00066C0C">
              <w:rPr>
                <w:rFonts w:ascii="Garamond" w:hAnsi="Garamond"/>
              </w:rPr>
              <w:t>Assistance to Small and Disadvantaged Businesses; Federal Assistance or Contract Procurement Requirements</w:t>
            </w:r>
          </w:p>
        </w:tc>
      </w:tr>
      <w:tr w:rsidR="00B36623" w:rsidRPr="00066C0C" w14:paraId="175BAA46" w14:textId="77777777" w:rsidTr="007F23D8">
        <w:trPr>
          <w:trHeight w:val="339"/>
        </w:trPr>
        <w:tc>
          <w:tcPr>
            <w:tcW w:w="0" w:type="auto"/>
            <w:vMerge/>
            <w:vAlign w:val="center"/>
            <w:hideMark/>
          </w:tcPr>
          <w:p w14:paraId="5CCB5304" w14:textId="77777777" w:rsidR="00B36623" w:rsidRPr="003D2A02" w:rsidRDefault="00B36623" w:rsidP="007F23D8">
            <w:pPr>
              <w:rPr>
                <w:rFonts w:ascii="Garamond" w:eastAsia="Times New Roman" w:hAnsi="Garamond" w:cs="Arial"/>
              </w:rPr>
            </w:pPr>
          </w:p>
        </w:tc>
        <w:tc>
          <w:tcPr>
            <w:tcW w:w="5375" w:type="dxa"/>
            <w:shd w:val="clear" w:color="auto" w:fill="CBDEEC"/>
            <w:tcMar>
              <w:top w:w="15" w:type="dxa"/>
              <w:left w:w="81" w:type="dxa"/>
              <w:bottom w:w="0" w:type="dxa"/>
              <w:right w:w="81" w:type="dxa"/>
            </w:tcMar>
            <w:hideMark/>
          </w:tcPr>
          <w:p w14:paraId="7F3CA17B"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200.323 Procurement of recovered materials.</w:t>
            </w:r>
          </w:p>
        </w:tc>
        <w:tc>
          <w:tcPr>
            <w:tcW w:w="4350" w:type="dxa"/>
            <w:shd w:val="clear" w:color="auto" w:fill="FFFF00"/>
            <w:tcMar>
              <w:top w:w="15" w:type="dxa"/>
              <w:left w:w="81" w:type="dxa"/>
              <w:bottom w:w="0" w:type="dxa"/>
              <w:right w:w="81" w:type="dxa"/>
            </w:tcMar>
            <w:hideMark/>
          </w:tcPr>
          <w:p w14:paraId="540BF480"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w:t>
            </w:r>
            <w:r w:rsidRPr="002C3A73">
              <w:rPr>
                <w:rFonts w:ascii="Garamond" w:eastAsia="Times New Roman" w:hAnsi="Garamond" w:cs="Arial"/>
                <w:color w:val="000000" w:themeColor="dark1"/>
                <w:kern w:val="24"/>
              </w:rPr>
              <w:t>No MPC provision.</w:t>
            </w:r>
          </w:p>
        </w:tc>
        <w:tc>
          <w:tcPr>
            <w:tcW w:w="2480" w:type="dxa"/>
            <w:shd w:val="clear" w:color="auto" w:fill="FFFF00"/>
          </w:tcPr>
          <w:p w14:paraId="21ED4B25" w14:textId="5840CC3C" w:rsidR="002C3A73" w:rsidRPr="002C3A73" w:rsidRDefault="002C3A73" w:rsidP="007F23D8">
            <w:pPr>
              <w:rPr>
                <w:rFonts w:ascii="Garamond" w:hAnsi="Garamond"/>
                <w:b/>
                <w:bCs/>
              </w:rPr>
            </w:pPr>
            <w:r w:rsidRPr="002C3A73">
              <w:rPr>
                <w:rFonts w:ascii="Garamond" w:hAnsi="Garamond"/>
                <w:b/>
                <w:bCs/>
              </w:rPr>
              <w:t>Article 8</w:t>
            </w:r>
          </w:p>
          <w:p w14:paraId="2686FE47" w14:textId="77777777" w:rsidR="002C3A73" w:rsidRPr="002C3A73" w:rsidRDefault="002C3A73" w:rsidP="007F23D8">
            <w:pPr>
              <w:rPr>
                <w:rFonts w:ascii="Garamond" w:hAnsi="Garamond"/>
              </w:rPr>
            </w:pPr>
            <w:r w:rsidRPr="002C3A73">
              <w:rPr>
                <w:rFonts w:ascii="Garamond" w:hAnsi="Garamond"/>
              </w:rPr>
              <w:t>Supply Management</w:t>
            </w:r>
          </w:p>
          <w:p w14:paraId="1ECDC0FD" w14:textId="77777777" w:rsidR="002C3A73" w:rsidRDefault="00B36623" w:rsidP="007F23D8">
            <w:pPr>
              <w:rPr>
                <w:rFonts w:ascii="Garamond" w:hAnsi="Garamond"/>
                <w:b/>
                <w:bCs/>
              </w:rPr>
            </w:pPr>
            <w:r w:rsidRPr="002C3A73">
              <w:rPr>
                <w:rFonts w:ascii="Garamond" w:hAnsi="Garamond"/>
                <w:b/>
                <w:bCs/>
              </w:rPr>
              <w:t>Article 11</w:t>
            </w:r>
          </w:p>
          <w:p w14:paraId="69AFC669" w14:textId="2EB632F6" w:rsidR="00B36623" w:rsidRPr="002C3A73" w:rsidRDefault="00B36623" w:rsidP="007F23D8">
            <w:pPr>
              <w:rPr>
                <w:rFonts w:ascii="Garamond" w:eastAsia="Times New Roman" w:hAnsi="Garamond" w:cs="Arial"/>
                <w:color w:val="000000" w:themeColor="dark1"/>
                <w:kern w:val="24"/>
              </w:rPr>
            </w:pPr>
            <w:r w:rsidRPr="002C3A73">
              <w:rPr>
                <w:rFonts w:ascii="Garamond" w:hAnsi="Garamond"/>
              </w:rPr>
              <w:t>Assistance to Small and Disadvantaged Businesses; Federal Assistance or Contract Procurement Requirements</w:t>
            </w:r>
          </w:p>
        </w:tc>
      </w:tr>
      <w:tr w:rsidR="00B36623" w:rsidRPr="00066C0C" w14:paraId="6769C2A4" w14:textId="77777777" w:rsidTr="00872487">
        <w:trPr>
          <w:trHeight w:val="325"/>
        </w:trPr>
        <w:tc>
          <w:tcPr>
            <w:tcW w:w="0" w:type="auto"/>
            <w:vMerge/>
            <w:vAlign w:val="center"/>
            <w:hideMark/>
          </w:tcPr>
          <w:p w14:paraId="32A00A22" w14:textId="77777777" w:rsidR="00B36623" w:rsidRPr="003D2A02" w:rsidRDefault="00B36623" w:rsidP="007F23D8">
            <w:pPr>
              <w:rPr>
                <w:rFonts w:ascii="Garamond" w:eastAsia="Times New Roman" w:hAnsi="Garamond" w:cs="Arial"/>
              </w:rPr>
            </w:pPr>
          </w:p>
        </w:tc>
        <w:tc>
          <w:tcPr>
            <w:tcW w:w="5375" w:type="dxa"/>
            <w:shd w:val="clear" w:color="auto" w:fill="E7EFF6"/>
            <w:tcMar>
              <w:top w:w="15" w:type="dxa"/>
              <w:left w:w="81" w:type="dxa"/>
              <w:bottom w:w="0" w:type="dxa"/>
              <w:right w:w="81" w:type="dxa"/>
            </w:tcMar>
            <w:hideMark/>
          </w:tcPr>
          <w:p w14:paraId="40B197DD"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200.324 Contract cost and price.  OMB: independent estimate before bids required.</w:t>
            </w:r>
          </w:p>
        </w:tc>
        <w:tc>
          <w:tcPr>
            <w:tcW w:w="4350" w:type="dxa"/>
            <w:shd w:val="clear" w:color="auto" w:fill="FFFF00"/>
            <w:tcMar>
              <w:top w:w="15" w:type="dxa"/>
              <w:left w:w="81" w:type="dxa"/>
              <w:bottom w:w="0" w:type="dxa"/>
              <w:right w:w="81" w:type="dxa"/>
            </w:tcMar>
            <w:hideMark/>
          </w:tcPr>
          <w:p w14:paraId="781BC722"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w:t>
            </w:r>
            <w:r w:rsidRPr="002C3A73">
              <w:rPr>
                <w:rFonts w:ascii="Garamond" w:eastAsia="Times New Roman" w:hAnsi="Garamond" w:cs="Arial"/>
                <w:color w:val="000000" w:themeColor="dark1"/>
                <w:kern w:val="24"/>
              </w:rPr>
              <w:t>No MPC provision.</w:t>
            </w:r>
          </w:p>
        </w:tc>
        <w:tc>
          <w:tcPr>
            <w:tcW w:w="2480" w:type="dxa"/>
            <w:shd w:val="clear" w:color="auto" w:fill="FFFF00"/>
          </w:tcPr>
          <w:p w14:paraId="264452E6" w14:textId="77777777" w:rsidR="00B36623" w:rsidRDefault="00B36623" w:rsidP="007F23D8">
            <w:pPr>
              <w:rPr>
                <w:rFonts w:ascii="Garamond" w:hAnsi="Garamond"/>
              </w:rPr>
            </w:pPr>
            <w:r w:rsidRPr="002C3A73">
              <w:rPr>
                <w:rFonts w:ascii="Garamond" w:hAnsi="Garamond"/>
                <w:b/>
                <w:bCs/>
              </w:rPr>
              <w:t xml:space="preserve">MPC 3-403 </w:t>
            </w:r>
            <w:r w:rsidRPr="002C3A73">
              <w:rPr>
                <w:rFonts w:ascii="Garamond" w:hAnsi="Garamond"/>
              </w:rPr>
              <w:t>Substantiation of Offered Prices</w:t>
            </w:r>
          </w:p>
          <w:p w14:paraId="262D03CB" w14:textId="77777777" w:rsidR="00872487" w:rsidRDefault="00872487" w:rsidP="00872487">
            <w:pPr>
              <w:rPr>
                <w:rFonts w:ascii="Garamond" w:eastAsia="Times New Roman" w:hAnsi="Garamond"/>
                <w:color w:val="000000" w:themeColor="dark1"/>
                <w:kern w:val="24"/>
              </w:rPr>
            </w:pPr>
            <w:r>
              <w:rPr>
                <w:rFonts w:ascii="Garamond" w:eastAsia="Times New Roman" w:hAnsi="Garamond"/>
                <w:b/>
                <w:bCs/>
                <w:color w:val="000000" w:themeColor="dark1"/>
                <w:kern w:val="24"/>
              </w:rPr>
              <w:t>Article 7</w:t>
            </w:r>
          </w:p>
          <w:p w14:paraId="5CB358FD" w14:textId="27F74C1A" w:rsidR="00872487" w:rsidRPr="002C3A73" w:rsidRDefault="00872487" w:rsidP="00872487">
            <w:pPr>
              <w:rPr>
                <w:rFonts w:ascii="Garamond" w:eastAsia="Times New Roman" w:hAnsi="Garamond" w:cs="Arial"/>
                <w:color w:val="000000" w:themeColor="dark1"/>
                <w:kern w:val="24"/>
              </w:rPr>
            </w:pPr>
            <w:r>
              <w:rPr>
                <w:rFonts w:ascii="Garamond" w:eastAsia="Times New Roman" w:hAnsi="Garamond"/>
                <w:color w:val="000000" w:themeColor="dark1"/>
                <w:kern w:val="24"/>
              </w:rPr>
              <w:t>Cost Principles</w:t>
            </w:r>
          </w:p>
        </w:tc>
      </w:tr>
      <w:tr w:rsidR="00B36623" w:rsidRPr="00066C0C" w14:paraId="75166D92" w14:textId="77777777" w:rsidTr="007F23D8">
        <w:trPr>
          <w:trHeight w:val="679"/>
        </w:trPr>
        <w:tc>
          <w:tcPr>
            <w:tcW w:w="0" w:type="auto"/>
            <w:vMerge/>
            <w:vAlign w:val="center"/>
            <w:hideMark/>
          </w:tcPr>
          <w:p w14:paraId="5F5CFA86" w14:textId="77777777" w:rsidR="00B36623" w:rsidRPr="003D2A02" w:rsidRDefault="00B36623" w:rsidP="007F23D8">
            <w:pPr>
              <w:rPr>
                <w:rFonts w:ascii="Garamond" w:eastAsia="Times New Roman" w:hAnsi="Garamond" w:cs="Arial"/>
              </w:rPr>
            </w:pPr>
          </w:p>
        </w:tc>
        <w:tc>
          <w:tcPr>
            <w:tcW w:w="5375" w:type="dxa"/>
            <w:shd w:val="clear" w:color="auto" w:fill="CBDEEC"/>
            <w:tcMar>
              <w:top w:w="15" w:type="dxa"/>
              <w:left w:w="81" w:type="dxa"/>
              <w:bottom w:w="0" w:type="dxa"/>
              <w:right w:w="81" w:type="dxa"/>
            </w:tcMar>
            <w:hideMark/>
          </w:tcPr>
          <w:p w14:paraId="0D03C491"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200.325 Federal awarding agency or pass-through entity review.</w:t>
            </w:r>
          </w:p>
        </w:tc>
        <w:tc>
          <w:tcPr>
            <w:tcW w:w="4350" w:type="dxa"/>
            <w:shd w:val="clear" w:color="auto" w:fill="FFFF00"/>
            <w:tcMar>
              <w:top w:w="15" w:type="dxa"/>
              <w:left w:w="81" w:type="dxa"/>
              <w:bottom w:w="0" w:type="dxa"/>
              <w:right w:w="81" w:type="dxa"/>
            </w:tcMar>
            <w:hideMark/>
          </w:tcPr>
          <w:p w14:paraId="6498B901" w14:textId="4CF0E51C"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No MPC provisions on procurement data standards or open contracting</w:t>
            </w:r>
            <w:r w:rsidR="007825C7">
              <w:rPr>
                <w:rFonts w:ascii="Garamond" w:eastAsia="Times New Roman" w:hAnsi="Garamond" w:cs="Arial"/>
                <w:color w:val="000000" w:themeColor="dark1"/>
                <w:kern w:val="24"/>
              </w:rPr>
              <w:t xml:space="preserve"> -- these are issues implicated by the OMB guidance.</w:t>
            </w:r>
          </w:p>
        </w:tc>
        <w:tc>
          <w:tcPr>
            <w:tcW w:w="2480" w:type="dxa"/>
            <w:shd w:val="clear" w:color="auto" w:fill="FFFF00"/>
          </w:tcPr>
          <w:p w14:paraId="51FE3C65" w14:textId="77777777" w:rsidR="00B36623" w:rsidRPr="002C3A73" w:rsidRDefault="00B36623" w:rsidP="007F23D8">
            <w:pPr>
              <w:rPr>
                <w:rFonts w:ascii="Garamond" w:eastAsia="Times New Roman" w:hAnsi="Garamond"/>
                <w:b/>
                <w:bCs/>
                <w:color w:val="000000" w:themeColor="dark1"/>
                <w:kern w:val="24"/>
              </w:rPr>
            </w:pPr>
            <w:r w:rsidRPr="002C3A73">
              <w:rPr>
                <w:rFonts w:ascii="Garamond" w:eastAsia="Times New Roman" w:hAnsi="Garamond"/>
                <w:b/>
                <w:bCs/>
                <w:color w:val="000000" w:themeColor="dark1"/>
                <w:kern w:val="24"/>
              </w:rPr>
              <w:t>Article 1, Part D</w:t>
            </w:r>
          </w:p>
          <w:p w14:paraId="215FD126" w14:textId="77777777" w:rsidR="00B36623" w:rsidRPr="002C3A73" w:rsidRDefault="00B36623" w:rsidP="007F23D8">
            <w:pPr>
              <w:rPr>
                <w:rFonts w:ascii="Garamond" w:eastAsia="Times New Roman" w:hAnsi="Garamond"/>
                <w:color w:val="000000" w:themeColor="dark1"/>
                <w:kern w:val="24"/>
              </w:rPr>
            </w:pPr>
            <w:r w:rsidRPr="002C3A73">
              <w:rPr>
                <w:rFonts w:ascii="Garamond" w:eastAsia="Times New Roman" w:hAnsi="Garamond"/>
                <w:color w:val="000000" w:themeColor="dark1"/>
                <w:kern w:val="24"/>
              </w:rPr>
              <w:t>Public Access</w:t>
            </w:r>
          </w:p>
          <w:p w14:paraId="73E76C34" w14:textId="77777777" w:rsidR="00B36623" w:rsidRPr="002C3A73" w:rsidRDefault="00B36623" w:rsidP="007F23D8">
            <w:pPr>
              <w:rPr>
                <w:rFonts w:ascii="Garamond" w:eastAsia="Times New Roman" w:hAnsi="Garamond"/>
                <w:b/>
                <w:bCs/>
                <w:color w:val="000000" w:themeColor="dark1"/>
                <w:kern w:val="24"/>
              </w:rPr>
            </w:pPr>
            <w:r w:rsidRPr="002C3A73">
              <w:rPr>
                <w:rFonts w:ascii="Garamond" w:eastAsia="Times New Roman" w:hAnsi="Garamond"/>
                <w:b/>
                <w:bCs/>
                <w:color w:val="000000" w:themeColor="dark1"/>
                <w:kern w:val="24"/>
              </w:rPr>
              <w:t>Article 2</w:t>
            </w:r>
          </w:p>
          <w:p w14:paraId="102EF916" w14:textId="77777777" w:rsidR="00B36623" w:rsidRPr="002C3A73" w:rsidRDefault="00B36623" w:rsidP="007F23D8">
            <w:pPr>
              <w:rPr>
                <w:rFonts w:ascii="Garamond" w:eastAsia="Times New Roman" w:hAnsi="Garamond"/>
                <w:color w:val="000000" w:themeColor="dark1"/>
                <w:kern w:val="24"/>
              </w:rPr>
            </w:pPr>
            <w:r w:rsidRPr="002C3A73">
              <w:rPr>
                <w:rFonts w:ascii="Garamond" w:eastAsia="Times New Roman" w:hAnsi="Garamond"/>
                <w:color w:val="000000" w:themeColor="dark1"/>
                <w:kern w:val="24"/>
              </w:rPr>
              <w:t>Procurement Organization</w:t>
            </w:r>
          </w:p>
        </w:tc>
      </w:tr>
      <w:tr w:rsidR="00B36623" w:rsidRPr="00066C0C" w14:paraId="3F5D4296" w14:textId="77777777" w:rsidTr="007F23D8">
        <w:trPr>
          <w:trHeight w:val="992"/>
        </w:trPr>
        <w:tc>
          <w:tcPr>
            <w:tcW w:w="0" w:type="auto"/>
            <w:vMerge/>
            <w:vAlign w:val="center"/>
            <w:hideMark/>
          </w:tcPr>
          <w:p w14:paraId="78767D29" w14:textId="77777777" w:rsidR="00B36623" w:rsidRPr="003D2A02" w:rsidRDefault="00B36623" w:rsidP="007F23D8">
            <w:pPr>
              <w:rPr>
                <w:rFonts w:ascii="Garamond" w:eastAsia="Times New Roman" w:hAnsi="Garamond" w:cs="Arial"/>
              </w:rPr>
            </w:pPr>
          </w:p>
        </w:tc>
        <w:tc>
          <w:tcPr>
            <w:tcW w:w="5375" w:type="dxa"/>
            <w:shd w:val="clear" w:color="auto" w:fill="E7EFF6"/>
            <w:tcMar>
              <w:top w:w="15" w:type="dxa"/>
              <w:left w:w="81" w:type="dxa"/>
              <w:bottom w:w="0" w:type="dxa"/>
              <w:right w:w="81" w:type="dxa"/>
            </w:tcMar>
            <w:hideMark/>
          </w:tcPr>
          <w:p w14:paraId="74AC894C"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200.326 Bonding requirements.  Unless NFE bonding requirements approved, must have bid, performance and payment bonds.</w:t>
            </w:r>
          </w:p>
        </w:tc>
        <w:tc>
          <w:tcPr>
            <w:tcW w:w="4350" w:type="dxa"/>
            <w:shd w:val="clear" w:color="auto" w:fill="FFFF00"/>
            <w:tcMar>
              <w:top w:w="15" w:type="dxa"/>
              <w:left w:w="81" w:type="dxa"/>
              <w:bottom w:w="0" w:type="dxa"/>
              <w:right w:w="81" w:type="dxa"/>
            </w:tcMar>
            <w:hideMark/>
          </w:tcPr>
          <w:p w14:paraId="1A1C2F1C" w14:textId="77777777" w:rsidR="00B36623" w:rsidRPr="003D2A02" w:rsidRDefault="00B36623" w:rsidP="007F23D8">
            <w:pPr>
              <w:rPr>
                <w:rFonts w:ascii="Garamond" w:eastAsia="Times New Roman" w:hAnsi="Garamond" w:cs="Arial"/>
                <w:color w:val="000000" w:themeColor="dark1"/>
                <w:kern w:val="24"/>
              </w:rPr>
            </w:pPr>
            <w:r w:rsidRPr="002C3A73">
              <w:rPr>
                <w:rFonts w:ascii="Garamond" w:eastAsia="Times New Roman" w:hAnsi="Garamond" w:cs="Arial"/>
                <w:color w:val="000000" w:themeColor="dark1"/>
                <w:kern w:val="24"/>
              </w:rPr>
              <w:t>MPC provision on point focuses on infrastructure.</w:t>
            </w:r>
          </w:p>
        </w:tc>
        <w:tc>
          <w:tcPr>
            <w:tcW w:w="2480" w:type="dxa"/>
            <w:shd w:val="clear" w:color="auto" w:fill="FFFF00"/>
          </w:tcPr>
          <w:p w14:paraId="4647FA72" w14:textId="77777777" w:rsidR="00B36623" w:rsidRPr="002C3A73" w:rsidRDefault="00B36623" w:rsidP="007F23D8">
            <w:pPr>
              <w:rPr>
                <w:rFonts w:ascii="Garamond" w:hAnsi="Garamond"/>
                <w:b/>
                <w:bCs/>
              </w:rPr>
            </w:pPr>
            <w:r w:rsidRPr="002C3A73">
              <w:rPr>
                <w:rFonts w:ascii="Garamond" w:hAnsi="Garamond"/>
                <w:b/>
                <w:bCs/>
              </w:rPr>
              <w:t xml:space="preserve">Article 5 </w:t>
            </w:r>
          </w:p>
          <w:p w14:paraId="525FC6DF" w14:textId="77777777" w:rsidR="00B36623" w:rsidRPr="002C3A73" w:rsidRDefault="00B36623" w:rsidP="007F23D8">
            <w:pPr>
              <w:rPr>
                <w:rFonts w:ascii="Garamond" w:eastAsia="Times New Roman" w:hAnsi="Garamond" w:cs="Arial"/>
                <w:color w:val="000000" w:themeColor="dark1"/>
                <w:kern w:val="24"/>
              </w:rPr>
            </w:pPr>
            <w:r w:rsidRPr="002C3A73">
              <w:rPr>
                <w:rFonts w:ascii="Garamond" w:hAnsi="Garamond"/>
              </w:rPr>
              <w:t>Procurement of Infrastructure Facilities and Services - Part C - Bonds, Insurance, Guarantees</w:t>
            </w:r>
          </w:p>
        </w:tc>
      </w:tr>
      <w:tr w:rsidR="00B36623" w:rsidRPr="00066C0C" w14:paraId="32D2102D" w14:textId="77777777" w:rsidTr="007F23D8">
        <w:trPr>
          <w:trHeight w:val="1322"/>
        </w:trPr>
        <w:tc>
          <w:tcPr>
            <w:tcW w:w="0" w:type="auto"/>
            <w:vMerge/>
            <w:vAlign w:val="center"/>
            <w:hideMark/>
          </w:tcPr>
          <w:p w14:paraId="77D04BB5" w14:textId="77777777" w:rsidR="00B36623" w:rsidRPr="003D2A02" w:rsidRDefault="00B36623" w:rsidP="007F23D8">
            <w:pPr>
              <w:rPr>
                <w:rFonts w:ascii="Garamond" w:eastAsia="Times New Roman" w:hAnsi="Garamond" w:cs="Arial"/>
              </w:rPr>
            </w:pPr>
          </w:p>
        </w:tc>
        <w:tc>
          <w:tcPr>
            <w:tcW w:w="5375" w:type="dxa"/>
            <w:shd w:val="clear" w:color="auto" w:fill="CBDEEC"/>
            <w:tcMar>
              <w:top w:w="15" w:type="dxa"/>
              <w:left w:w="81" w:type="dxa"/>
              <w:bottom w:w="0" w:type="dxa"/>
              <w:right w:w="81" w:type="dxa"/>
            </w:tcMar>
            <w:hideMark/>
          </w:tcPr>
          <w:p w14:paraId="0CF54915"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 200.327 Contract provisions.  Need remedy-granting clauses, T/C, T/D, EEO, Davis-Bacon, Contract Work Hours, Rights to Inventions, debarment, Byrd Anti-Lobbying, Huawei/ZTE</w:t>
            </w:r>
            <w:r>
              <w:rPr>
                <w:rFonts w:ascii="Garamond" w:eastAsia="Times New Roman" w:hAnsi="Garamond" w:cs="Arial"/>
                <w:color w:val="000000" w:themeColor="dark1"/>
                <w:kern w:val="24"/>
              </w:rPr>
              <w:t>.</w:t>
            </w:r>
          </w:p>
        </w:tc>
        <w:tc>
          <w:tcPr>
            <w:tcW w:w="4350" w:type="dxa"/>
            <w:shd w:val="clear" w:color="auto" w:fill="FFFF00"/>
            <w:tcMar>
              <w:top w:w="15" w:type="dxa"/>
              <w:left w:w="81" w:type="dxa"/>
              <w:bottom w:w="0" w:type="dxa"/>
              <w:right w:w="81" w:type="dxa"/>
            </w:tcMar>
            <w:hideMark/>
          </w:tcPr>
          <w:p w14:paraId="39015484" w14:textId="77777777" w:rsidR="00B36623" w:rsidRPr="003D2A02" w:rsidRDefault="00B36623" w:rsidP="007F23D8">
            <w:pPr>
              <w:rPr>
                <w:rFonts w:ascii="Garamond" w:eastAsia="Times New Roman" w:hAnsi="Garamond" w:cs="Arial"/>
              </w:rPr>
            </w:pPr>
            <w:r w:rsidRPr="003D2A02">
              <w:rPr>
                <w:rFonts w:ascii="Garamond" w:eastAsia="Times New Roman" w:hAnsi="Garamond" w:cs="Arial"/>
                <w:color w:val="000000" w:themeColor="dark1"/>
                <w:kern w:val="24"/>
              </w:rPr>
              <w:t>MPC does not include clauses; in ancillary MPC materials.</w:t>
            </w:r>
          </w:p>
        </w:tc>
        <w:tc>
          <w:tcPr>
            <w:tcW w:w="2480" w:type="dxa"/>
            <w:shd w:val="clear" w:color="auto" w:fill="FFFF00"/>
          </w:tcPr>
          <w:p w14:paraId="0314140A" w14:textId="77777777" w:rsidR="00B36623" w:rsidRPr="002C3A73" w:rsidRDefault="00B36623" w:rsidP="007F23D8">
            <w:pPr>
              <w:rPr>
                <w:rFonts w:ascii="Garamond" w:hAnsi="Garamond"/>
              </w:rPr>
            </w:pPr>
            <w:r w:rsidRPr="002C3A73">
              <w:rPr>
                <w:rFonts w:ascii="Garamond" w:hAnsi="Garamond"/>
                <w:b/>
                <w:bCs/>
              </w:rPr>
              <w:t>MPC 5-401</w:t>
            </w:r>
            <w:r w:rsidRPr="002C3A73">
              <w:rPr>
                <w:rFonts w:ascii="Garamond" w:hAnsi="Garamond"/>
              </w:rPr>
              <w:t xml:space="preserve"> </w:t>
            </w:r>
          </w:p>
          <w:p w14:paraId="37D2E33B" w14:textId="77777777" w:rsidR="00B36623" w:rsidRPr="002C3A73" w:rsidRDefault="00B36623" w:rsidP="007F23D8">
            <w:pPr>
              <w:rPr>
                <w:rFonts w:ascii="Garamond" w:hAnsi="Garamond"/>
              </w:rPr>
            </w:pPr>
            <w:r w:rsidRPr="002C3A73">
              <w:rPr>
                <w:rFonts w:ascii="Garamond" w:hAnsi="Garamond"/>
              </w:rPr>
              <w:t>Contract Clauses and Their Administration</w:t>
            </w:r>
          </w:p>
          <w:p w14:paraId="13795D07" w14:textId="77777777" w:rsidR="00B36623" w:rsidRPr="002C3A73" w:rsidRDefault="00B36623" w:rsidP="007F23D8">
            <w:pPr>
              <w:rPr>
                <w:rFonts w:ascii="Garamond" w:hAnsi="Garamond"/>
                <w:b/>
                <w:bCs/>
              </w:rPr>
            </w:pPr>
            <w:r w:rsidRPr="002C3A73">
              <w:rPr>
                <w:rFonts w:ascii="Garamond" w:hAnsi="Garamond"/>
                <w:b/>
                <w:bCs/>
              </w:rPr>
              <w:t>Article 6</w:t>
            </w:r>
          </w:p>
          <w:p w14:paraId="34516D12" w14:textId="4F45D468" w:rsidR="00B36623" w:rsidRPr="002C3A73" w:rsidRDefault="00B36623" w:rsidP="007F23D8">
            <w:pPr>
              <w:rPr>
                <w:rFonts w:ascii="Garamond" w:eastAsia="Times New Roman" w:hAnsi="Garamond" w:cs="Arial"/>
                <w:color w:val="000000" w:themeColor="dark1"/>
                <w:kern w:val="24"/>
              </w:rPr>
            </w:pPr>
            <w:r w:rsidRPr="002C3A73">
              <w:rPr>
                <w:rFonts w:ascii="Garamond" w:hAnsi="Garamond"/>
              </w:rPr>
              <w:t>Modification and Termination of Contracts for Su</w:t>
            </w:r>
            <w:r w:rsidR="002C3A73" w:rsidRPr="002C3A73">
              <w:rPr>
                <w:rFonts w:ascii="Garamond" w:hAnsi="Garamond"/>
              </w:rPr>
              <w:t>pplies and Services</w:t>
            </w:r>
          </w:p>
        </w:tc>
      </w:tr>
    </w:tbl>
    <w:p w14:paraId="08FDA5F9" w14:textId="16374880" w:rsidR="00B36623" w:rsidRDefault="00B36623" w:rsidP="00607ABE"/>
    <w:p w14:paraId="13931B02" w14:textId="0D7FDF17" w:rsidR="007825C7" w:rsidRDefault="007825C7" w:rsidP="00607ABE"/>
    <w:p w14:paraId="7D9E3424" w14:textId="77777777" w:rsidR="007825C7" w:rsidRDefault="007825C7" w:rsidP="00607ABE"/>
    <w:p w14:paraId="0EC7C83C" w14:textId="2159668A" w:rsidR="007825C7" w:rsidRDefault="007825C7" w:rsidP="00607ABE"/>
    <w:p w14:paraId="7DBF6D35" w14:textId="77777777" w:rsidR="007825C7" w:rsidRDefault="007825C7" w:rsidP="00607ABE"/>
    <w:sectPr w:rsidR="007825C7" w:rsidSect="00B834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228B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D48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881B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F283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E8FE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3C92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5EFB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F8AC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CA90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9F3F33"/>
    <w:multiLevelType w:val="multilevel"/>
    <w:tmpl w:val="11AE8838"/>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B834A8"/>
    <w:rsid w:val="0017441F"/>
    <w:rsid w:val="002201E6"/>
    <w:rsid w:val="002C3A73"/>
    <w:rsid w:val="00607ABE"/>
    <w:rsid w:val="00744E66"/>
    <w:rsid w:val="007825C7"/>
    <w:rsid w:val="007D74A6"/>
    <w:rsid w:val="00872487"/>
    <w:rsid w:val="00877C4F"/>
    <w:rsid w:val="0095757A"/>
    <w:rsid w:val="009E4599"/>
    <w:rsid w:val="00A77D7A"/>
    <w:rsid w:val="00B31867"/>
    <w:rsid w:val="00B36623"/>
    <w:rsid w:val="00B834A8"/>
    <w:rsid w:val="00D04E56"/>
    <w:rsid w:val="00DF4F54"/>
    <w:rsid w:val="00EF2EC9"/>
    <w:rsid w:val="00F5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80F6"/>
  <w15:chartTrackingRefBased/>
  <w15:docId w15:val="{B0D5F82C-02BF-49F8-BCBB-F15F242B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F54"/>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qFormat/>
    <w:rsid w:val="002201E6"/>
    <w:pPr>
      <w:numPr>
        <w:numId w:val="9"/>
      </w:numPr>
      <w:spacing w:after="240"/>
      <w:outlineLvl w:val="0"/>
    </w:pPr>
    <w:rPr>
      <w:rFonts w:eastAsiaTheme="majorEastAsia"/>
      <w:bCs/>
      <w:color w:val="000000"/>
      <w:szCs w:val="28"/>
    </w:rPr>
  </w:style>
  <w:style w:type="paragraph" w:styleId="Heading2">
    <w:name w:val="heading 2"/>
    <w:basedOn w:val="HeadingBase"/>
    <w:next w:val="BodyTextFirstIndent"/>
    <w:link w:val="Heading2Char"/>
    <w:qFormat/>
    <w:rsid w:val="002201E6"/>
    <w:pPr>
      <w:numPr>
        <w:ilvl w:val="1"/>
        <w:numId w:val="9"/>
      </w:numPr>
      <w:spacing w:after="240"/>
      <w:outlineLvl w:val="1"/>
    </w:pPr>
    <w:rPr>
      <w:rFonts w:eastAsiaTheme="majorEastAsia"/>
      <w:bCs/>
      <w:color w:val="000000"/>
      <w:szCs w:val="26"/>
    </w:rPr>
  </w:style>
  <w:style w:type="paragraph" w:styleId="Heading3">
    <w:name w:val="heading 3"/>
    <w:basedOn w:val="HeadingBase"/>
    <w:next w:val="BodyTextFirstIndent"/>
    <w:link w:val="Heading3Char"/>
    <w:qFormat/>
    <w:rsid w:val="002201E6"/>
    <w:pPr>
      <w:numPr>
        <w:ilvl w:val="2"/>
        <w:numId w:val="9"/>
      </w:numPr>
      <w:spacing w:after="240"/>
      <w:outlineLvl w:val="2"/>
    </w:pPr>
    <w:rPr>
      <w:rFonts w:eastAsiaTheme="majorEastAsia"/>
      <w:bCs/>
      <w:color w:val="000000"/>
    </w:rPr>
  </w:style>
  <w:style w:type="paragraph" w:styleId="Heading4">
    <w:name w:val="heading 4"/>
    <w:basedOn w:val="HeadingBase"/>
    <w:next w:val="BodyTextFirstIndent"/>
    <w:link w:val="Heading4Char"/>
    <w:qFormat/>
    <w:rsid w:val="002201E6"/>
    <w:pPr>
      <w:numPr>
        <w:ilvl w:val="3"/>
        <w:numId w:val="9"/>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2201E6"/>
    <w:pPr>
      <w:numPr>
        <w:ilvl w:val="4"/>
        <w:numId w:val="9"/>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2201E6"/>
    <w:pPr>
      <w:numPr>
        <w:ilvl w:val="5"/>
        <w:numId w:val="9"/>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2201E6"/>
    <w:pPr>
      <w:numPr>
        <w:ilvl w:val="6"/>
        <w:numId w:val="9"/>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2201E6"/>
    <w:pPr>
      <w:numPr>
        <w:ilvl w:val="7"/>
        <w:numId w:val="9"/>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2201E6"/>
    <w:pPr>
      <w:numPr>
        <w:ilvl w:val="8"/>
        <w:numId w:val="9"/>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semiHidden/>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semiHidden/>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semiHidden/>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semiHidden/>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eastAsiaTheme="minorEastAsia"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paragraph" w:styleId="BalloonText">
    <w:name w:val="Balloon Text"/>
    <w:basedOn w:val="Normal"/>
    <w:link w:val="BalloonTextChar"/>
    <w:uiPriority w:val="99"/>
    <w:semiHidden/>
    <w:unhideWhenUsed/>
    <w:rsid w:val="00957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7A"/>
    <w:rPr>
      <w:rFonts w:ascii="Segoe UI" w:hAnsi="Segoe UI" w:cs="Segoe UI"/>
      <w:sz w:val="18"/>
      <w:szCs w:val="18"/>
    </w:rPr>
  </w:style>
  <w:style w:type="paragraph" w:styleId="Bibliography">
    <w:name w:val="Bibliography"/>
    <w:basedOn w:val="Normal"/>
    <w:next w:val="Normal"/>
    <w:uiPriority w:val="37"/>
    <w:semiHidden/>
    <w:unhideWhenUsed/>
    <w:rsid w:val="0095757A"/>
  </w:style>
  <w:style w:type="paragraph" w:styleId="BodyTextFirstIndent2">
    <w:name w:val="Body Text First Indent 2"/>
    <w:basedOn w:val="BodyTextIndent"/>
    <w:link w:val="BodyTextFirstIndent2Char"/>
    <w:uiPriority w:val="99"/>
    <w:semiHidden/>
    <w:unhideWhenUsed/>
    <w:rsid w:val="0095757A"/>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957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5757A"/>
    <w:pPr>
      <w:spacing w:after="120" w:line="480" w:lineRule="auto"/>
      <w:ind w:left="360"/>
    </w:pPr>
  </w:style>
  <w:style w:type="character" w:customStyle="1" w:styleId="BodyTextIndent2Char">
    <w:name w:val="Body Text Indent 2 Char"/>
    <w:basedOn w:val="DefaultParagraphFont"/>
    <w:link w:val="BodyTextIndent2"/>
    <w:uiPriority w:val="99"/>
    <w:semiHidden/>
    <w:rsid w:val="0095757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9575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757A"/>
    <w:rPr>
      <w:rFonts w:ascii="Times New Roman" w:hAnsi="Times New Roman" w:cs="Times New Roman"/>
      <w:sz w:val="16"/>
      <w:szCs w:val="16"/>
    </w:rPr>
  </w:style>
  <w:style w:type="paragraph" w:styleId="Caption">
    <w:name w:val="caption"/>
    <w:basedOn w:val="Normal"/>
    <w:next w:val="Normal"/>
    <w:uiPriority w:val="35"/>
    <w:semiHidden/>
    <w:unhideWhenUsed/>
    <w:qFormat/>
    <w:rsid w:val="0095757A"/>
    <w:pPr>
      <w:spacing w:after="200"/>
    </w:pPr>
    <w:rPr>
      <w:i/>
      <w:iCs/>
      <w:color w:val="44546A" w:themeColor="text2"/>
      <w:sz w:val="18"/>
      <w:szCs w:val="18"/>
    </w:rPr>
  </w:style>
  <w:style w:type="paragraph" w:styleId="CommentText">
    <w:name w:val="annotation text"/>
    <w:basedOn w:val="Normal"/>
    <w:link w:val="CommentTextChar"/>
    <w:uiPriority w:val="99"/>
    <w:semiHidden/>
    <w:unhideWhenUsed/>
    <w:rsid w:val="0095757A"/>
    <w:rPr>
      <w:sz w:val="20"/>
      <w:szCs w:val="20"/>
    </w:rPr>
  </w:style>
  <w:style w:type="character" w:customStyle="1" w:styleId="CommentTextChar">
    <w:name w:val="Comment Text Char"/>
    <w:basedOn w:val="DefaultParagraphFont"/>
    <w:link w:val="CommentText"/>
    <w:uiPriority w:val="99"/>
    <w:semiHidden/>
    <w:rsid w:val="009575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757A"/>
    <w:rPr>
      <w:b/>
      <w:bCs/>
    </w:rPr>
  </w:style>
  <w:style w:type="character" w:customStyle="1" w:styleId="CommentSubjectChar">
    <w:name w:val="Comment Subject Char"/>
    <w:basedOn w:val="CommentTextChar"/>
    <w:link w:val="CommentSubject"/>
    <w:uiPriority w:val="99"/>
    <w:semiHidden/>
    <w:rsid w:val="0095757A"/>
    <w:rPr>
      <w:rFonts w:ascii="Times New Roman" w:hAnsi="Times New Roman" w:cs="Times New Roman"/>
      <w:b/>
      <w:bCs/>
      <w:sz w:val="20"/>
      <w:szCs w:val="20"/>
    </w:rPr>
  </w:style>
  <w:style w:type="paragraph" w:styleId="DocumentMap">
    <w:name w:val="Document Map"/>
    <w:basedOn w:val="Normal"/>
    <w:link w:val="DocumentMapChar"/>
    <w:uiPriority w:val="99"/>
    <w:semiHidden/>
    <w:unhideWhenUsed/>
    <w:rsid w:val="009575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757A"/>
    <w:rPr>
      <w:rFonts w:ascii="Segoe UI" w:hAnsi="Segoe UI" w:cs="Segoe UI"/>
      <w:sz w:val="16"/>
      <w:szCs w:val="16"/>
    </w:rPr>
  </w:style>
  <w:style w:type="paragraph" w:styleId="E-mailSignature">
    <w:name w:val="E-mail Signature"/>
    <w:basedOn w:val="Normal"/>
    <w:link w:val="E-mailSignatureChar"/>
    <w:uiPriority w:val="99"/>
    <w:semiHidden/>
    <w:unhideWhenUsed/>
    <w:rsid w:val="0095757A"/>
  </w:style>
  <w:style w:type="character" w:customStyle="1" w:styleId="E-mailSignatureChar">
    <w:name w:val="E-mail Signature Char"/>
    <w:basedOn w:val="DefaultParagraphFont"/>
    <w:link w:val="E-mailSignature"/>
    <w:uiPriority w:val="99"/>
    <w:semiHidden/>
    <w:rsid w:val="0095757A"/>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95757A"/>
    <w:rPr>
      <w:sz w:val="20"/>
      <w:szCs w:val="20"/>
    </w:rPr>
  </w:style>
  <w:style w:type="character" w:customStyle="1" w:styleId="EndnoteTextChar">
    <w:name w:val="Endnote Text Char"/>
    <w:basedOn w:val="DefaultParagraphFont"/>
    <w:link w:val="EndnoteText"/>
    <w:uiPriority w:val="99"/>
    <w:semiHidden/>
    <w:rsid w:val="0095757A"/>
    <w:rPr>
      <w:rFonts w:ascii="Times New Roman" w:hAnsi="Times New Roman" w:cs="Times New Roman"/>
      <w:sz w:val="20"/>
      <w:szCs w:val="20"/>
    </w:rPr>
  </w:style>
  <w:style w:type="paragraph" w:styleId="EnvelopeAddress">
    <w:name w:val="envelope address"/>
    <w:basedOn w:val="Normal"/>
    <w:uiPriority w:val="99"/>
    <w:semiHidden/>
    <w:unhideWhenUsed/>
    <w:rsid w:val="0095757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5757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757A"/>
    <w:rPr>
      <w:sz w:val="20"/>
      <w:szCs w:val="20"/>
    </w:rPr>
  </w:style>
  <w:style w:type="character" w:customStyle="1" w:styleId="FootnoteTextChar">
    <w:name w:val="Footnote Text Char"/>
    <w:basedOn w:val="DefaultParagraphFont"/>
    <w:link w:val="FootnoteText"/>
    <w:uiPriority w:val="99"/>
    <w:semiHidden/>
    <w:rsid w:val="0095757A"/>
    <w:rPr>
      <w:rFonts w:ascii="Times New Roman" w:hAnsi="Times New Roman" w:cs="Times New Roman"/>
      <w:sz w:val="20"/>
      <w:szCs w:val="20"/>
    </w:rPr>
  </w:style>
  <w:style w:type="paragraph" w:styleId="HTMLAddress">
    <w:name w:val="HTML Address"/>
    <w:basedOn w:val="Normal"/>
    <w:link w:val="HTMLAddressChar"/>
    <w:uiPriority w:val="99"/>
    <w:semiHidden/>
    <w:rsid w:val="0095757A"/>
    <w:rPr>
      <w:i/>
      <w:iCs/>
    </w:rPr>
  </w:style>
  <w:style w:type="character" w:customStyle="1" w:styleId="HTMLAddressChar">
    <w:name w:val="HTML Address Char"/>
    <w:basedOn w:val="DefaultParagraphFont"/>
    <w:link w:val="HTMLAddress"/>
    <w:uiPriority w:val="99"/>
    <w:semiHidden/>
    <w:rsid w:val="0095757A"/>
    <w:rPr>
      <w:rFonts w:ascii="Times New Roman" w:hAnsi="Times New Roman" w:cs="Times New Roman"/>
      <w:i/>
      <w:iCs/>
      <w:sz w:val="24"/>
      <w:szCs w:val="24"/>
    </w:rPr>
  </w:style>
  <w:style w:type="paragraph" w:styleId="HTMLPreformatted">
    <w:name w:val="HTML Preformatted"/>
    <w:basedOn w:val="Normal"/>
    <w:link w:val="HTMLPreformattedChar"/>
    <w:uiPriority w:val="99"/>
    <w:semiHidden/>
    <w:rsid w:val="0095757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757A"/>
    <w:rPr>
      <w:rFonts w:ascii="Consolas" w:hAnsi="Consolas" w:cs="Times New Roman"/>
      <w:sz w:val="20"/>
      <w:szCs w:val="20"/>
    </w:rPr>
  </w:style>
  <w:style w:type="paragraph" w:styleId="Index1">
    <w:name w:val="index 1"/>
    <w:basedOn w:val="Normal"/>
    <w:next w:val="Normal"/>
    <w:autoRedefine/>
    <w:uiPriority w:val="99"/>
    <w:semiHidden/>
    <w:unhideWhenUsed/>
    <w:rsid w:val="0095757A"/>
    <w:pPr>
      <w:ind w:left="240" w:hanging="240"/>
    </w:pPr>
  </w:style>
  <w:style w:type="paragraph" w:styleId="Index2">
    <w:name w:val="index 2"/>
    <w:basedOn w:val="Normal"/>
    <w:next w:val="Normal"/>
    <w:autoRedefine/>
    <w:uiPriority w:val="99"/>
    <w:semiHidden/>
    <w:unhideWhenUsed/>
    <w:rsid w:val="0095757A"/>
    <w:pPr>
      <w:ind w:left="480" w:hanging="240"/>
    </w:pPr>
  </w:style>
  <w:style w:type="paragraph" w:styleId="Index3">
    <w:name w:val="index 3"/>
    <w:basedOn w:val="Normal"/>
    <w:next w:val="Normal"/>
    <w:autoRedefine/>
    <w:uiPriority w:val="99"/>
    <w:semiHidden/>
    <w:unhideWhenUsed/>
    <w:rsid w:val="0095757A"/>
    <w:pPr>
      <w:ind w:left="720" w:hanging="240"/>
    </w:pPr>
  </w:style>
  <w:style w:type="paragraph" w:styleId="Index4">
    <w:name w:val="index 4"/>
    <w:basedOn w:val="Normal"/>
    <w:next w:val="Normal"/>
    <w:autoRedefine/>
    <w:uiPriority w:val="99"/>
    <w:semiHidden/>
    <w:unhideWhenUsed/>
    <w:rsid w:val="0095757A"/>
    <w:pPr>
      <w:ind w:left="960" w:hanging="240"/>
    </w:pPr>
  </w:style>
  <w:style w:type="paragraph" w:styleId="Index5">
    <w:name w:val="index 5"/>
    <w:basedOn w:val="Normal"/>
    <w:next w:val="Normal"/>
    <w:autoRedefine/>
    <w:uiPriority w:val="99"/>
    <w:semiHidden/>
    <w:unhideWhenUsed/>
    <w:rsid w:val="0095757A"/>
    <w:pPr>
      <w:ind w:left="1200" w:hanging="240"/>
    </w:pPr>
  </w:style>
  <w:style w:type="paragraph" w:styleId="Index6">
    <w:name w:val="index 6"/>
    <w:basedOn w:val="Normal"/>
    <w:next w:val="Normal"/>
    <w:autoRedefine/>
    <w:uiPriority w:val="99"/>
    <w:semiHidden/>
    <w:unhideWhenUsed/>
    <w:rsid w:val="0095757A"/>
    <w:pPr>
      <w:ind w:left="1440" w:hanging="240"/>
    </w:pPr>
  </w:style>
  <w:style w:type="paragraph" w:styleId="Index7">
    <w:name w:val="index 7"/>
    <w:basedOn w:val="Normal"/>
    <w:next w:val="Normal"/>
    <w:autoRedefine/>
    <w:uiPriority w:val="99"/>
    <w:semiHidden/>
    <w:unhideWhenUsed/>
    <w:rsid w:val="0095757A"/>
    <w:pPr>
      <w:ind w:left="1680" w:hanging="240"/>
    </w:pPr>
  </w:style>
  <w:style w:type="paragraph" w:styleId="Index8">
    <w:name w:val="index 8"/>
    <w:basedOn w:val="Normal"/>
    <w:next w:val="Normal"/>
    <w:autoRedefine/>
    <w:uiPriority w:val="99"/>
    <w:semiHidden/>
    <w:unhideWhenUsed/>
    <w:rsid w:val="0095757A"/>
    <w:pPr>
      <w:ind w:left="1920" w:hanging="240"/>
    </w:pPr>
  </w:style>
  <w:style w:type="paragraph" w:styleId="Index9">
    <w:name w:val="index 9"/>
    <w:basedOn w:val="Normal"/>
    <w:next w:val="Normal"/>
    <w:autoRedefine/>
    <w:uiPriority w:val="99"/>
    <w:semiHidden/>
    <w:unhideWhenUsed/>
    <w:rsid w:val="0095757A"/>
    <w:pPr>
      <w:ind w:left="2160" w:hanging="240"/>
    </w:pPr>
  </w:style>
  <w:style w:type="paragraph" w:styleId="IndexHeading">
    <w:name w:val="index heading"/>
    <w:basedOn w:val="Normal"/>
    <w:next w:val="Index1"/>
    <w:uiPriority w:val="99"/>
    <w:semiHidden/>
    <w:unhideWhenUsed/>
    <w:rsid w:val="0095757A"/>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9575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5757A"/>
    <w:rPr>
      <w:rFonts w:ascii="Times New Roman" w:hAnsi="Times New Roman" w:cs="Times New Roman"/>
      <w:i/>
      <w:iCs/>
      <w:color w:val="4472C4" w:themeColor="accent1"/>
      <w:sz w:val="24"/>
      <w:szCs w:val="24"/>
    </w:rPr>
  </w:style>
  <w:style w:type="paragraph" w:styleId="List">
    <w:name w:val="List"/>
    <w:basedOn w:val="Normal"/>
    <w:uiPriority w:val="99"/>
    <w:semiHidden/>
    <w:unhideWhenUsed/>
    <w:rsid w:val="0095757A"/>
    <w:pPr>
      <w:ind w:left="360" w:hanging="360"/>
      <w:contextualSpacing/>
    </w:pPr>
  </w:style>
  <w:style w:type="paragraph" w:styleId="List2">
    <w:name w:val="List 2"/>
    <w:basedOn w:val="Normal"/>
    <w:uiPriority w:val="99"/>
    <w:semiHidden/>
    <w:unhideWhenUsed/>
    <w:rsid w:val="0095757A"/>
    <w:pPr>
      <w:ind w:left="720" w:hanging="360"/>
      <w:contextualSpacing/>
    </w:pPr>
  </w:style>
  <w:style w:type="paragraph" w:styleId="List3">
    <w:name w:val="List 3"/>
    <w:basedOn w:val="Normal"/>
    <w:uiPriority w:val="99"/>
    <w:semiHidden/>
    <w:unhideWhenUsed/>
    <w:rsid w:val="0095757A"/>
    <w:pPr>
      <w:ind w:left="1080" w:hanging="360"/>
      <w:contextualSpacing/>
    </w:pPr>
  </w:style>
  <w:style w:type="paragraph" w:styleId="List4">
    <w:name w:val="List 4"/>
    <w:basedOn w:val="Normal"/>
    <w:uiPriority w:val="99"/>
    <w:semiHidden/>
    <w:unhideWhenUsed/>
    <w:rsid w:val="0095757A"/>
    <w:pPr>
      <w:ind w:left="1440" w:hanging="360"/>
      <w:contextualSpacing/>
    </w:pPr>
  </w:style>
  <w:style w:type="paragraph" w:styleId="List5">
    <w:name w:val="List 5"/>
    <w:basedOn w:val="Normal"/>
    <w:uiPriority w:val="99"/>
    <w:semiHidden/>
    <w:unhideWhenUsed/>
    <w:rsid w:val="0095757A"/>
    <w:pPr>
      <w:ind w:left="1800" w:hanging="360"/>
      <w:contextualSpacing/>
    </w:pPr>
  </w:style>
  <w:style w:type="paragraph" w:styleId="ListBullet2">
    <w:name w:val="List Bullet 2"/>
    <w:basedOn w:val="Normal"/>
    <w:uiPriority w:val="99"/>
    <w:semiHidden/>
    <w:unhideWhenUsed/>
    <w:rsid w:val="0095757A"/>
    <w:pPr>
      <w:numPr>
        <w:numId w:val="12"/>
      </w:numPr>
      <w:contextualSpacing/>
    </w:pPr>
  </w:style>
  <w:style w:type="paragraph" w:styleId="ListBullet3">
    <w:name w:val="List Bullet 3"/>
    <w:basedOn w:val="Normal"/>
    <w:uiPriority w:val="99"/>
    <w:semiHidden/>
    <w:unhideWhenUsed/>
    <w:rsid w:val="0095757A"/>
    <w:pPr>
      <w:numPr>
        <w:numId w:val="13"/>
      </w:numPr>
      <w:contextualSpacing/>
    </w:pPr>
  </w:style>
  <w:style w:type="paragraph" w:styleId="ListBullet4">
    <w:name w:val="List Bullet 4"/>
    <w:basedOn w:val="Normal"/>
    <w:uiPriority w:val="99"/>
    <w:semiHidden/>
    <w:unhideWhenUsed/>
    <w:rsid w:val="0095757A"/>
    <w:pPr>
      <w:numPr>
        <w:numId w:val="14"/>
      </w:numPr>
      <w:contextualSpacing/>
    </w:pPr>
  </w:style>
  <w:style w:type="paragraph" w:styleId="ListBullet5">
    <w:name w:val="List Bullet 5"/>
    <w:basedOn w:val="Normal"/>
    <w:uiPriority w:val="99"/>
    <w:semiHidden/>
    <w:unhideWhenUsed/>
    <w:rsid w:val="0095757A"/>
    <w:pPr>
      <w:numPr>
        <w:numId w:val="15"/>
      </w:numPr>
      <w:contextualSpacing/>
    </w:pPr>
  </w:style>
  <w:style w:type="paragraph" w:styleId="ListContinue">
    <w:name w:val="List Continue"/>
    <w:basedOn w:val="Normal"/>
    <w:uiPriority w:val="99"/>
    <w:semiHidden/>
    <w:unhideWhenUsed/>
    <w:rsid w:val="0095757A"/>
    <w:pPr>
      <w:spacing w:after="120"/>
      <w:ind w:left="360"/>
      <w:contextualSpacing/>
    </w:pPr>
  </w:style>
  <w:style w:type="paragraph" w:styleId="ListContinue2">
    <w:name w:val="List Continue 2"/>
    <w:basedOn w:val="Normal"/>
    <w:uiPriority w:val="99"/>
    <w:semiHidden/>
    <w:unhideWhenUsed/>
    <w:rsid w:val="0095757A"/>
    <w:pPr>
      <w:spacing w:after="120"/>
      <w:ind w:left="720"/>
      <w:contextualSpacing/>
    </w:pPr>
  </w:style>
  <w:style w:type="paragraph" w:styleId="ListContinue3">
    <w:name w:val="List Continue 3"/>
    <w:basedOn w:val="Normal"/>
    <w:uiPriority w:val="99"/>
    <w:semiHidden/>
    <w:unhideWhenUsed/>
    <w:rsid w:val="0095757A"/>
    <w:pPr>
      <w:spacing w:after="120"/>
      <w:ind w:left="1080"/>
      <w:contextualSpacing/>
    </w:pPr>
  </w:style>
  <w:style w:type="paragraph" w:styleId="ListContinue4">
    <w:name w:val="List Continue 4"/>
    <w:basedOn w:val="Normal"/>
    <w:uiPriority w:val="99"/>
    <w:semiHidden/>
    <w:unhideWhenUsed/>
    <w:rsid w:val="0095757A"/>
    <w:pPr>
      <w:spacing w:after="120"/>
      <w:ind w:left="1440"/>
      <w:contextualSpacing/>
    </w:pPr>
  </w:style>
  <w:style w:type="paragraph" w:styleId="ListContinue5">
    <w:name w:val="List Continue 5"/>
    <w:basedOn w:val="Normal"/>
    <w:uiPriority w:val="99"/>
    <w:semiHidden/>
    <w:unhideWhenUsed/>
    <w:rsid w:val="0095757A"/>
    <w:pPr>
      <w:spacing w:after="120"/>
      <w:ind w:left="1800"/>
      <w:contextualSpacing/>
    </w:pPr>
  </w:style>
  <w:style w:type="paragraph" w:styleId="ListNumber">
    <w:name w:val="List Number"/>
    <w:basedOn w:val="Normal"/>
    <w:uiPriority w:val="99"/>
    <w:semiHidden/>
    <w:unhideWhenUsed/>
    <w:rsid w:val="0095757A"/>
    <w:pPr>
      <w:numPr>
        <w:numId w:val="16"/>
      </w:numPr>
      <w:contextualSpacing/>
    </w:pPr>
  </w:style>
  <w:style w:type="paragraph" w:styleId="ListNumber2">
    <w:name w:val="List Number 2"/>
    <w:basedOn w:val="Normal"/>
    <w:uiPriority w:val="99"/>
    <w:semiHidden/>
    <w:unhideWhenUsed/>
    <w:rsid w:val="0095757A"/>
    <w:pPr>
      <w:numPr>
        <w:numId w:val="17"/>
      </w:numPr>
      <w:contextualSpacing/>
    </w:pPr>
  </w:style>
  <w:style w:type="paragraph" w:styleId="ListNumber3">
    <w:name w:val="List Number 3"/>
    <w:basedOn w:val="Normal"/>
    <w:uiPriority w:val="99"/>
    <w:semiHidden/>
    <w:unhideWhenUsed/>
    <w:rsid w:val="0095757A"/>
    <w:pPr>
      <w:numPr>
        <w:numId w:val="18"/>
      </w:numPr>
      <w:contextualSpacing/>
    </w:pPr>
  </w:style>
  <w:style w:type="paragraph" w:styleId="ListNumber4">
    <w:name w:val="List Number 4"/>
    <w:basedOn w:val="Normal"/>
    <w:uiPriority w:val="99"/>
    <w:semiHidden/>
    <w:unhideWhenUsed/>
    <w:rsid w:val="0095757A"/>
    <w:pPr>
      <w:numPr>
        <w:numId w:val="19"/>
      </w:numPr>
      <w:contextualSpacing/>
    </w:pPr>
  </w:style>
  <w:style w:type="paragraph" w:styleId="ListNumber5">
    <w:name w:val="List Number 5"/>
    <w:basedOn w:val="Normal"/>
    <w:uiPriority w:val="99"/>
    <w:semiHidden/>
    <w:unhideWhenUsed/>
    <w:rsid w:val="0095757A"/>
    <w:pPr>
      <w:numPr>
        <w:numId w:val="20"/>
      </w:numPr>
      <w:contextualSpacing/>
    </w:pPr>
  </w:style>
  <w:style w:type="paragraph" w:styleId="ListParagraph">
    <w:name w:val="List Paragraph"/>
    <w:basedOn w:val="Normal"/>
    <w:uiPriority w:val="34"/>
    <w:semiHidden/>
    <w:unhideWhenUsed/>
    <w:qFormat/>
    <w:rsid w:val="0095757A"/>
    <w:pPr>
      <w:ind w:left="720"/>
      <w:contextualSpacing/>
    </w:pPr>
  </w:style>
  <w:style w:type="paragraph" w:styleId="MacroText">
    <w:name w:val="macro"/>
    <w:link w:val="MacroTextChar"/>
    <w:uiPriority w:val="99"/>
    <w:semiHidden/>
    <w:unhideWhenUsed/>
    <w:rsid w:val="0095757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95757A"/>
    <w:rPr>
      <w:rFonts w:ascii="Consolas" w:hAnsi="Consolas" w:cs="Times New Roman"/>
      <w:sz w:val="20"/>
      <w:szCs w:val="20"/>
    </w:rPr>
  </w:style>
  <w:style w:type="paragraph" w:styleId="MessageHeader">
    <w:name w:val="Message Header"/>
    <w:basedOn w:val="Normal"/>
    <w:link w:val="MessageHeaderChar"/>
    <w:uiPriority w:val="99"/>
    <w:semiHidden/>
    <w:unhideWhenUsed/>
    <w:rsid w:val="0095757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5757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5757A"/>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95757A"/>
  </w:style>
  <w:style w:type="paragraph" w:styleId="NormalIndent">
    <w:name w:val="Normal Indent"/>
    <w:basedOn w:val="Normal"/>
    <w:uiPriority w:val="99"/>
    <w:semiHidden/>
    <w:unhideWhenUsed/>
    <w:rsid w:val="0095757A"/>
    <w:pPr>
      <w:ind w:left="720"/>
    </w:pPr>
  </w:style>
  <w:style w:type="paragraph" w:styleId="NoteHeading">
    <w:name w:val="Note Heading"/>
    <w:basedOn w:val="Normal"/>
    <w:next w:val="Normal"/>
    <w:link w:val="NoteHeadingChar"/>
    <w:uiPriority w:val="99"/>
    <w:semiHidden/>
    <w:unhideWhenUsed/>
    <w:rsid w:val="0095757A"/>
  </w:style>
  <w:style w:type="character" w:customStyle="1" w:styleId="NoteHeadingChar">
    <w:name w:val="Note Heading Char"/>
    <w:basedOn w:val="DefaultParagraphFont"/>
    <w:link w:val="NoteHeading"/>
    <w:uiPriority w:val="99"/>
    <w:semiHidden/>
    <w:rsid w:val="0095757A"/>
    <w:rPr>
      <w:rFonts w:ascii="Times New Roman" w:hAnsi="Times New Roman" w:cs="Times New Roman"/>
      <w:sz w:val="24"/>
      <w:szCs w:val="24"/>
    </w:rPr>
  </w:style>
  <w:style w:type="paragraph" w:styleId="PlainText">
    <w:name w:val="Plain Text"/>
    <w:basedOn w:val="Normal"/>
    <w:link w:val="PlainTextChar"/>
    <w:uiPriority w:val="99"/>
    <w:semiHidden/>
    <w:unhideWhenUsed/>
    <w:rsid w:val="0095757A"/>
    <w:rPr>
      <w:rFonts w:ascii="Consolas" w:hAnsi="Consolas"/>
      <w:sz w:val="21"/>
      <w:szCs w:val="21"/>
    </w:rPr>
  </w:style>
  <w:style w:type="character" w:customStyle="1" w:styleId="PlainTextChar">
    <w:name w:val="Plain Text Char"/>
    <w:basedOn w:val="DefaultParagraphFont"/>
    <w:link w:val="PlainText"/>
    <w:uiPriority w:val="99"/>
    <w:semiHidden/>
    <w:rsid w:val="0095757A"/>
    <w:rPr>
      <w:rFonts w:ascii="Consolas" w:hAnsi="Consolas" w:cs="Times New Roman"/>
      <w:sz w:val="21"/>
      <w:szCs w:val="21"/>
    </w:rPr>
  </w:style>
  <w:style w:type="paragraph" w:styleId="Quote">
    <w:name w:val="Quote"/>
    <w:basedOn w:val="Normal"/>
    <w:next w:val="Normal"/>
    <w:link w:val="QuoteChar"/>
    <w:uiPriority w:val="29"/>
    <w:qFormat/>
    <w:rsid w:val="009575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757A"/>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95757A"/>
  </w:style>
  <w:style w:type="character" w:customStyle="1" w:styleId="SalutationChar">
    <w:name w:val="Salutation Char"/>
    <w:basedOn w:val="DefaultParagraphFont"/>
    <w:link w:val="Salutation"/>
    <w:uiPriority w:val="99"/>
    <w:semiHidden/>
    <w:rsid w:val="0095757A"/>
    <w:rPr>
      <w:rFonts w:ascii="Times New Roman" w:hAnsi="Times New Roman" w:cs="Times New Roman"/>
      <w:sz w:val="24"/>
      <w:szCs w:val="24"/>
    </w:rPr>
  </w:style>
  <w:style w:type="paragraph" w:styleId="TableofAuthorities">
    <w:name w:val="table of authorities"/>
    <w:basedOn w:val="Normal"/>
    <w:next w:val="Normal"/>
    <w:uiPriority w:val="99"/>
    <w:semiHidden/>
    <w:unhideWhenUsed/>
    <w:rsid w:val="0095757A"/>
    <w:pPr>
      <w:ind w:left="240" w:hanging="240"/>
    </w:pPr>
  </w:style>
  <w:style w:type="paragraph" w:styleId="TableofFigures">
    <w:name w:val="table of figures"/>
    <w:basedOn w:val="Normal"/>
    <w:next w:val="Normal"/>
    <w:uiPriority w:val="99"/>
    <w:semiHidden/>
    <w:unhideWhenUsed/>
    <w:rsid w:val="0095757A"/>
  </w:style>
  <w:style w:type="paragraph" w:styleId="TOC1">
    <w:name w:val="toc 1"/>
    <w:basedOn w:val="Normal"/>
    <w:next w:val="Normal"/>
    <w:autoRedefine/>
    <w:uiPriority w:val="39"/>
    <w:semiHidden/>
    <w:unhideWhenUsed/>
    <w:rsid w:val="0095757A"/>
    <w:pPr>
      <w:spacing w:after="100"/>
    </w:pPr>
  </w:style>
  <w:style w:type="paragraph" w:styleId="TOC2">
    <w:name w:val="toc 2"/>
    <w:basedOn w:val="Normal"/>
    <w:next w:val="Normal"/>
    <w:autoRedefine/>
    <w:uiPriority w:val="39"/>
    <w:semiHidden/>
    <w:unhideWhenUsed/>
    <w:rsid w:val="0095757A"/>
    <w:pPr>
      <w:spacing w:after="100"/>
      <w:ind w:left="240"/>
    </w:pPr>
  </w:style>
  <w:style w:type="paragraph" w:styleId="TOC3">
    <w:name w:val="toc 3"/>
    <w:basedOn w:val="Normal"/>
    <w:next w:val="Normal"/>
    <w:autoRedefine/>
    <w:uiPriority w:val="39"/>
    <w:semiHidden/>
    <w:unhideWhenUsed/>
    <w:rsid w:val="0095757A"/>
    <w:pPr>
      <w:spacing w:after="100"/>
      <w:ind w:left="480"/>
    </w:pPr>
  </w:style>
  <w:style w:type="paragraph" w:styleId="TOC4">
    <w:name w:val="toc 4"/>
    <w:basedOn w:val="Normal"/>
    <w:next w:val="Normal"/>
    <w:autoRedefine/>
    <w:uiPriority w:val="39"/>
    <w:semiHidden/>
    <w:unhideWhenUsed/>
    <w:rsid w:val="0095757A"/>
    <w:pPr>
      <w:spacing w:after="100"/>
      <w:ind w:left="720"/>
    </w:pPr>
  </w:style>
  <w:style w:type="paragraph" w:styleId="TOC5">
    <w:name w:val="toc 5"/>
    <w:basedOn w:val="Normal"/>
    <w:next w:val="Normal"/>
    <w:autoRedefine/>
    <w:uiPriority w:val="39"/>
    <w:semiHidden/>
    <w:unhideWhenUsed/>
    <w:rsid w:val="0095757A"/>
    <w:pPr>
      <w:spacing w:after="100"/>
      <w:ind w:left="960"/>
    </w:pPr>
  </w:style>
  <w:style w:type="paragraph" w:styleId="TOC6">
    <w:name w:val="toc 6"/>
    <w:basedOn w:val="Normal"/>
    <w:next w:val="Normal"/>
    <w:autoRedefine/>
    <w:uiPriority w:val="39"/>
    <w:semiHidden/>
    <w:unhideWhenUsed/>
    <w:rsid w:val="0095757A"/>
    <w:pPr>
      <w:spacing w:after="100"/>
      <w:ind w:left="1200"/>
    </w:pPr>
  </w:style>
  <w:style w:type="paragraph" w:styleId="TOC7">
    <w:name w:val="toc 7"/>
    <w:basedOn w:val="Normal"/>
    <w:next w:val="Normal"/>
    <w:autoRedefine/>
    <w:uiPriority w:val="39"/>
    <w:semiHidden/>
    <w:unhideWhenUsed/>
    <w:rsid w:val="0095757A"/>
    <w:pPr>
      <w:spacing w:after="100"/>
      <w:ind w:left="1440"/>
    </w:pPr>
  </w:style>
  <w:style w:type="paragraph" w:styleId="TOC8">
    <w:name w:val="toc 8"/>
    <w:basedOn w:val="Normal"/>
    <w:next w:val="Normal"/>
    <w:autoRedefine/>
    <w:uiPriority w:val="39"/>
    <w:semiHidden/>
    <w:unhideWhenUsed/>
    <w:rsid w:val="0095757A"/>
    <w:pPr>
      <w:spacing w:after="100"/>
      <w:ind w:left="1680"/>
    </w:pPr>
  </w:style>
  <w:style w:type="paragraph" w:styleId="TOC9">
    <w:name w:val="toc 9"/>
    <w:basedOn w:val="Normal"/>
    <w:next w:val="Normal"/>
    <w:autoRedefine/>
    <w:uiPriority w:val="39"/>
    <w:semiHidden/>
    <w:unhideWhenUsed/>
    <w:rsid w:val="0095757A"/>
    <w:pPr>
      <w:spacing w:after="100"/>
      <w:ind w:left="1920"/>
    </w:pPr>
  </w:style>
  <w:style w:type="character" w:styleId="Hyperlink">
    <w:name w:val="Hyperlink"/>
    <w:basedOn w:val="DefaultParagraphFont"/>
    <w:uiPriority w:val="99"/>
    <w:unhideWhenUsed/>
    <w:rsid w:val="00B36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procurementinternational.com/wp-content/uploads/2019/04/2000-ABA-Model-Procurement-Code.pdf" TargetMode="External"/><Relationship Id="rId5" Type="http://schemas.openxmlformats.org/officeDocument/2006/relationships/hyperlink" Target="https://www.ecfr.gov/current/title-2/subtitle-A/chapter-II/part-200/subpart-D/subject-group-ECFR45ddd4419ad436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568</Words>
  <Characters>4277</Characters>
  <Application>Microsoft Office Word</Application>
  <DocSecurity>0</DocSecurity>
  <Lines>171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Yukins, Christopher R.</dc:creator>
  <cp:keywords/>
  <dc:description/>
  <cp:lastModifiedBy>Yukins, Christopher R.</cp:lastModifiedBy>
  <cp:revision>2</cp:revision>
  <dcterms:created xsi:type="dcterms:W3CDTF">2022-10-03T18:01:00Z</dcterms:created>
  <dcterms:modified xsi:type="dcterms:W3CDTF">2022-10-03T19:39:00Z</dcterms:modified>
</cp:coreProperties>
</file>