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D1C9"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6BBCB51A"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66233F46"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24B077F4"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2C016D5D"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5A5630EB"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7E7A3749"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0F534941"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443AF709"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6DA0A348" w14:textId="77777777" w:rsidR="00516523" w:rsidRPr="00516523" w:rsidRDefault="00516523" w:rsidP="002F7F05">
      <w:pPr>
        <w:spacing w:after="0" w:line="240" w:lineRule="auto"/>
        <w:ind w:left="1080" w:hanging="720"/>
        <w:jc w:val="center"/>
        <w:rPr>
          <w:rFonts w:ascii="Times New Roman" w:hAnsi="Times New Roman" w:cs="Times New Roman"/>
          <w:b/>
          <w:bCs/>
          <w:sz w:val="28"/>
          <w:szCs w:val="28"/>
        </w:rPr>
      </w:pPr>
    </w:p>
    <w:p w14:paraId="1B639B60" w14:textId="2523E8A4" w:rsidR="000A01AB" w:rsidRPr="00516523" w:rsidRDefault="00976129" w:rsidP="002F7F05">
      <w:pPr>
        <w:spacing w:after="0" w:line="240" w:lineRule="auto"/>
        <w:ind w:left="1080" w:hanging="720"/>
        <w:jc w:val="center"/>
        <w:rPr>
          <w:rFonts w:ascii="Times New Roman" w:hAnsi="Times New Roman" w:cs="Times New Roman"/>
          <w:b/>
          <w:bCs/>
          <w:sz w:val="28"/>
          <w:szCs w:val="28"/>
        </w:rPr>
      </w:pPr>
      <w:r w:rsidRPr="00516523">
        <w:rPr>
          <w:rFonts w:ascii="Times New Roman" w:hAnsi="Times New Roman" w:cs="Times New Roman"/>
          <w:b/>
          <w:bCs/>
          <w:sz w:val="28"/>
          <w:szCs w:val="28"/>
        </w:rPr>
        <w:t>MISSING THE FOREST FOR THE TREES</w:t>
      </w:r>
    </w:p>
    <w:p w14:paraId="4237E358"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705AE0C1" w14:textId="77777777" w:rsidR="00516523" w:rsidRDefault="00516523" w:rsidP="002F7F05">
      <w:pPr>
        <w:spacing w:after="0" w:line="240" w:lineRule="auto"/>
        <w:ind w:left="1080" w:hanging="720"/>
        <w:jc w:val="center"/>
        <w:rPr>
          <w:rFonts w:ascii="Times New Roman" w:hAnsi="Times New Roman" w:cs="Times New Roman"/>
          <w:b/>
          <w:bCs/>
          <w:sz w:val="24"/>
          <w:szCs w:val="24"/>
        </w:rPr>
      </w:pPr>
    </w:p>
    <w:p w14:paraId="1EE7EA44" w14:textId="77777777" w:rsidR="00516523" w:rsidRPr="0075171A" w:rsidRDefault="00516523" w:rsidP="002F7F05">
      <w:pPr>
        <w:spacing w:after="0" w:line="240" w:lineRule="auto"/>
        <w:ind w:left="1080" w:hanging="720"/>
        <w:jc w:val="center"/>
        <w:rPr>
          <w:rFonts w:ascii="Times New Roman" w:hAnsi="Times New Roman" w:cs="Times New Roman"/>
          <w:b/>
          <w:bCs/>
          <w:sz w:val="24"/>
          <w:szCs w:val="24"/>
        </w:rPr>
      </w:pPr>
    </w:p>
    <w:p w14:paraId="46AC39D1" w14:textId="3AD4C49F" w:rsidR="00976129" w:rsidRPr="0075171A" w:rsidRDefault="00976129" w:rsidP="002F7F05">
      <w:pPr>
        <w:spacing w:after="0" w:line="240" w:lineRule="auto"/>
        <w:ind w:left="1080" w:hanging="720"/>
        <w:jc w:val="center"/>
        <w:rPr>
          <w:rFonts w:ascii="Times New Roman" w:hAnsi="Times New Roman" w:cs="Times New Roman"/>
          <w:b/>
          <w:bCs/>
          <w:sz w:val="24"/>
          <w:szCs w:val="24"/>
        </w:rPr>
      </w:pPr>
      <w:r w:rsidRPr="0075171A">
        <w:rPr>
          <w:rFonts w:ascii="Times New Roman" w:hAnsi="Times New Roman" w:cs="Times New Roman"/>
          <w:b/>
          <w:bCs/>
          <w:sz w:val="24"/>
          <w:szCs w:val="24"/>
        </w:rPr>
        <w:t xml:space="preserve">The Covenant </w:t>
      </w:r>
      <w:r w:rsidR="008D046A" w:rsidRPr="0075171A">
        <w:rPr>
          <w:rFonts w:ascii="Times New Roman" w:hAnsi="Times New Roman" w:cs="Times New Roman"/>
          <w:b/>
          <w:bCs/>
          <w:sz w:val="24"/>
          <w:szCs w:val="24"/>
        </w:rPr>
        <w:t xml:space="preserve">Against Contingent Fees as a Misplaced Check </w:t>
      </w:r>
      <w:r w:rsidR="002F3D1F">
        <w:rPr>
          <w:rFonts w:ascii="Times New Roman" w:hAnsi="Times New Roman" w:cs="Times New Roman"/>
          <w:b/>
          <w:bCs/>
          <w:sz w:val="24"/>
          <w:szCs w:val="24"/>
        </w:rPr>
        <w:t>on</w:t>
      </w:r>
      <w:r w:rsidR="008D046A" w:rsidRPr="0075171A">
        <w:rPr>
          <w:rFonts w:ascii="Times New Roman" w:hAnsi="Times New Roman" w:cs="Times New Roman"/>
          <w:b/>
          <w:bCs/>
          <w:sz w:val="24"/>
          <w:szCs w:val="24"/>
        </w:rPr>
        <w:t xml:space="preserve"> Influence Peddling</w:t>
      </w:r>
      <w:r w:rsidR="00AD4568">
        <w:rPr>
          <w:rFonts w:ascii="Times New Roman" w:hAnsi="Times New Roman" w:cs="Times New Roman"/>
          <w:b/>
          <w:bCs/>
          <w:sz w:val="24"/>
          <w:szCs w:val="24"/>
        </w:rPr>
        <w:t xml:space="preserve"> in Public Procurement</w:t>
      </w:r>
    </w:p>
    <w:p w14:paraId="21C769B9" w14:textId="77777777" w:rsidR="008D046A" w:rsidRDefault="008D046A" w:rsidP="008D046A">
      <w:pPr>
        <w:spacing w:line="240" w:lineRule="auto"/>
        <w:ind w:left="1080" w:hanging="720"/>
        <w:jc w:val="center"/>
        <w:rPr>
          <w:rFonts w:ascii="Times New Roman" w:hAnsi="Times New Roman" w:cs="Times New Roman"/>
          <w:sz w:val="24"/>
          <w:szCs w:val="24"/>
        </w:rPr>
      </w:pPr>
    </w:p>
    <w:p w14:paraId="5D36FF31" w14:textId="77777777" w:rsidR="00516523" w:rsidRDefault="00516523" w:rsidP="008D046A">
      <w:pPr>
        <w:spacing w:line="240" w:lineRule="auto"/>
        <w:ind w:left="1080" w:hanging="720"/>
        <w:jc w:val="center"/>
        <w:rPr>
          <w:rFonts w:ascii="Times New Roman" w:hAnsi="Times New Roman" w:cs="Times New Roman"/>
          <w:sz w:val="24"/>
          <w:szCs w:val="24"/>
        </w:rPr>
      </w:pPr>
    </w:p>
    <w:p w14:paraId="5875B44F" w14:textId="77777777" w:rsidR="00516523" w:rsidRDefault="00516523" w:rsidP="008D046A">
      <w:pPr>
        <w:spacing w:line="240" w:lineRule="auto"/>
        <w:ind w:left="1080" w:hanging="720"/>
        <w:jc w:val="center"/>
        <w:rPr>
          <w:rFonts w:ascii="Times New Roman" w:hAnsi="Times New Roman" w:cs="Times New Roman"/>
          <w:sz w:val="24"/>
          <w:szCs w:val="24"/>
        </w:rPr>
      </w:pPr>
    </w:p>
    <w:p w14:paraId="46E8FCE1" w14:textId="77777777" w:rsidR="00516523" w:rsidRDefault="00516523" w:rsidP="008D046A">
      <w:pPr>
        <w:spacing w:line="240" w:lineRule="auto"/>
        <w:ind w:left="1080" w:hanging="720"/>
        <w:jc w:val="center"/>
        <w:rPr>
          <w:rFonts w:ascii="Times New Roman" w:hAnsi="Times New Roman" w:cs="Times New Roman"/>
          <w:sz w:val="24"/>
          <w:szCs w:val="24"/>
        </w:rPr>
      </w:pPr>
    </w:p>
    <w:p w14:paraId="1590BF55" w14:textId="77777777" w:rsidR="00516523" w:rsidRDefault="00516523" w:rsidP="008D046A">
      <w:pPr>
        <w:spacing w:line="240" w:lineRule="auto"/>
        <w:ind w:left="1080" w:hanging="720"/>
        <w:jc w:val="center"/>
        <w:rPr>
          <w:rFonts w:ascii="Times New Roman" w:hAnsi="Times New Roman" w:cs="Times New Roman"/>
          <w:sz w:val="24"/>
          <w:szCs w:val="24"/>
        </w:rPr>
      </w:pPr>
    </w:p>
    <w:p w14:paraId="06A6DB7A" w14:textId="1E241FAE" w:rsidR="00516523" w:rsidRDefault="00516523" w:rsidP="008D046A">
      <w:pPr>
        <w:spacing w:line="240" w:lineRule="auto"/>
        <w:ind w:left="1080" w:hanging="720"/>
        <w:jc w:val="center"/>
        <w:rPr>
          <w:rFonts w:ascii="Times New Roman" w:hAnsi="Times New Roman" w:cs="Times New Roman"/>
          <w:sz w:val="24"/>
          <w:szCs w:val="24"/>
        </w:rPr>
      </w:pPr>
      <w:r>
        <w:rPr>
          <w:rFonts w:ascii="Times New Roman" w:hAnsi="Times New Roman" w:cs="Times New Roman"/>
          <w:sz w:val="24"/>
          <w:szCs w:val="24"/>
        </w:rPr>
        <w:t>Kevin Mansheim</w:t>
      </w:r>
    </w:p>
    <w:p w14:paraId="32F9D2EB" w14:textId="77777777" w:rsidR="00516523" w:rsidRDefault="00516523" w:rsidP="008D046A">
      <w:pPr>
        <w:spacing w:line="240" w:lineRule="auto"/>
        <w:ind w:left="1080" w:hanging="720"/>
        <w:jc w:val="center"/>
        <w:rPr>
          <w:rFonts w:ascii="Times New Roman" w:hAnsi="Times New Roman" w:cs="Times New Roman"/>
          <w:sz w:val="24"/>
          <w:szCs w:val="24"/>
        </w:rPr>
      </w:pPr>
    </w:p>
    <w:p w14:paraId="3E7B23BE" w14:textId="77777777" w:rsidR="00516523" w:rsidRDefault="00516523" w:rsidP="008D046A">
      <w:pPr>
        <w:spacing w:line="240" w:lineRule="auto"/>
        <w:ind w:left="1080" w:hanging="720"/>
        <w:jc w:val="center"/>
        <w:rPr>
          <w:rFonts w:ascii="Times New Roman" w:hAnsi="Times New Roman" w:cs="Times New Roman"/>
          <w:sz w:val="24"/>
          <w:szCs w:val="24"/>
        </w:rPr>
      </w:pPr>
    </w:p>
    <w:p w14:paraId="305AEF87" w14:textId="77777777" w:rsidR="00516523" w:rsidRDefault="00516523" w:rsidP="008D046A">
      <w:pPr>
        <w:spacing w:line="240" w:lineRule="auto"/>
        <w:ind w:left="1080" w:hanging="720"/>
        <w:jc w:val="center"/>
        <w:rPr>
          <w:rFonts w:ascii="Times New Roman" w:hAnsi="Times New Roman" w:cs="Times New Roman"/>
          <w:sz w:val="24"/>
          <w:szCs w:val="24"/>
        </w:rPr>
      </w:pPr>
    </w:p>
    <w:p w14:paraId="47013D6F" w14:textId="77777777" w:rsidR="00516523" w:rsidRDefault="00516523" w:rsidP="008D046A">
      <w:pPr>
        <w:spacing w:line="240" w:lineRule="auto"/>
        <w:ind w:left="1080" w:hanging="720"/>
        <w:jc w:val="center"/>
        <w:rPr>
          <w:rFonts w:ascii="Times New Roman" w:hAnsi="Times New Roman" w:cs="Times New Roman"/>
          <w:sz w:val="24"/>
          <w:szCs w:val="24"/>
        </w:rPr>
      </w:pPr>
    </w:p>
    <w:p w14:paraId="00EB5CAD" w14:textId="77777777" w:rsidR="00516523" w:rsidRDefault="00516523" w:rsidP="008D046A">
      <w:pPr>
        <w:spacing w:line="240" w:lineRule="auto"/>
        <w:ind w:left="1080" w:hanging="720"/>
        <w:jc w:val="center"/>
        <w:rPr>
          <w:rFonts w:ascii="Times New Roman" w:hAnsi="Times New Roman" w:cs="Times New Roman"/>
          <w:sz w:val="24"/>
          <w:szCs w:val="24"/>
        </w:rPr>
      </w:pPr>
    </w:p>
    <w:p w14:paraId="54F18E4E" w14:textId="77777777" w:rsidR="00516523" w:rsidRDefault="00516523" w:rsidP="008D046A">
      <w:pPr>
        <w:spacing w:line="240" w:lineRule="auto"/>
        <w:ind w:left="1080" w:hanging="720"/>
        <w:jc w:val="center"/>
        <w:rPr>
          <w:rFonts w:ascii="Times New Roman" w:hAnsi="Times New Roman" w:cs="Times New Roman"/>
          <w:sz w:val="24"/>
          <w:szCs w:val="24"/>
        </w:rPr>
      </w:pPr>
    </w:p>
    <w:p w14:paraId="133FB5C5" w14:textId="77777777" w:rsidR="00516523" w:rsidRDefault="00516523" w:rsidP="008D046A">
      <w:pPr>
        <w:spacing w:line="240" w:lineRule="auto"/>
        <w:ind w:left="1080" w:hanging="720"/>
        <w:jc w:val="center"/>
        <w:rPr>
          <w:rFonts w:ascii="Times New Roman" w:hAnsi="Times New Roman" w:cs="Times New Roman"/>
          <w:sz w:val="24"/>
          <w:szCs w:val="24"/>
        </w:rPr>
      </w:pPr>
    </w:p>
    <w:p w14:paraId="6F8C9DA3" w14:textId="77777777" w:rsidR="00516523" w:rsidRDefault="00516523" w:rsidP="008D046A">
      <w:pPr>
        <w:spacing w:line="240" w:lineRule="auto"/>
        <w:ind w:left="1080" w:hanging="720"/>
        <w:jc w:val="center"/>
        <w:rPr>
          <w:rFonts w:ascii="Times New Roman" w:hAnsi="Times New Roman" w:cs="Times New Roman"/>
          <w:sz w:val="24"/>
          <w:szCs w:val="24"/>
        </w:rPr>
      </w:pPr>
    </w:p>
    <w:p w14:paraId="7B7791A7" w14:textId="77777777" w:rsidR="00516523" w:rsidRDefault="00516523" w:rsidP="008D046A">
      <w:pPr>
        <w:spacing w:line="240" w:lineRule="auto"/>
        <w:ind w:left="1080" w:hanging="720"/>
        <w:jc w:val="center"/>
        <w:rPr>
          <w:rFonts w:ascii="Times New Roman" w:hAnsi="Times New Roman" w:cs="Times New Roman"/>
          <w:sz w:val="24"/>
          <w:szCs w:val="24"/>
        </w:rPr>
      </w:pPr>
    </w:p>
    <w:p w14:paraId="02A525A1" w14:textId="77777777" w:rsidR="00516523" w:rsidRDefault="00516523" w:rsidP="008D046A">
      <w:pPr>
        <w:spacing w:line="240" w:lineRule="auto"/>
        <w:ind w:left="1080" w:hanging="720"/>
        <w:jc w:val="center"/>
        <w:rPr>
          <w:rFonts w:ascii="Times New Roman" w:hAnsi="Times New Roman" w:cs="Times New Roman"/>
          <w:sz w:val="24"/>
          <w:szCs w:val="24"/>
        </w:rPr>
      </w:pPr>
    </w:p>
    <w:p w14:paraId="079243EC" w14:textId="77777777" w:rsidR="00516523" w:rsidRDefault="00516523" w:rsidP="008D046A">
      <w:pPr>
        <w:spacing w:line="240" w:lineRule="auto"/>
        <w:ind w:left="1080" w:hanging="720"/>
        <w:jc w:val="center"/>
        <w:rPr>
          <w:rFonts w:ascii="Times New Roman" w:hAnsi="Times New Roman" w:cs="Times New Roman"/>
          <w:sz w:val="24"/>
          <w:szCs w:val="24"/>
        </w:rPr>
      </w:pPr>
    </w:p>
    <w:p w14:paraId="061FCB28" w14:textId="77777777" w:rsidR="00516523" w:rsidRDefault="00516523" w:rsidP="008D046A">
      <w:pPr>
        <w:spacing w:line="240" w:lineRule="auto"/>
        <w:ind w:left="1080" w:hanging="720"/>
        <w:jc w:val="center"/>
        <w:rPr>
          <w:rFonts w:ascii="Times New Roman" w:hAnsi="Times New Roman" w:cs="Times New Roman"/>
          <w:sz w:val="24"/>
          <w:szCs w:val="24"/>
        </w:rPr>
      </w:pPr>
    </w:p>
    <w:p w14:paraId="76D0CC19" w14:textId="77777777" w:rsidR="00516523" w:rsidRPr="00976129" w:rsidRDefault="00516523" w:rsidP="008D046A">
      <w:pPr>
        <w:spacing w:line="240" w:lineRule="auto"/>
        <w:ind w:left="1080" w:hanging="720"/>
        <w:jc w:val="center"/>
        <w:rPr>
          <w:rFonts w:ascii="Times New Roman" w:hAnsi="Times New Roman" w:cs="Times New Roman"/>
          <w:sz w:val="24"/>
          <w:szCs w:val="24"/>
        </w:rPr>
      </w:pPr>
    </w:p>
    <w:sdt>
      <w:sdtPr>
        <w:id w:val="-183922132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5F75CA80" w14:textId="09B3938D" w:rsidR="00516523" w:rsidRDefault="00516523" w:rsidP="00516523">
          <w:pPr>
            <w:pStyle w:val="TOCHeading"/>
            <w:tabs>
              <w:tab w:val="left" w:pos="4140"/>
            </w:tabs>
            <w:rPr>
              <w:rFonts w:ascii="Times New Roman" w:hAnsi="Times New Roman" w:cs="Times New Roman"/>
              <w:sz w:val="36"/>
              <w:szCs w:val="36"/>
            </w:rPr>
          </w:pPr>
          <w:r w:rsidRPr="00516523">
            <w:rPr>
              <w:rFonts w:ascii="Times New Roman" w:hAnsi="Times New Roman" w:cs="Times New Roman"/>
              <w:sz w:val="36"/>
              <w:szCs w:val="36"/>
            </w:rPr>
            <w:t>Contents</w:t>
          </w:r>
        </w:p>
        <w:p w14:paraId="7629CD47" w14:textId="77777777" w:rsidR="00516523" w:rsidRPr="00516523" w:rsidRDefault="00516523" w:rsidP="00516523"/>
        <w:p w14:paraId="6C4217D0" w14:textId="58FED339" w:rsidR="00516523" w:rsidRPr="00516523" w:rsidRDefault="00516523">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r w:rsidRPr="00516523">
            <w:rPr>
              <w:rFonts w:ascii="Times New Roman" w:hAnsi="Times New Roman" w:cs="Times New Roman"/>
              <w:sz w:val="24"/>
              <w:szCs w:val="24"/>
            </w:rPr>
            <w:fldChar w:fldCharType="begin"/>
          </w:r>
          <w:r w:rsidRPr="00516523">
            <w:rPr>
              <w:rFonts w:ascii="Times New Roman" w:hAnsi="Times New Roman" w:cs="Times New Roman"/>
              <w:sz w:val="24"/>
              <w:szCs w:val="24"/>
            </w:rPr>
            <w:instrText xml:space="preserve"> TOC \o "1-3" \h \z \u </w:instrText>
          </w:r>
          <w:r w:rsidRPr="00516523">
            <w:rPr>
              <w:rFonts w:ascii="Times New Roman" w:hAnsi="Times New Roman" w:cs="Times New Roman"/>
              <w:sz w:val="24"/>
              <w:szCs w:val="24"/>
            </w:rPr>
            <w:fldChar w:fldCharType="separate"/>
          </w:r>
          <w:hyperlink w:anchor="_Toc153485956" w:history="1">
            <w:r w:rsidRPr="00516523">
              <w:rPr>
                <w:rStyle w:val="Hyperlink"/>
                <w:rFonts w:ascii="Times New Roman" w:hAnsi="Times New Roman" w:cs="Times New Roman"/>
                <w:noProof/>
                <w:sz w:val="24"/>
                <w:szCs w:val="24"/>
              </w:rPr>
              <w:t>I.</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INTRODUCTION</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_Toc153485956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516523">
              <w:rPr>
                <w:rFonts w:ascii="Times New Roman" w:hAnsi="Times New Roman" w:cs="Times New Roman"/>
                <w:noProof/>
                <w:webHidden/>
                <w:sz w:val="24"/>
                <w:szCs w:val="24"/>
              </w:rPr>
              <w:fldChar w:fldCharType="end"/>
            </w:r>
          </w:hyperlink>
        </w:p>
        <w:p w14:paraId="3E986EB7" w14:textId="1228D707" w:rsidR="00516523" w:rsidRPr="00516523" w:rsidRDefault="00516523">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53485957" w:history="1">
            <w:r w:rsidRPr="00516523">
              <w:rPr>
                <w:rStyle w:val="Hyperlink"/>
                <w:rFonts w:ascii="Times New Roman" w:hAnsi="Times New Roman" w:cs="Times New Roman"/>
                <w:noProof/>
                <w:sz w:val="24"/>
                <w:szCs w:val="24"/>
              </w:rPr>
              <w:t>II.</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CONTINGENT FEES AND THE INFLUENCE PEDDLER</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_Toc153485957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16523">
              <w:rPr>
                <w:rFonts w:ascii="Times New Roman" w:hAnsi="Times New Roman" w:cs="Times New Roman"/>
                <w:noProof/>
                <w:webHidden/>
                <w:sz w:val="24"/>
                <w:szCs w:val="24"/>
              </w:rPr>
              <w:fldChar w:fldCharType="end"/>
            </w:r>
          </w:hyperlink>
        </w:p>
        <w:p w14:paraId="78DC2889" w14:textId="4D8007A8"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58" w:history="1">
            <w:r w:rsidRPr="00516523">
              <w:rPr>
                <w:rStyle w:val="Hyperlink"/>
                <w:rFonts w:ascii="Times New Roman" w:hAnsi="Times New Roman" w:cs="Times New Roman"/>
                <w:noProof/>
                <w:sz w:val="24"/>
                <w:szCs w:val="24"/>
              </w:rPr>
              <w:t>a.</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Influence Peddling in Public Procurement</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_Toc153485958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16523">
              <w:rPr>
                <w:rFonts w:ascii="Times New Roman" w:hAnsi="Times New Roman" w:cs="Times New Roman"/>
                <w:noProof/>
                <w:webHidden/>
                <w:sz w:val="24"/>
                <w:szCs w:val="24"/>
              </w:rPr>
              <w:fldChar w:fldCharType="end"/>
            </w:r>
          </w:hyperlink>
        </w:p>
        <w:p w14:paraId="310C099B" w14:textId="36A991A1"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59" w:history="1">
            <w:r w:rsidRPr="00516523">
              <w:rPr>
                <w:rStyle w:val="Hyperlink"/>
                <w:rFonts w:ascii="Times New Roman" w:hAnsi="Times New Roman" w:cs="Times New Roman"/>
                <w:noProof/>
                <w:sz w:val="24"/>
                <w:szCs w:val="24"/>
              </w:rPr>
              <w:t>b.</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Vulnerability of State and Local Governments</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_Toc153485959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516523">
              <w:rPr>
                <w:rFonts w:ascii="Times New Roman" w:hAnsi="Times New Roman" w:cs="Times New Roman"/>
                <w:noProof/>
                <w:webHidden/>
                <w:sz w:val="24"/>
                <w:szCs w:val="24"/>
              </w:rPr>
              <w:fldChar w:fldCharType="end"/>
            </w:r>
          </w:hyperlink>
        </w:p>
        <w:p w14:paraId="35D94046" w14:textId="3EDF92AC"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0" w:history="1">
            <w:r w:rsidRPr="00516523">
              <w:rPr>
                <w:rStyle w:val="Hyperlink"/>
                <w:rFonts w:ascii="Times New Roman" w:hAnsi="Times New Roman" w:cs="Times New Roman"/>
                <w:noProof/>
                <w:sz w:val="24"/>
                <w:szCs w:val="24"/>
              </w:rPr>
              <w:t>c.</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Historical Origins of the Covenant Against Contingent Fees</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_Toc153485960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516523">
              <w:rPr>
                <w:rFonts w:ascii="Times New Roman" w:hAnsi="Times New Roman" w:cs="Times New Roman"/>
                <w:noProof/>
                <w:webHidden/>
                <w:sz w:val="24"/>
                <w:szCs w:val="24"/>
              </w:rPr>
              <w:fldChar w:fldCharType="end"/>
            </w:r>
          </w:hyperlink>
        </w:p>
        <w:p w14:paraId="6A838369" w14:textId="0BAB610E"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1" w:history="1">
            <w:r w:rsidRPr="00516523">
              <w:rPr>
                <w:rStyle w:val="Hyperlink"/>
                <w:rFonts w:ascii="Times New Roman" w:hAnsi="Times New Roman" w:cs="Times New Roman"/>
                <w:noProof/>
                <w:sz w:val="24"/>
                <w:szCs w:val="24"/>
              </w:rPr>
              <w:t>d.</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Toward Federal Regulation</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_Toc153485961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516523">
              <w:rPr>
                <w:rFonts w:ascii="Times New Roman" w:hAnsi="Times New Roman" w:cs="Times New Roman"/>
                <w:noProof/>
                <w:webHidden/>
                <w:sz w:val="24"/>
                <w:szCs w:val="24"/>
              </w:rPr>
              <w:fldChar w:fldCharType="end"/>
            </w:r>
          </w:hyperlink>
        </w:p>
        <w:p w14:paraId="52554602" w14:textId="327D9966"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2" w:history="1">
            <w:r w:rsidRPr="00516523">
              <w:rPr>
                <w:rStyle w:val="Hyperlink"/>
                <w:rFonts w:ascii="Times New Roman" w:hAnsi="Times New Roman" w:cs="Times New Roman"/>
                <w:noProof/>
                <w:sz w:val="24"/>
                <w:szCs w:val="24"/>
              </w:rPr>
              <w:t>e.</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State and Local Regulation</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_Toc153485962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516523">
              <w:rPr>
                <w:rFonts w:ascii="Times New Roman" w:hAnsi="Times New Roman" w:cs="Times New Roman"/>
                <w:noProof/>
                <w:webHidden/>
                <w:sz w:val="24"/>
                <w:szCs w:val="24"/>
              </w:rPr>
              <w:fldChar w:fldCharType="end"/>
            </w:r>
          </w:hyperlink>
        </w:p>
        <w:p w14:paraId="2C6BA607" w14:textId="237386FE" w:rsidR="00516523" w:rsidRPr="00516523" w:rsidRDefault="00516523">
          <w:pPr>
            <w:pStyle w:val="TOC1"/>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3" w:history="1">
            <w:r w:rsidRPr="00516523">
              <w:rPr>
                <w:rStyle w:val="Hyperlink"/>
                <w:rFonts w:ascii="Times New Roman" w:hAnsi="Times New Roman" w:cs="Times New Roman"/>
                <w:noProof/>
                <w:sz w:val="24"/>
                <w:szCs w:val="24"/>
              </w:rPr>
              <w:t>III.</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WEAKNESSES IN CONTINGECNY FEE REGULATION</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_Toc153485963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516523">
              <w:rPr>
                <w:rFonts w:ascii="Times New Roman" w:hAnsi="Times New Roman" w:cs="Times New Roman"/>
                <w:noProof/>
                <w:webHidden/>
                <w:sz w:val="24"/>
                <w:szCs w:val="24"/>
              </w:rPr>
              <w:fldChar w:fldCharType="end"/>
            </w:r>
          </w:hyperlink>
        </w:p>
        <w:p w14:paraId="38CD1237" w14:textId="20091A98"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4" w:history="1">
            <w:r w:rsidRPr="00516523">
              <w:rPr>
                <w:rStyle w:val="Hyperlink"/>
                <w:rFonts w:ascii="Times New Roman" w:hAnsi="Times New Roman" w:cs="Times New Roman"/>
                <w:noProof/>
                <w:sz w:val="24"/>
                <w:szCs w:val="24"/>
              </w:rPr>
              <w:t>a.</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Bona Fide Exception</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_Toc153485964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516523">
              <w:rPr>
                <w:rFonts w:ascii="Times New Roman" w:hAnsi="Times New Roman" w:cs="Times New Roman"/>
                <w:noProof/>
                <w:webHidden/>
                <w:sz w:val="24"/>
                <w:szCs w:val="24"/>
              </w:rPr>
              <w:fldChar w:fldCharType="end"/>
            </w:r>
          </w:hyperlink>
        </w:p>
        <w:p w14:paraId="2E40A03F" w14:textId="053B43C4" w:rsidR="00516523" w:rsidRPr="00516523" w:rsidRDefault="00516523">
          <w:pPr>
            <w:pStyle w:val="TOC2"/>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5" w:history="1">
            <w:r w:rsidRPr="00516523">
              <w:rPr>
                <w:rStyle w:val="Hyperlink"/>
                <w:rFonts w:ascii="Times New Roman" w:hAnsi="Times New Roman" w:cs="Times New Roman"/>
                <w:noProof/>
                <w:sz w:val="24"/>
                <w:szCs w:val="24"/>
              </w:rPr>
              <w:t>b.</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Lack of a Disclosure Requirement</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_Toc153485965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516523">
              <w:rPr>
                <w:rFonts w:ascii="Times New Roman" w:hAnsi="Times New Roman" w:cs="Times New Roman"/>
                <w:noProof/>
                <w:webHidden/>
                <w:sz w:val="24"/>
                <w:szCs w:val="24"/>
              </w:rPr>
              <w:fldChar w:fldCharType="end"/>
            </w:r>
          </w:hyperlink>
        </w:p>
        <w:p w14:paraId="005069AE" w14:textId="0F2020A6" w:rsidR="00516523" w:rsidRPr="00516523" w:rsidRDefault="00516523">
          <w:pPr>
            <w:pStyle w:val="TOC1"/>
            <w:tabs>
              <w:tab w:val="left" w:pos="660"/>
              <w:tab w:val="right" w:leader="dot" w:pos="9350"/>
            </w:tabs>
            <w:rPr>
              <w:rFonts w:ascii="Times New Roman" w:eastAsiaTheme="minorEastAsia" w:hAnsi="Times New Roman" w:cs="Times New Roman"/>
              <w:noProof/>
              <w:kern w:val="2"/>
              <w:sz w:val="24"/>
              <w:szCs w:val="24"/>
              <w14:ligatures w14:val="standardContextual"/>
            </w:rPr>
          </w:pPr>
          <w:hyperlink w:anchor="_Toc153485966" w:history="1">
            <w:r w:rsidRPr="00516523">
              <w:rPr>
                <w:rStyle w:val="Hyperlink"/>
                <w:rFonts w:ascii="Times New Roman" w:hAnsi="Times New Roman" w:cs="Times New Roman"/>
                <w:noProof/>
                <w:sz w:val="24"/>
                <w:szCs w:val="24"/>
              </w:rPr>
              <w:t>IV.</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 xml:space="preserve">RECAPTURING THE SPIRIT OF </w:t>
            </w:r>
            <w:r w:rsidRPr="00516523">
              <w:rPr>
                <w:rStyle w:val="Hyperlink"/>
                <w:rFonts w:ascii="Times New Roman" w:hAnsi="Times New Roman" w:cs="Times New Roman"/>
                <w:i/>
                <w:iCs/>
                <w:noProof/>
                <w:sz w:val="24"/>
                <w:szCs w:val="24"/>
              </w:rPr>
              <w:t>PROVIDENCE TOOL</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_Toc153485966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516523">
              <w:rPr>
                <w:rFonts w:ascii="Times New Roman" w:hAnsi="Times New Roman" w:cs="Times New Roman"/>
                <w:noProof/>
                <w:webHidden/>
                <w:sz w:val="24"/>
                <w:szCs w:val="24"/>
              </w:rPr>
              <w:fldChar w:fldCharType="end"/>
            </w:r>
          </w:hyperlink>
        </w:p>
        <w:p w14:paraId="27F2F50E" w14:textId="02E11851" w:rsidR="00516523" w:rsidRPr="00516523" w:rsidRDefault="00516523">
          <w:pPr>
            <w:pStyle w:val="TOC1"/>
            <w:tabs>
              <w:tab w:val="left" w:pos="440"/>
              <w:tab w:val="right" w:leader="dot" w:pos="9350"/>
            </w:tabs>
            <w:rPr>
              <w:rFonts w:ascii="Times New Roman" w:eastAsiaTheme="minorEastAsia" w:hAnsi="Times New Roman" w:cs="Times New Roman"/>
              <w:noProof/>
              <w:kern w:val="2"/>
              <w:sz w:val="24"/>
              <w:szCs w:val="24"/>
              <w14:ligatures w14:val="standardContextual"/>
            </w:rPr>
          </w:pPr>
          <w:hyperlink w:anchor="_Toc153485967" w:history="1">
            <w:r w:rsidRPr="00516523">
              <w:rPr>
                <w:rStyle w:val="Hyperlink"/>
                <w:rFonts w:ascii="Times New Roman" w:hAnsi="Times New Roman" w:cs="Times New Roman"/>
                <w:noProof/>
                <w:sz w:val="24"/>
                <w:szCs w:val="24"/>
              </w:rPr>
              <w:t>V.</w:t>
            </w:r>
            <w:r w:rsidRPr="00516523">
              <w:rPr>
                <w:rFonts w:ascii="Times New Roman" w:eastAsiaTheme="minorEastAsia" w:hAnsi="Times New Roman" w:cs="Times New Roman"/>
                <w:noProof/>
                <w:kern w:val="2"/>
                <w:sz w:val="24"/>
                <w:szCs w:val="24"/>
                <w14:ligatures w14:val="standardContextual"/>
              </w:rPr>
              <w:tab/>
            </w:r>
            <w:r w:rsidRPr="00516523">
              <w:rPr>
                <w:rStyle w:val="Hyperlink"/>
                <w:rFonts w:ascii="Times New Roman" w:hAnsi="Times New Roman" w:cs="Times New Roman"/>
                <w:noProof/>
                <w:sz w:val="24"/>
                <w:szCs w:val="24"/>
              </w:rPr>
              <w:t>CONCLUSION</w:t>
            </w:r>
            <w:r w:rsidRPr="00516523">
              <w:rPr>
                <w:rFonts w:ascii="Times New Roman" w:hAnsi="Times New Roman" w:cs="Times New Roman"/>
                <w:noProof/>
                <w:webHidden/>
                <w:sz w:val="24"/>
                <w:szCs w:val="24"/>
              </w:rPr>
              <w:tab/>
            </w:r>
            <w:r w:rsidRPr="00516523">
              <w:rPr>
                <w:rFonts w:ascii="Times New Roman" w:hAnsi="Times New Roman" w:cs="Times New Roman"/>
                <w:noProof/>
                <w:webHidden/>
                <w:sz w:val="24"/>
                <w:szCs w:val="24"/>
              </w:rPr>
              <w:fldChar w:fldCharType="begin"/>
            </w:r>
            <w:r w:rsidRPr="00516523">
              <w:rPr>
                <w:rFonts w:ascii="Times New Roman" w:hAnsi="Times New Roman" w:cs="Times New Roman"/>
                <w:noProof/>
                <w:webHidden/>
                <w:sz w:val="24"/>
                <w:szCs w:val="24"/>
              </w:rPr>
              <w:instrText xml:space="preserve"> PAGEREF _Toc153485967 \h </w:instrText>
            </w:r>
            <w:r w:rsidRPr="00516523">
              <w:rPr>
                <w:rFonts w:ascii="Times New Roman" w:hAnsi="Times New Roman" w:cs="Times New Roman"/>
                <w:noProof/>
                <w:webHidden/>
                <w:sz w:val="24"/>
                <w:szCs w:val="24"/>
              </w:rPr>
            </w:r>
            <w:r w:rsidRPr="0051652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516523">
              <w:rPr>
                <w:rFonts w:ascii="Times New Roman" w:hAnsi="Times New Roman" w:cs="Times New Roman"/>
                <w:noProof/>
                <w:webHidden/>
                <w:sz w:val="24"/>
                <w:szCs w:val="24"/>
              </w:rPr>
              <w:fldChar w:fldCharType="end"/>
            </w:r>
          </w:hyperlink>
        </w:p>
        <w:p w14:paraId="44E68922" w14:textId="2EAFE072" w:rsidR="00516523" w:rsidRDefault="00516523">
          <w:r w:rsidRPr="00516523">
            <w:rPr>
              <w:rFonts w:ascii="Times New Roman" w:hAnsi="Times New Roman" w:cs="Times New Roman"/>
              <w:b/>
              <w:bCs/>
              <w:noProof/>
              <w:sz w:val="24"/>
              <w:szCs w:val="24"/>
            </w:rPr>
            <w:fldChar w:fldCharType="end"/>
          </w:r>
        </w:p>
      </w:sdtContent>
    </w:sdt>
    <w:p w14:paraId="0E30D8D3" w14:textId="77777777" w:rsidR="00516523" w:rsidRDefault="00516523" w:rsidP="00516523">
      <w:pPr>
        <w:pStyle w:val="Heading1"/>
        <w:numPr>
          <w:ilvl w:val="0"/>
          <w:numId w:val="0"/>
        </w:numPr>
        <w:ind w:left="1080"/>
      </w:pPr>
    </w:p>
    <w:p w14:paraId="6CCCB2C5" w14:textId="77777777" w:rsidR="00516523" w:rsidRDefault="00516523" w:rsidP="00516523"/>
    <w:p w14:paraId="381C745D" w14:textId="77777777" w:rsidR="00516523" w:rsidRDefault="00516523" w:rsidP="00516523"/>
    <w:p w14:paraId="07BF9B2D" w14:textId="77777777" w:rsidR="00516523" w:rsidRDefault="00516523" w:rsidP="00516523"/>
    <w:p w14:paraId="0A7E6D9E" w14:textId="77777777" w:rsidR="00516523" w:rsidRDefault="00516523" w:rsidP="00516523"/>
    <w:p w14:paraId="5D50D459" w14:textId="77777777" w:rsidR="00516523" w:rsidRDefault="00516523" w:rsidP="00516523"/>
    <w:p w14:paraId="1B5F6FD5" w14:textId="77777777" w:rsidR="00516523" w:rsidRDefault="00516523" w:rsidP="00516523"/>
    <w:p w14:paraId="61975D5F" w14:textId="77777777" w:rsidR="00516523" w:rsidRDefault="00516523" w:rsidP="00516523"/>
    <w:p w14:paraId="4F80E226" w14:textId="77777777" w:rsidR="00516523" w:rsidRDefault="00516523" w:rsidP="00516523"/>
    <w:p w14:paraId="5264EE64" w14:textId="77777777" w:rsidR="00516523" w:rsidRDefault="00516523" w:rsidP="00516523"/>
    <w:p w14:paraId="574E4D6A" w14:textId="77777777" w:rsidR="00516523" w:rsidRDefault="00516523" w:rsidP="00516523"/>
    <w:p w14:paraId="6BA0ADEC" w14:textId="77777777" w:rsidR="00516523" w:rsidRDefault="00516523" w:rsidP="00516523"/>
    <w:p w14:paraId="53CFEE1E" w14:textId="77777777" w:rsidR="00516523" w:rsidRDefault="00516523" w:rsidP="00516523"/>
    <w:p w14:paraId="022CB0E3" w14:textId="77777777" w:rsidR="00516523" w:rsidRDefault="00516523" w:rsidP="00516523"/>
    <w:p w14:paraId="2ACCBD8B" w14:textId="77777777" w:rsidR="00516523" w:rsidRPr="00516523" w:rsidRDefault="00516523" w:rsidP="00516523"/>
    <w:p w14:paraId="71B2B4CC" w14:textId="00887659" w:rsidR="00F5037E" w:rsidRDefault="00F5037E" w:rsidP="00A3353B">
      <w:pPr>
        <w:pStyle w:val="Heading1"/>
      </w:pPr>
      <w:bookmarkStart w:id="0" w:name="_Toc153485956"/>
      <w:r w:rsidRPr="00A3353B">
        <w:t>INTRODUCTION</w:t>
      </w:r>
      <w:bookmarkEnd w:id="0"/>
    </w:p>
    <w:p w14:paraId="08A240E9" w14:textId="65365DE4" w:rsidR="00562656" w:rsidRDefault="00562656" w:rsidP="00562656">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September 29, 2023, Representative Mike Gallagher, a Republican from Wisconsin, introduced the Deterring Attempts at Dirty Deals by Youngsters (DADDY) Act, which would prohibit the family members of the President and other cabinet-level officials from being employed by a foreign company.</w:t>
      </w:r>
      <w:r>
        <w:rPr>
          <w:rStyle w:val="FootnoteReference"/>
          <w:rFonts w:ascii="Times New Roman" w:hAnsi="Times New Roman" w:cs="Times New Roman"/>
          <w:sz w:val="24"/>
          <w:szCs w:val="24"/>
        </w:rPr>
        <w:footnoteReference w:id="2"/>
      </w:r>
      <w:r w:rsidR="00791CED">
        <w:rPr>
          <w:rFonts w:ascii="Times New Roman" w:hAnsi="Times New Roman" w:cs="Times New Roman"/>
          <w:sz w:val="24"/>
          <w:szCs w:val="24"/>
        </w:rPr>
        <w:t xml:space="preserve">  While the prohibition </w:t>
      </w:r>
      <w:r w:rsidR="00C165C1">
        <w:rPr>
          <w:rFonts w:ascii="Times New Roman" w:hAnsi="Times New Roman" w:cs="Times New Roman"/>
          <w:sz w:val="24"/>
          <w:szCs w:val="24"/>
        </w:rPr>
        <w:t>would</w:t>
      </w:r>
      <w:r w:rsidR="00791CED">
        <w:rPr>
          <w:rFonts w:ascii="Times New Roman" w:hAnsi="Times New Roman" w:cs="Times New Roman"/>
          <w:sz w:val="24"/>
          <w:szCs w:val="24"/>
        </w:rPr>
        <w:t xml:space="preserve"> not apply to the family of other government officials (members of the House of Representatives, for instance), and </w:t>
      </w:r>
      <w:r w:rsidR="00C165C1">
        <w:rPr>
          <w:rFonts w:ascii="Times New Roman" w:hAnsi="Times New Roman" w:cs="Times New Roman"/>
          <w:sz w:val="24"/>
          <w:szCs w:val="24"/>
        </w:rPr>
        <w:t>raises</w:t>
      </w:r>
      <w:r w:rsidR="006A49CD">
        <w:rPr>
          <w:rFonts w:ascii="Times New Roman" w:hAnsi="Times New Roman" w:cs="Times New Roman"/>
          <w:sz w:val="24"/>
          <w:szCs w:val="24"/>
        </w:rPr>
        <w:t xml:space="preserve"> constitutional issues by </w:t>
      </w:r>
      <w:r w:rsidR="00791CED">
        <w:rPr>
          <w:rFonts w:ascii="Times New Roman" w:hAnsi="Times New Roman" w:cs="Times New Roman"/>
          <w:sz w:val="24"/>
          <w:szCs w:val="24"/>
        </w:rPr>
        <w:t>broadly prohibit</w:t>
      </w:r>
      <w:r w:rsidR="006A49CD">
        <w:rPr>
          <w:rFonts w:ascii="Times New Roman" w:hAnsi="Times New Roman" w:cs="Times New Roman"/>
          <w:sz w:val="24"/>
          <w:szCs w:val="24"/>
        </w:rPr>
        <w:t>ing</w:t>
      </w:r>
      <w:r w:rsidR="00791CED">
        <w:rPr>
          <w:rFonts w:ascii="Times New Roman" w:hAnsi="Times New Roman" w:cs="Times New Roman"/>
          <w:sz w:val="24"/>
          <w:szCs w:val="24"/>
        </w:rPr>
        <w:t xml:space="preserve"> employment from firms </w:t>
      </w:r>
      <w:r w:rsidR="006A49CD">
        <w:rPr>
          <w:rFonts w:ascii="Times New Roman" w:hAnsi="Times New Roman" w:cs="Times New Roman"/>
          <w:sz w:val="24"/>
          <w:szCs w:val="24"/>
        </w:rPr>
        <w:t xml:space="preserve">based </w:t>
      </w:r>
      <w:r w:rsidR="00791CED">
        <w:rPr>
          <w:rFonts w:ascii="Times New Roman" w:hAnsi="Times New Roman" w:cs="Times New Roman"/>
          <w:sz w:val="24"/>
          <w:szCs w:val="24"/>
        </w:rPr>
        <w:t xml:space="preserve">outside the United States </w:t>
      </w:r>
      <w:r w:rsidR="006A49CD">
        <w:rPr>
          <w:rFonts w:ascii="Times New Roman" w:hAnsi="Times New Roman" w:cs="Times New Roman"/>
          <w:sz w:val="24"/>
          <w:szCs w:val="24"/>
        </w:rPr>
        <w:t>or</w:t>
      </w:r>
      <w:r w:rsidR="00791CED">
        <w:rPr>
          <w:rFonts w:ascii="Times New Roman" w:hAnsi="Times New Roman" w:cs="Times New Roman"/>
          <w:sz w:val="24"/>
          <w:szCs w:val="24"/>
        </w:rPr>
        <w:t xml:space="preserve"> a select list of friendly countrie</w:t>
      </w:r>
      <w:r w:rsidR="006A49CD">
        <w:rPr>
          <w:rFonts w:ascii="Times New Roman" w:hAnsi="Times New Roman" w:cs="Times New Roman"/>
          <w:sz w:val="24"/>
          <w:szCs w:val="24"/>
        </w:rPr>
        <w:t xml:space="preserve">s, the bill nevertheless seeks to </w:t>
      </w:r>
      <w:r w:rsidR="00C165C1">
        <w:rPr>
          <w:rFonts w:ascii="Times New Roman" w:hAnsi="Times New Roman" w:cs="Times New Roman"/>
          <w:sz w:val="24"/>
          <w:szCs w:val="24"/>
        </w:rPr>
        <w:t>touches upon the</w:t>
      </w:r>
      <w:r w:rsidR="006A49CD">
        <w:rPr>
          <w:rFonts w:ascii="Times New Roman" w:hAnsi="Times New Roman" w:cs="Times New Roman"/>
          <w:sz w:val="24"/>
          <w:szCs w:val="24"/>
        </w:rPr>
        <w:t xml:space="preserve"> legitimate public concern of influence peddling.</w:t>
      </w:r>
      <w:r w:rsidR="006A49CD">
        <w:rPr>
          <w:rStyle w:val="FootnoteReference"/>
          <w:rFonts w:ascii="Times New Roman" w:hAnsi="Times New Roman" w:cs="Times New Roman"/>
          <w:sz w:val="24"/>
          <w:szCs w:val="24"/>
        </w:rPr>
        <w:footnoteReference w:id="3"/>
      </w:r>
    </w:p>
    <w:p w14:paraId="54570357" w14:textId="0D2995C7" w:rsidR="006A49CD" w:rsidRDefault="0006361E" w:rsidP="00562656">
      <w:pPr>
        <w:spacing w:line="480" w:lineRule="auto"/>
        <w:ind w:firstLine="720"/>
        <w:rPr>
          <w:rFonts w:ascii="Times New Roman" w:hAnsi="Times New Roman" w:cs="Times New Roman"/>
          <w:sz w:val="24"/>
          <w:szCs w:val="24"/>
        </w:rPr>
      </w:pPr>
      <w:r>
        <w:rPr>
          <w:rFonts w:ascii="Times New Roman" w:hAnsi="Times New Roman" w:cs="Times New Roman"/>
          <w:sz w:val="24"/>
          <w:szCs w:val="24"/>
        </w:rPr>
        <w:t>Substance</w:t>
      </w:r>
      <w:r w:rsidR="006A49CD">
        <w:rPr>
          <w:rFonts w:ascii="Times New Roman" w:hAnsi="Times New Roman" w:cs="Times New Roman"/>
          <w:sz w:val="24"/>
          <w:szCs w:val="24"/>
        </w:rPr>
        <w:t xml:space="preserve"> issues aside, the bill has no chance of </w:t>
      </w:r>
      <w:r w:rsidR="00B910B9">
        <w:rPr>
          <w:rFonts w:ascii="Times New Roman" w:hAnsi="Times New Roman" w:cs="Times New Roman"/>
          <w:sz w:val="24"/>
          <w:szCs w:val="24"/>
        </w:rPr>
        <w:t>becoming law</w:t>
      </w:r>
      <w:r w:rsidR="006A49CD">
        <w:rPr>
          <w:rFonts w:ascii="Times New Roman" w:hAnsi="Times New Roman" w:cs="Times New Roman"/>
          <w:sz w:val="24"/>
          <w:szCs w:val="24"/>
        </w:rPr>
        <w:t xml:space="preserve">.  Rather, it is a political </w:t>
      </w:r>
      <w:r w:rsidR="00C165C1">
        <w:rPr>
          <w:rFonts w:ascii="Times New Roman" w:hAnsi="Times New Roman" w:cs="Times New Roman"/>
          <w:sz w:val="24"/>
          <w:szCs w:val="24"/>
        </w:rPr>
        <w:t>effort</w:t>
      </w:r>
      <w:r w:rsidR="006A49CD">
        <w:rPr>
          <w:rFonts w:ascii="Times New Roman" w:hAnsi="Times New Roman" w:cs="Times New Roman"/>
          <w:sz w:val="24"/>
          <w:szCs w:val="24"/>
        </w:rPr>
        <w:t xml:space="preserve"> </w:t>
      </w:r>
      <w:r w:rsidR="00B910B9">
        <w:rPr>
          <w:rFonts w:ascii="Times New Roman" w:hAnsi="Times New Roman" w:cs="Times New Roman"/>
          <w:sz w:val="24"/>
          <w:szCs w:val="24"/>
        </w:rPr>
        <w:t xml:space="preserve">to </w:t>
      </w:r>
      <w:r w:rsidR="00C165C1">
        <w:rPr>
          <w:rFonts w:ascii="Times New Roman" w:hAnsi="Times New Roman" w:cs="Times New Roman"/>
          <w:sz w:val="24"/>
          <w:szCs w:val="24"/>
        </w:rPr>
        <w:t>score points against</w:t>
      </w:r>
      <w:r w:rsidR="00B910B9">
        <w:rPr>
          <w:rFonts w:ascii="Times New Roman" w:hAnsi="Times New Roman" w:cs="Times New Roman"/>
          <w:sz w:val="24"/>
          <w:szCs w:val="24"/>
        </w:rPr>
        <w:t xml:space="preserve"> the millions of dollars</w:t>
      </w:r>
      <w:r w:rsidR="006A49CD">
        <w:rPr>
          <w:rFonts w:ascii="Times New Roman" w:hAnsi="Times New Roman" w:cs="Times New Roman"/>
          <w:sz w:val="24"/>
          <w:szCs w:val="24"/>
        </w:rPr>
        <w:t xml:space="preserve"> Hunter Biden</w:t>
      </w:r>
      <w:r w:rsidR="00B910B9">
        <w:rPr>
          <w:rFonts w:ascii="Times New Roman" w:hAnsi="Times New Roman" w:cs="Times New Roman"/>
          <w:sz w:val="24"/>
          <w:szCs w:val="24"/>
        </w:rPr>
        <w:t xml:space="preserve"> received through selling paintings, serving on </w:t>
      </w:r>
      <w:r w:rsidR="00C165C1">
        <w:rPr>
          <w:rFonts w:ascii="Times New Roman" w:hAnsi="Times New Roman" w:cs="Times New Roman"/>
          <w:sz w:val="24"/>
          <w:szCs w:val="24"/>
        </w:rPr>
        <w:t>the</w:t>
      </w:r>
      <w:r w:rsidR="00B910B9">
        <w:rPr>
          <w:rFonts w:ascii="Times New Roman" w:hAnsi="Times New Roman" w:cs="Times New Roman"/>
          <w:sz w:val="24"/>
          <w:szCs w:val="24"/>
        </w:rPr>
        <w:t xml:space="preserve"> board of a Ukrainian energy firm, and </w:t>
      </w:r>
      <w:r>
        <w:rPr>
          <w:rFonts w:ascii="Times New Roman" w:hAnsi="Times New Roman" w:cs="Times New Roman"/>
          <w:sz w:val="24"/>
          <w:szCs w:val="24"/>
        </w:rPr>
        <w:t xml:space="preserve">collecting </w:t>
      </w:r>
      <w:r w:rsidR="00B910B9">
        <w:rPr>
          <w:rFonts w:ascii="Times New Roman" w:hAnsi="Times New Roman" w:cs="Times New Roman"/>
          <w:sz w:val="24"/>
          <w:szCs w:val="24"/>
        </w:rPr>
        <w:t>consulting fees from Chinese businesses while</w:t>
      </w:r>
      <w:r w:rsidR="00C165C1">
        <w:rPr>
          <w:rFonts w:ascii="Times New Roman" w:hAnsi="Times New Roman" w:cs="Times New Roman"/>
          <w:sz w:val="24"/>
          <w:szCs w:val="24"/>
        </w:rPr>
        <w:t>,</w:t>
      </w:r>
      <w:r w:rsidR="00B910B9">
        <w:rPr>
          <w:rFonts w:ascii="Times New Roman" w:hAnsi="Times New Roman" w:cs="Times New Roman"/>
          <w:sz w:val="24"/>
          <w:szCs w:val="24"/>
        </w:rPr>
        <w:t xml:space="preserve"> and after</w:t>
      </w:r>
      <w:r w:rsidR="00C165C1">
        <w:rPr>
          <w:rFonts w:ascii="Times New Roman" w:hAnsi="Times New Roman" w:cs="Times New Roman"/>
          <w:sz w:val="24"/>
          <w:szCs w:val="24"/>
        </w:rPr>
        <w:t>,</w:t>
      </w:r>
      <w:r w:rsidR="00B910B9">
        <w:rPr>
          <w:rFonts w:ascii="Times New Roman" w:hAnsi="Times New Roman" w:cs="Times New Roman"/>
          <w:sz w:val="24"/>
          <w:szCs w:val="24"/>
        </w:rPr>
        <w:t xml:space="preserve"> his father was Vice President.</w:t>
      </w:r>
      <w:r w:rsidR="00B910B9">
        <w:rPr>
          <w:rStyle w:val="FootnoteReference"/>
          <w:rFonts w:ascii="Times New Roman" w:hAnsi="Times New Roman" w:cs="Times New Roman"/>
          <w:sz w:val="24"/>
          <w:szCs w:val="24"/>
        </w:rPr>
        <w:footnoteReference w:id="4"/>
      </w:r>
      <w:r w:rsidR="001A4F84">
        <w:rPr>
          <w:rFonts w:ascii="Times New Roman" w:hAnsi="Times New Roman" w:cs="Times New Roman"/>
          <w:sz w:val="24"/>
          <w:szCs w:val="24"/>
        </w:rPr>
        <w:t xml:space="preserve">  </w:t>
      </w:r>
      <w:r w:rsidR="005A4B0C">
        <w:rPr>
          <w:rFonts w:ascii="Times New Roman" w:hAnsi="Times New Roman" w:cs="Times New Roman"/>
          <w:sz w:val="24"/>
          <w:szCs w:val="24"/>
        </w:rPr>
        <w:t>The muted reaction from Democrats echoes that of Republicans years before when a sweeping ethics reform bill</w:t>
      </w:r>
      <w:r w:rsidR="00C165C1">
        <w:rPr>
          <w:rFonts w:ascii="Times New Roman" w:hAnsi="Times New Roman" w:cs="Times New Roman"/>
          <w:sz w:val="24"/>
          <w:szCs w:val="24"/>
        </w:rPr>
        <w:t>,</w:t>
      </w:r>
      <w:r w:rsidR="005A4B0C">
        <w:rPr>
          <w:rFonts w:ascii="Times New Roman" w:hAnsi="Times New Roman" w:cs="Times New Roman"/>
          <w:sz w:val="24"/>
          <w:szCs w:val="24"/>
        </w:rPr>
        <w:t xml:space="preserve"> </w:t>
      </w:r>
      <w:r w:rsidR="00C165C1">
        <w:rPr>
          <w:rFonts w:ascii="Times New Roman" w:hAnsi="Times New Roman" w:cs="Times New Roman"/>
          <w:sz w:val="24"/>
          <w:szCs w:val="24"/>
        </w:rPr>
        <w:t>introduced to respond</w:t>
      </w:r>
      <w:r w:rsidR="005A4B0C">
        <w:rPr>
          <w:rFonts w:ascii="Times New Roman" w:hAnsi="Times New Roman" w:cs="Times New Roman"/>
          <w:sz w:val="24"/>
          <w:szCs w:val="24"/>
        </w:rPr>
        <w:t xml:space="preserve"> to </w:t>
      </w:r>
      <w:r w:rsidR="005A4B0C">
        <w:rPr>
          <w:rFonts w:ascii="Times New Roman" w:hAnsi="Times New Roman" w:cs="Times New Roman"/>
          <w:sz w:val="24"/>
          <w:szCs w:val="24"/>
        </w:rPr>
        <w:lastRenderedPageBreak/>
        <w:t>Donald Trump’s children and in-laws enriching themselves through coveted loans, foreign contracts, and federal money</w:t>
      </w:r>
      <w:r w:rsidR="00C165C1">
        <w:rPr>
          <w:rFonts w:ascii="Times New Roman" w:hAnsi="Times New Roman" w:cs="Times New Roman"/>
          <w:sz w:val="24"/>
          <w:szCs w:val="24"/>
        </w:rPr>
        <w:t>,</w:t>
      </w:r>
      <w:r w:rsidR="007F51F7">
        <w:rPr>
          <w:rFonts w:ascii="Times New Roman" w:hAnsi="Times New Roman" w:cs="Times New Roman"/>
          <w:sz w:val="24"/>
          <w:szCs w:val="24"/>
        </w:rPr>
        <w:t xml:space="preserve"> failed survive a Senate filibuster.</w:t>
      </w:r>
      <w:r w:rsidR="007F51F7">
        <w:rPr>
          <w:rStyle w:val="FootnoteReference"/>
          <w:rFonts w:ascii="Times New Roman" w:hAnsi="Times New Roman" w:cs="Times New Roman"/>
          <w:sz w:val="24"/>
          <w:szCs w:val="24"/>
        </w:rPr>
        <w:footnoteReference w:id="5"/>
      </w:r>
    </w:p>
    <w:p w14:paraId="24FB3258" w14:textId="03D64D0B" w:rsidR="00691262" w:rsidRDefault="007F51F7" w:rsidP="0056265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politicians’ </w:t>
      </w:r>
      <w:r w:rsidR="00C165C1">
        <w:rPr>
          <w:rFonts w:ascii="Times New Roman" w:hAnsi="Times New Roman" w:cs="Times New Roman"/>
          <w:sz w:val="24"/>
          <w:szCs w:val="24"/>
        </w:rPr>
        <w:t>sensitivity to</w:t>
      </w:r>
      <w:r>
        <w:rPr>
          <w:rFonts w:ascii="Times New Roman" w:hAnsi="Times New Roman" w:cs="Times New Roman"/>
          <w:sz w:val="24"/>
          <w:szCs w:val="24"/>
        </w:rPr>
        <w:t xml:space="preserve"> </w:t>
      </w:r>
      <w:r w:rsidR="00815D19">
        <w:rPr>
          <w:rFonts w:ascii="Times New Roman" w:hAnsi="Times New Roman" w:cs="Times New Roman"/>
          <w:sz w:val="24"/>
          <w:szCs w:val="24"/>
        </w:rPr>
        <w:t xml:space="preserve">cases </w:t>
      </w:r>
      <w:r>
        <w:rPr>
          <w:rFonts w:ascii="Times New Roman" w:hAnsi="Times New Roman" w:cs="Times New Roman"/>
          <w:sz w:val="24"/>
          <w:szCs w:val="24"/>
        </w:rPr>
        <w:t xml:space="preserve">of influence peddling fluctuates </w:t>
      </w:r>
      <w:r w:rsidR="00815D19">
        <w:rPr>
          <w:rFonts w:ascii="Times New Roman" w:hAnsi="Times New Roman" w:cs="Times New Roman"/>
          <w:sz w:val="24"/>
          <w:szCs w:val="24"/>
        </w:rPr>
        <w:t xml:space="preserve">depending on their party’s political fortunes, </w:t>
      </w:r>
      <w:r w:rsidR="00B038D8">
        <w:rPr>
          <w:rFonts w:ascii="Times New Roman" w:hAnsi="Times New Roman" w:cs="Times New Roman"/>
          <w:sz w:val="24"/>
          <w:szCs w:val="24"/>
        </w:rPr>
        <w:t>the public</w:t>
      </w:r>
      <w:r w:rsidR="00C165C1">
        <w:rPr>
          <w:rFonts w:ascii="Times New Roman" w:hAnsi="Times New Roman" w:cs="Times New Roman"/>
          <w:sz w:val="24"/>
          <w:szCs w:val="24"/>
        </w:rPr>
        <w:t>’s</w:t>
      </w:r>
      <w:r w:rsidR="00B038D8">
        <w:rPr>
          <w:rFonts w:ascii="Times New Roman" w:hAnsi="Times New Roman" w:cs="Times New Roman"/>
          <w:sz w:val="24"/>
          <w:szCs w:val="24"/>
        </w:rPr>
        <w:t xml:space="preserve"> generally </w:t>
      </w:r>
      <w:r w:rsidR="00815D19">
        <w:rPr>
          <w:rFonts w:ascii="Times New Roman" w:hAnsi="Times New Roman" w:cs="Times New Roman"/>
          <w:sz w:val="24"/>
          <w:szCs w:val="24"/>
        </w:rPr>
        <w:t xml:space="preserve">does not: </w:t>
      </w:r>
      <w:r w:rsidR="00B038D8">
        <w:rPr>
          <w:rFonts w:ascii="Times New Roman" w:hAnsi="Times New Roman" w:cs="Times New Roman"/>
          <w:sz w:val="24"/>
          <w:szCs w:val="24"/>
        </w:rPr>
        <w:t>in a recent poll approximately 85% of Americans believe adult children of Presidents always or sometimes profit from their parents’ status, or “get away with things others do not.”</w:t>
      </w:r>
      <w:r w:rsidR="00B038D8">
        <w:rPr>
          <w:rStyle w:val="FootnoteReference"/>
          <w:rFonts w:ascii="Times New Roman" w:hAnsi="Times New Roman" w:cs="Times New Roman"/>
          <w:sz w:val="24"/>
          <w:szCs w:val="24"/>
        </w:rPr>
        <w:footnoteReference w:id="6"/>
      </w:r>
      <w:r w:rsidR="00B038D8">
        <w:rPr>
          <w:rFonts w:ascii="Times New Roman" w:hAnsi="Times New Roman" w:cs="Times New Roman"/>
          <w:sz w:val="24"/>
          <w:szCs w:val="24"/>
        </w:rPr>
        <w:t xml:space="preserve">  This is in keeping with a long realized understanding in the United States, that influence peddling—the use of personal or political influence </w:t>
      </w:r>
      <w:r w:rsidR="00D45B2C">
        <w:rPr>
          <w:rFonts w:ascii="Times New Roman" w:hAnsi="Times New Roman" w:cs="Times New Roman"/>
          <w:sz w:val="24"/>
          <w:szCs w:val="24"/>
        </w:rPr>
        <w:t>in exchange for money or preferential treatment</w:t>
      </w:r>
      <w:r w:rsidR="00BA410D">
        <w:rPr>
          <w:rFonts w:ascii="Times New Roman" w:hAnsi="Times New Roman" w:cs="Times New Roman"/>
          <w:sz w:val="24"/>
          <w:szCs w:val="24"/>
        </w:rPr>
        <w:t>—is a risk to the democratic process.</w:t>
      </w:r>
      <w:r w:rsidR="002B2D08">
        <w:rPr>
          <w:rFonts w:ascii="Times New Roman" w:hAnsi="Times New Roman" w:cs="Times New Roman"/>
          <w:sz w:val="24"/>
          <w:szCs w:val="24"/>
        </w:rPr>
        <w:t xml:space="preserve">  These politically charged</w:t>
      </w:r>
      <w:r w:rsidR="00AC0C12">
        <w:rPr>
          <w:rFonts w:ascii="Times New Roman" w:hAnsi="Times New Roman" w:cs="Times New Roman"/>
          <w:sz w:val="24"/>
          <w:szCs w:val="24"/>
        </w:rPr>
        <w:t xml:space="preserve"> examples </w:t>
      </w:r>
      <w:r w:rsidR="007D4AED">
        <w:rPr>
          <w:rFonts w:ascii="Times New Roman" w:hAnsi="Times New Roman" w:cs="Times New Roman"/>
          <w:sz w:val="24"/>
          <w:szCs w:val="24"/>
        </w:rPr>
        <w:t xml:space="preserve">largely do not implicate the public treasury, yet they </w:t>
      </w:r>
      <w:r w:rsidR="00A41203">
        <w:rPr>
          <w:rFonts w:ascii="Times New Roman" w:hAnsi="Times New Roman" w:cs="Times New Roman"/>
          <w:sz w:val="24"/>
          <w:szCs w:val="24"/>
        </w:rPr>
        <w:t xml:space="preserve">nevertheless </w:t>
      </w:r>
      <w:r w:rsidR="007D4AED">
        <w:rPr>
          <w:rFonts w:ascii="Times New Roman" w:hAnsi="Times New Roman" w:cs="Times New Roman"/>
          <w:sz w:val="24"/>
          <w:szCs w:val="24"/>
        </w:rPr>
        <w:t xml:space="preserve">violate </w:t>
      </w:r>
      <w:r w:rsidR="00A41203">
        <w:rPr>
          <w:rFonts w:ascii="Times New Roman" w:hAnsi="Times New Roman" w:cs="Times New Roman"/>
          <w:sz w:val="24"/>
          <w:szCs w:val="24"/>
        </w:rPr>
        <w:t xml:space="preserve">the </w:t>
      </w:r>
      <w:r w:rsidR="009E1D45">
        <w:rPr>
          <w:rFonts w:ascii="Times New Roman" w:hAnsi="Times New Roman" w:cs="Times New Roman"/>
          <w:sz w:val="24"/>
          <w:szCs w:val="24"/>
        </w:rPr>
        <w:t xml:space="preserve">public’s expectation </w:t>
      </w:r>
      <w:r w:rsidR="007D4AED">
        <w:rPr>
          <w:rFonts w:ascii="Times New Roman" w:hAnsi="Times New Roman" w:cs="Times New Roman"/>
          <w:sz w:val="24"/>
          <w:szCs w:val="24"/>
        </w:rPr>
        <w:t>of fair play and</w:t>
      </w:r>
      <w:r w:rsidR="00A41203">
        <w:rPr>
          <w:rFonts w:ascii="Times New Roman" w:hAnsi="Times New Roman" w:cs="Times New Roman"/>
          <w:sz w:val="24"/>
          <w:szCs w:val="24"/>
        </w:rPr>
        <w:t xml:space="preserve"> </w:t>
      </w:r>
      <w:r w:rsidR="00D3018A">
        <w:rPr>
          <w:rFonts w:ascii="Times New Roman" w:hAnsi="Times New Roman" w:cs="Times New Roman"/>
          <w:sz w:val="24"/>
          <w:szCs w:val="24"/>
        </w:rPr>
        <w:t xml:space="preserve">undermine trust in </w:t>
      </w:r>
      <w:r w:rsidR="0011439A">
        <w:rPr>
          <w:rFonts w:ascii="Times New Roman" w:hAnsi="Times New Roman" w:cs="Times New Roman"/>
          <w:sz w:val="24"/>
          <w:szCs w:val="24"/>
        </w:rPr>
        <w:t>government.</w:t>
      </w:r>
      <w:r w:rsidR="00BA410D">
        <w:rPr>
          <w:rFonts w:ascii="Times New Roman" w:hAnsi="Times New Roman" w:cs="Times New Roman"/>
          <w:sz w:val="24"/>
          <w:szCs w:val="24"/>
        </w:rPr>
        <w:t xml:space="preserve">  </w:t>
      </w:r>
    </w:p>
    <w:p w14:paraId="1321195B" w14:textId="201B7180" w:rsidR="00BA410D" w:rsidRDefault="00BA410D" w:rsidP="00562656">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F41C65">
        <w:rPr>
          <w:rFonts w:ascii="Times New Roman" w:hAnsi="Times New Roman" w:cs="Times New Roman"/>
          <w:sz w:val="24"/>
          <w:szCs w:val="24"/>
        </w:rPr>
        <w:t xml:space="preserve"> risk</w:t>
      </w:r>
      <w:r>
        <w:rPr>
          <w:rFonts w:ascii="Times New Roman" w:hAnsi="Times New Roman" w:cs="Times New Roman"/>
          <w:sz w:val="24"/>
          <w:szCs w:val="24"/>
        </w:rPr>
        <w:t xml:space="preserve"> is particularly acute in the field of public procurement, given the hundreds of billions of dollars of taxpayer money at stake.</w:t>
      </w:r>
      <w:r w:rsidR="00691262">
        <w:rPr>
          <w:rFonts w:ascii="Times New Roman" w:hAnsi="Times New Roman" w:cs="Times New Roman"/>
          <w:sz w:val="24"/>
          <w:szCs w:val="24"/>
        </w:rPr>
        <w:t xml:space="preserve">  </w:t>
      </w:r>
      <w:r>
        <w:rPr>
          <w:rFonts w:ascii="Times New Roman" w:hAnsi="Times New Roman" w:cs="Times New Roman"/>
          <w:sz w:val="24"/>
          <w:szCs w:val="24"/>
        </w:rPr>
        <w:t xml:space="preserve">The federal government introduced tools to </w:t>
      </w:r>
      <w:r w:rsidR="00C165C1">
        <w:rPr>
          <w:rFonts w:ascii="Times New Roman" w:hAnsi="Times New Roman" w:cs="Times New Roman"/>
          <w:sz w:val="24"/>
          <w:szCs w:val="24"/>
        </w:rPr>
        <w:t>combat</w:t>
      </w:r>
      <w:r>
        <w:rPr>
          <w:rFonts w:ascii="Times New Roman" w:hAnsi="Times New Roman" w:cs="Times New Roman"/>
          <w:sz w:val="24"/>
          <w:szCs w:val="24"/>
        </w:rPr>
        <w:t xml:space="preserve"> influence peddling </w:t>
      </w:r>
      <w:r w:rsidR="00C165C1">
        <w:rPr>
          <w:rFonts w:ascii="Times New Roman" w:hAnsi="Times New Roman" w:cs="Times New Roman"/>
          <w:sz w:val="24"/>
          <w:szCs w:val="24"/>
        </w:rPr>
        <w:t>in soliciting government contracts soon</w:t>
      </w:r>
      <w:r w:rsidR="00D45B2C">
        <w:rPr>
          <w:rFonts w:ascii="Times New Roman" w:hAnsi="Times New Roman" w:cs="Times New Roman"/>
          <w:sz w:val="24"/>
          <w:szCs w:val="24"/>
        </w:rPr>
        <w:t xml:space="preserve"> </w:t>
      </w:r>
      <w:r>
        <w:rPr>
          <w:rFonts w:ascii="Times New Roman" w:hAnsi="Times New Roman" w:cs="Times New Roman"/>
          <w:sz w:val="24"/>
          <w:szCs w:val="24"/>
        </w:rPr>
        <w:t xml:space="preserve">after the Civil War, and state and local governments followed its lead.  This effort has been shaped and transformed through common law rulemaking, executive orders, regulations, and </w:t>
      </w:r>
      <w:r w:rsidR="00C165C1">
        <w:rPr>
          <w:rFonts w:ascii="Times New Roman" w:hAnsi="Times New Roman" w:cs="Times New Roman"/>
          <w:sz w:val="24"/>
          <w:szCs w:val="24"/>
        </w:rPr>
        <w:t xml:space="preserve">political </w:t>
      </w:r>
      <w:r>
        <w:rPr>
          <w:rFonts w:ascii="Times New Roman" w:hAnsi="Times New Roman" w:cs="Times New Roman"/>
          <w:sz w:val="24"/>
          <w:szCs w:val="24"/>
        </w:rPr>
        <w:t>compromise</w:t>
      </w:r>
      <w:r w:rsidR="00446305">
        <w:rPr>
          <w:rFonts w:ascii="Times New Roman" w:hAnsi="Times New Roman" w:cs="Times New Roman"/>
          <w:sz w:val="24"/>
          <w:szCs w:val="24"/>
        </w:rPr>
        <w:t>, and the</w:t>
      </w:r>
      <w:r>
        <w:rPr>
          <w:rFonts w:ascii="Times New Roman" w:hAnsi="Times New Roman" w:cs="Times New Roman"/>
          <w:sz w:val="24"/>
          <w:szCs w:val="24"/>
        </w:rPr>
        <w:t xml:space="preserve"> Covenant Against Contingent Fees is the </w:t>
      </w:r>
      <w:r w:rsidR="00C165C1">
        <w:rPr>
          <w:rFonts w:ascii="Times New Roman" w:hAnsi="Times New Roman" w:cs="Times New Roman"/>
          <w:sz w:val="24"/>
          <w:szCs w:val="24"/>
        </w:rPr>
        <w:t>weathered</w:t>
      </w:r>
      <w:r>
        <w:rPr>
          <w:rFonts w:ascii="Times New Roman" w:hAnsi="Times New Roman" w:cs="Times New Roman"/>
          <w:sz w:val="24"/>
          <w:szCs w:val="24"/>
        </w:rPr>
        <w:t xml:space="preserve"> result.</w:t>
      </w:r>
      <w:r w:rsidR="00446305">
        <w:rPr>
          <w:rFonts w:ascii="Times New Roman" w:hAnsi="Times New Roman" w:cs="Times New Roman"/>
          <w:sz w:val="24"/>
          <w:szCs w:val="24"/>
        </w:rPr>
        <w:t xml:space="preserve">  It prohibits </w:t>
      </w:r>
      <w:r w:rsidR="009F0817">
        <w:rPr>
          <w:rFonts w:ascii="Times New Roman" w:hAnsi="Times New Roman" w:cs="Times New Roman"/>
          <w:sz w:val="24"/>
          <w:szCs w:val="24"/>
        </w:rPr>
        <w:t xml:space="preserve">contractors from hiring third parties to solicit </w:t>
      </w:r>
      <w:r w:rsidR="00C165C1">
        <w:rPr>
          <w:rFonts w:ascii="Times New Roman" w:hAnsi="Times New Roman" w:cs="Times New Roman"/>
          <w:sz w:val="24"/>
          <w:szCs w:val="24"/>
        </w:rPr>
        <w:t>contracts with the</w:t>
      </w:r>
      <w:r w:rsidR="009F0817">
        <w:rPr>
          <w:rFonts w:ascii="Times New Roman" w:hAnsi="Times New Roman" w:cs="Times New Roman"/>
          <w:sz w:val="24"/>
          <w:szCs w:val="24"/>
        </w:rPr>
        <w:t xml:space="preserve"> government for a fee that is contingent upon their success.</w:t>
      </w:r>
    </w:p>
    <w:p w14:paraId="140202B6" w14:textId="28098C8D" w:rsidR="00BA410D" w:rsidRDefault="00BA410D" w:rsidP="0056265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paper argues that </w:t>
      </w:r>
      <w:r w:rsidR="009F0817">
        <w:rPr>
          <w:rFonts w:ascii="Times New Roman" w:hAnsi="Times New Roman" w:cs="Times New Roman"/>
          <w:sz w:val="24"/>
          <w:szCs w:val="24"/>
        </w:rPr>
        <w:t>the Covenant’s potency has eroded through decades of political compromises, and that the focus on the compensation structure distracts from the overarching problem of influence peddling.  While the risk has long concerned the federal government, state and local governments are particularly vulnerable</w:t>
      </w:r>
      <w:r w:rsidR="00AD3821">
        <w:rPr>
          <w:rFonts w:ascii="Times New Roman" w:hAnsi="Times New Roman" w:cs="Times New Roman"/>
          <w:sz w:val="24"/>
          <w:szCs w:val="24"/>
        </w:rPr>
        <w:t xml:space="preserve"> to actors willing to abuse their access and influence.  Ultimately, federal, state, and local regulations should be amended to address the risk of influence peddling directly, return to an era of robust disclosure, and allow transparency and the democratic process to determine how much influence is improper.</w:t>
      </w:r>
    </w:p>
    <w:p w14:paraId="24A666A6" w14:textId="3624F893" w:rsidR="00AD3821" w:rsidRPr="00562656" w:rsidRDefault="00AD3821" w:rsidP="00562656">
      <w:pPr>
        <w:spacing w:line="480" w:lineRule="auto"/>
        <w:ind w:firstLine="720"/>
        <w:rPr>
          <w:rFonts w:ascii="Times New Roman" w:hAnsi="Times New Roman" w:cs="Times New Roman"/>
          <w:sz w:val="24"/>
          <w:szCs w:val="24"/>
        </w:rPr>
      </w:pPr>
      <w:r>
        <w:rPr>
          <w:rFonts w:ascii="Times New Roman" w:hAnsi="Times New Roman" w:cs="Times New Roman"/>
          <w:sz w:val="24"/>
          <w:szCs w:val="24"/>
        </w:rPr>
        <w:t>Section II of this paper will discuss the history of the problem, and the foundations of modern state and local efforts to regulate contingency fees.  Section III will discuss the inadequacies of the Covenant Against Contingent Fees and their state and local equivalents in preventing influence peddling.  Finally, Section IV will provide recommendations for reform.</w:t>
      </w:r>
    </w:p>
    <w:p w14:paraId="252C61F9" w14:textId="2EB2766A" w:rsidR="00F5037E" w:rsidRDefault="00365BF2" w:rsidP="00A3353B">
      <w:pPr>
        <w:pStyle w:val="Heading1"/>
      </w:pPr>
      <w:bookmarkStart w:id="1" w:name="_Toc153485957"/>
      <w:r w:rsidRPr="00170314">
        <w:t xml:space="preserve">CONTINGENT FEES AND </w:t>
      </w:r>
      <w:r w:rsidR="009450BB" w:rsidRPr="00170314">
        <w:t>THE INFLUENCE PEDDLER</w:t>
      </w:r>
      <w:bookmarkEnd w:id="1"/>
    </w:p>
    <w:p w14:paraId="7C4B39CA" w14:textId="2AD8A728" w:rsidR="00822216" w:rsidRPr="00822216" w:rsidRDefault="00822216" w:rsidP="008222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section begins with an explanation of why influence peddling undermines the objectives of the public procurement system and why state and local governments are uniquely vulnerable.  This concern is enshrined in </w:t>
      </w:r>
      <w:r w:rsidR="00FF0D71">
        <w:rPr>
          <w:rFonts w:ascii="Times New Roman" w:hAnsi="Times New Roman" w:cs="Times New Roman"/>
          <w:sz w:val="24"/>
          <w:szCs w:val="24"/>
        </w:rPr>
        <w:t>case law</w:t>
      </w:r>
      <w:r>
        <w:rPr>
          <w:rFonts w:ascii="Times New Roman" w:hAnsi="Times New Roman" w:cs="Times New Roman"/>
          <w:sz w:val="24"/>
          <w:szCs w:val="24"/>
        </w:rPr>
        <w:t xml:space="preserve"> dating to the Civil War which, over time, gave rise to the Covenant Against Contingent Fees in the federal system.  This section concludes by </w:t>
      </w:r>
      <w:r w:rsidR="00FF0D71">
        <w:rPr>
          <w:rFonts w:ascii="Times New Roman" w:hAnsi="Times New Roman" w:cs="Times New Roman"/>
          <w:sz w:val="24"/>
          <w:szCs w:val="24"/>
        </w:rPr>
        <w:t>describing</w:t>
      </w:r>
      <w:r>
        <w:rPr>
          <w:rFonts w:ascii="Times New Roman" w:hAnsi="Times New Roman" w:cs="Times New Roman"/>
          <w:sz w:val="24"/>
          <w:szCs w:val="24"/>
        </w:rPr>
        <w:t xml:space="preserve"> how th</w:t>
      </w:r>
      <w:r w:rsidR="00FF0D71">
        <w:rPr>
          <w:rFonts w:ascii="Times New Roman" w:hAnsi="Times New Roman" w:cs="Times New Roman"/>
          <w:sz w:val="24"/>
          <w:szCs w:val="24"/>
        </w:rPr>
        <w:t>is</w:t>
      </w:r>
      <w:r>
        <w:rPr>
          <w:rFonts w:ascii="Times New Roman" w:hAnsi="Times New Roman" w:cs="Times New Roman"/>
          <w:sz w:val="24"/>
          <w:szCs w:val="24"/>
        </w:rPr>
        <w:t xml:space="preserve"> federal </w:t>
      </w:r>
      <w:r w:rsidR="00FF0D71">
        <w:rPr>
          <w:rFonts w:ascii="Times New Roman" w:hAnsi="Times New Roman" w:cs="Times New Roman"/>
          <w:sz w:val="24"/>
          <w:szCs w:val="24"/>
        </w:rPr>
        <w:t>evolution</w:t>
      </w:r>
      <w:r>
        <w:rPr>
          <w:rFonts w:ascii="Times New Roman" w:hAnsi="Times New Roman" w:cs="Times New Roman"/>
          <w:sz w:val="24"/>
          <w:szCs w:val="24"/>
        </w:rPr>
        <w:t xml:space="preserve"> has shaped the legal landscape at the state and local government </w:t>
      </w:r>
      <w:r w:rsidR="00FF0D71">
        <w:rPr>
          <w:rFonts w:ascii="Times New Roman" w:hAnsi="Times New Roman" w:cs="Times New Roman"/>
          <w:sz w:val="24"/>
          <w:szCs w:val="24"/>
        </w:rPr>
        <w:t xml:space="preserve">level </w:t>
      </w:r>
      <w:r>
        <w:rPr>
          <w:rFonts w:ascii="Times New Roman" w:hAnsi="Times New Roman" w:cs="Times New Roman"/>
          <w:sz w:val="24"/>
          <w:szCs w:val="24"/>
        </w:rPr>
        <w:t>as well.</w:t>
      </w:r>
    </w:p>
    <w:p w14:paraId="723719B8" w14:textId="0E771A57" w:rsidR="00A02068" w:rsidRDefault="00A02068" w:rsidP="00A02068">
      <w:pPr>
        <w:pStyle w:val="Heading2"/>
      </w:pPr>
      <w:bookmarkStart w:id="2" w:name="_Toc153485958"/>
      <w:r>
        <w:t>Influence Peddling in Public Procurement</w:t>
      </w:r>
      <w:bookmarkEnd w:id="2"/>
    </w:p>
    <w:p w14:paraId="126A800F" w14:textId="173A3B7D" w:rsidR="00CF690D" w:rsidRDefault="00CF690D" w:rsidP="00B03ED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Influence</w:t>
      </w:r>
      <w:r w:rsidR="00C62B7B">
        <w:rPr>
          <w:rFonts w:ascii="Times New Roman" w:hAnsi="Times New Roman" w:cs="Times New Roman"/>
          <w:sz w:val="24"/>
          <w:szCs w:val="24"/>
        </w:rPr>
        <w:t xml:space="preserve"> peddling is a concern that is not unique to public procurement, </w:t>
      </w:r>
      <w:r w:rsidR="00312E9A">
        <w:rPr>
          <w:rFonts w:ascii="Times New Roman" w:hAnsi="Times New Roman" w:cs="Times New Roman"/>
          <w:sz w:val="24"/>
          <w:szCs w:val="24"/>
        </w:rPr>
        <w:t>as the</w:t>
      </w:r>
      <w:r w:rsidR="00B03EDA">
        <w:rPr>
          <w:rFonts w:ascii="Times New Roman" w:hAnsi="Times New Roman" w:cs="Times New Roman"/>
          <w:sz w:val="24"/>
          <w:szCs w:val="24"/>
        </w:rPr>
        <w:t xml:space="preserve"> Biden and Trump </w:t>
      </w:r>
      <w:r w:rsidR="00C165C1">
        <w:rPr>
          <w:rFonts w:ascii="Times New Roman" w:hAnsi="Times New Roman" w:cs="Times New Roman"/>
          <w:sz w:val="24"/>
          <w:szCs w:val="24"/>
        </w:rPr>
        <w:t xml:space="preserve">family </w:t>
      </w:r>
      <w:r w:rsidR="00584565">
        <w:rPr>
          <w:rFonts w:ascii="Times New Roman" w:hAnsi="Times New Roman" w:cs="Times New Roman"/>
          <w:sz w:val="24"/>
          <w:szCs w:val="24"/>
        </w:rPr>
        <w:t xml:space="preserve">profiteering </w:t>
      </w:r>
      <w:r w:rsidR="00B03EDA">
        <w:rPr>
          <w:rFonts w:ascii="Times New Roman" w:hAnsi="Times New Roman" w:cs="Times New Roman"/>
          <w:sz w:val="24"/>
          <w:szCs w:val="24"/>
        </w:rPr>
        <w:t>headlines demonstrate.</w:t>
      </w:r>
      <w:r w:rsidR="00D471F8">
        <w:rPr>
          <w:rFonts w:ascii="Times New Roman" w:hAnsi="Times New Roman" w:cs="Times New Roman"/>
          <w:sz w:val="24"/>
          <w:szCs w:val="24"/>
        </w:rPr>
        <w:t xml:space="preserve">  It can distort </w:t>
      </w:r>
      <w:r w:rsidR="00380FC9">
        <w:rPr>
          <w:rFonts w:ascii="Times New Roman" w:hAnsi="Times New Roman" w:cs="Times New Roman"/>
          <w:sz w:val="24"/>
          <w:szCs w:val="24"/>
        </w:rPr>
        <w:t xml:space="preserve">the </w:t>
      </w:r>
      <w:r w:rsidR="00D10C9E">
        <w:rPr>
          <w:rFonts w:ascii="Times New Roman" w:hAnsi="Times New Roman" w:cs="Times New Roman"/>
          <w:sz w:val="24"/>
          <w:szCs w:val="24"/>
        </w:rPr>
        <w:t>decision-making</w:t>
      </w:r>
      <w:r w:rsidR="00380FC9">
        <w:rPr>
          <w:rFonts w:ascii="Times New Roman" w:hAnsi="Times New Roman" w:cs="Times New Roman"/>
          <w:sz w:val="24"/>
          <w:szCs w:val="24"/>
        </w:rPr>
        <w:t xml:space="preserve"> process in </w:t>
      </w:r>
      <w:r w:rsidR="00D10C9E">
        <w:rPr>
          <w:rFonts w:ascii="Times New Roman" w:hAnsi="Times New Roman" w:cs="Times New Roman"/>
          <w:sz w:val="24"/>
          <w:szCs w:val="24"/>
        </w:rPr>
        <w:t>employment, commercial transactions</w:t>
      </w:r>
      <w:r w:rsidR="00407134">
        <w:rPr>
          <w:rFonts w:ascii="Times New Roman" w:hAnsi="Times New Roman" w:cs="Times New Roman"/>
          <w:sz w:val="24"/>
          <w:szCs w:val="24"/>
        </w:rPr>
        <w:t>,</w:t>
      </w:r>
      <w:r w:rsidR="00CF76D0">
        <w:rPr>
          <w:rFonts w:ascii="Times New Roman" w:hAnsi="Times New Roman" w:cs="Times New Roman"/>
          <w:sz w:val="24"/>
          <w:szCs w:val="24"/>
        </w:rPr>
        <w:t xml:space="preserve"> criminal justice, </w:t>
      </w:r>
      <w:r w:rsidR="00D10C9E">
        <w:rPr>
          <w:rFonts w:ascii="Times New Roman" w:hAnsi="Times New Roman" w:cs="Times New Roman"/>
          <w:sz w:val="24"/>
          <w:szCs w:val="24"/>
        </w:rPr>
        <w:t xml:space="preserve">or </w:t>
      </w:r>
      <w:r w:rsidR="00407134">
        <w:rPr>
          <w:rFonts w:ascii="Times New Roman" w:hAnsi="Times New Roman" w:cs="Times New Roman"/>
          <w:sz w:val="24"/>
          <w:szCs w:val="24"/>
        </w:rPr>
        <w:t>lawmaking</w:t>
      </w:r>
      <w:r w:rsidR="00CF76D0">
        <w:rPr>
          <w:rFonts w:ascii="Times New Roman" w:hAnsi="Times New Roman" w:cs="Times New Roman"/>
          <w:sz w:val="24"/>
          <w:szCs w:val="24"/>
        </w:rPr>
        <w:t xml:space="preserve"> as well.</w:t>
      </w:r>
      <w:r w:rsidR="00D10C9E">
        <w:rPr>
          <w:rFonts w:ascii="Times New Roman" w:hAnsi="Times New Roman" w:cs="Times New Roman"/>
          <w:sz w:val="24"/>
          <w:szCs w:val="24"/>
        </w:rPr>
        <w:t xml:space="preserve">  </w:t>
      </w:r>
      <w:r w:rsidR="00CC77DC">
        <w:rPr>
          <w:rFonts w:ascii="Times New Roman" w:hAnsi="Times New Roman" w:cs="Times New Roman"/>
          <w:sz w:val="24"/>
          <w:szCs w:val="24"/>
        </w:rPr>
        <w:t>The</w:t>
      </w:r>
      <w:r w:rsidR="00F76D4D">
        <w:rPr>
          <w:rFonts w:ascii="Times New Roman" w:hAnsi="Times New Roman" w:cs="Times New Roman"/>
          <w:sz w:val="24"/>
          <w:szCs w:val="24"/>
        </w:rPr>
        <w:t xml:space="preserve"> </w:t>
      </w:r>
      <w:r w:rsidR="002831DD">
        <w:rPr>
          <w:rFonts w:ascii="Times New Roman" w:hAnsi="Times New Roman" w:cs="Times New Roman"/>
          <w:sz w:val="24"/>
          <w:szCs w:val="24"/>
        </w:rPr>
        <w:t>often-hazy</w:t>
      </w:r>
      <w:r w:rsidR="00CC77DC">
        <w:rPr>
          <w:rFonts w:ascii="Times New Roman" w:hAnsi="Times New Roman" w:cs="Times New Roman"/>
          <w:sz w:val="24"/>
          <w:szCs w:val="24"/>
        </w:rPr>
        <w:t xml:space="preserve"> distinction between influence peddling</w:t>
      </w:r>
      <w:r w:rsidR="00584565">
        <w:rPr>
          <w:rFonts w:ascii="Times New Roman" w:hAnsi="Times New Roman" w:cs="Times New Roman"/>
          <w:sz w:val="24"/>
          <w:szCs w:val="24"/>
        </w:rPr>
        <w:t xml:space="preserve"> and</w:t>
      </w:r>
      <w:r w:rsidR="00CC77DC">
        <w:rPr>
          <w:rFonts w:ascii="Times New Roman" w:hAnsi="Times New Roman" w:cs="Times New Roman"/>
          <w:sz w:val="24"/>
          <w:szCs w:val="24"/>
        </w:rPr>
        <w:t xml:space="preserve"> </w:t>
      </w:r>
      <w:r w:rsidR="00350EC5">
        <w:rPr>
          <w:rFonts w:ascii="Times New Roman" w:hAnsi="Times New Roman" w:cs="Times New Roman"/>
          <w:sz w:val="24"/>
          <w:szCs w:val="24"/>
        </w:rPr>
        <w:t xml:space="preserve">lobbying </w:t>
      </w:r>
      <w:r w:rsidR="00CC77DC">
        <w:rPr>
          <w:rFonts w:ascii="Times New Roman" w:hAnsi="Times New Roman" w:cs="Times New Roman"/>
          <w:sz w:val="24"/>
          <w:szCs w:val="24"/>
        </w:rPr>
        <w:t>h</w:t>
      </w:r>
      <w:r w:rsidR="00BD0A54">
        <w:rPr>
          <w:rFonts w:ascii="Times New Roman" w:hAnsi="Times New Roman" w:cs="Times New Roman"/>
          <w:sz w:val="24"/>
          <w:szCs w:val="24"/>
        </w:rPr>
        <w:t xml:space="preserve">as long </w:t>
      </w:r>
      <w:r w:rsidR="00F76D4D">
        <w:rPr>
          <w:rFonts w:ascii="Times New Roman" w:hAnsi="Times New Roman" w:cs="Times New Roman"/>
          <w:sz w:val="24"/>
          <w:szCs w:val="24"/>
        </w:rPr>
        <w:t xml:space="preserve">been a </w:t>
      </w:r>
      <w:r w:rsidR="00C03B50">
        <w:rPr>
          <w:rFonts w:ascii="Times New Roman" w:hAnsi="Times New Roman" w:cs="Times New Roman"/>
          <w:sz w:val="24"/>
          <w:szCs w:val="24"/>
        </w:rPr>
        <w:t xml:space="preserve">source of public </w:t>
      </w:r>
      <w:r w:rsidR="00717580">
        <w:rPr>
          <w:rFonts w:ascii="Times New Roman" w:hAnsi="Times New Roman" w:cs="Times New Roman"/>
          <w:sz w:val="24"/>
          <w:szCs w:val="24"/>
        </w:rPr>
        <w:t>suspicion and</w:t>
      </w:r>
      <w:r w:rsidR="00E87DFB">
        <w:rPr>
          <w:rFonts w:ascii="Times New Roman" w:hAnsi="Times New Roman" w:cs="Times New Roman"/>
          <w:sz w:val="24"/>
          <w:szCs w:val="24"/>
        </w:rPr>
        <w:t xml:space="preserve"> is </w:t>
      </w:r>
      <w:r w:rsidR="00FA2B5E">
        <w:rPr>
          <w:rFonts w:ascii="Times New Roman" w:hAnsi="Times New Roman" w:cs="Times New Roman"/>
          <w:sz w:val="24"/>
          <w:szCs w:val="24"/>
        </w:rPr>
        <w:t>regulated</w:t>
      </w:r>
      <w:r w:rsidR="00186C44">
        <w:rPr>
          <w:rFonts w:ascii="Times New Roman" w:hAnsi="Times New Roman" w:cs="Times New Roman"/>
          <w:sz w:val="24"/>
          <w:szCs w:val="24"/>
        </w:rPr>
        <w:t xml:space="preserve"> primarily through transparency</w:t>
      </w:r>
      <w:r w:rsidR="00350EC5">
        <w:rPr>
          <w:rFonts w:ascii="Times New Roman" w:hAnsi="Times New Roman" w:cs="Times New Roman"/>
          <w:sz w:val="24"/>
          <w:szCs w:val="24"/>
        </w:rPr>
        <w:t xml:space="preserve"> measures</w:t>
      </w:r>
      <w:r w:rsidR="00186C44">
        <w:rPr>
          <w:rFonts w:ascii="Times New Roman" w:hAnsi="Times New Roman" w:cs="Times New Roman"/>
          <w:sz w:val="24"/>
          <w:szCs w:val="24"/>
        </w:rPr>
        <w:t>.</w:t>
      </w:r>
      <w:r w:rsidR="00627024">
        <w:rPr>
          <w:rStyle w:val="FootnoteReference"/>
          <w:rFonts w:ascii="Times New Roman" w:hAnsi="Times New Roman" w:cs="Times New Roman"/>
          <w:sz w:val="24"/>
          <w:szCs w:val="24"/>
        </w:rPr>
        <w:footnoteReference w:id="7"/>
      </w:r>
      <w:r w:rsidR="00717580">
        <w:rPr>
          <w:rFonts w:ascii="Times New Roman" w:hAnsi="Times New Roman" w:cs="Times New Roman"/>
          <w:sz w:val="24"/>
          <w:szCs w:val="24"/>
        </w:rPr>
        <w:t xml:space="preserve">  The perception that individuals are receiving special treatment</w:t>
      </w:r>
      <w:r w:rsidR="00B07B32">
        <w:rPr>
          <w:rFonts w:ascii="Times New Roman" w:hAnsi="Times New Roman" w:cs="Times New Roman"/>
          <w:sz w:val="24"/>
          <w:szCs w:val="24"/>
        </w:rPr>
        <w:t xml:space="preserve"> because of who they are and who they know, as opposed to merit</w:t>
      </w:r>
      <w:r w:rsidR="002C4F34">
        <w:rPr>
          <w:rFonts w:ascii="Times New Roman" w:hAnsi="Times New Roman" w:cs="Times New Roman"/>
          <w:sz w:val="24"/>
          <w:szCs w:val="24"/>
        </w:rPr>
        <w:t xml:space="preserve"> and ability, offends the public’s expectation </w:t>
      </w:r>
      <w:r w:rsidR="00B5254F">
        <w:rPr>
          <w:rFonts w:ascii="Times New Roman" w:hAnsi="Times New Roman" w:cs="Times New Roman"/>
          <w:sz w:val="24"/>
          <w:szCs w:val="24"/>
        </w:rPr>
        <w:t>that success</w:t>
      </w:r>
      <w:r w:rsidR="00A13BCA">
        <w:rPr>
          <w:rFonts w:ascii="Times New Roman" w:hAnsi="Times New Roman" w:cs="Times New Roman"/>
          <w:sz w:val="24"/>
          <w:szCs w:val="24"/>
        </w:rPr>
        <w:t xml:space="preserve"> should</w:t>
      </w:r>
      <w:r w:rsidR="00B5254F">
        <w:rPr>
          <w:rFonts w:ascii="Times New Roman" w:hAnsi="Times New Roman" w:cs="Times New Roman"/>
          <w:sz w:val="24"/>
          <w:szCs w:val="24"/>
        </w:rPr>
        <w:t xml:space="preserve"> be </w:t>
      </w:r>
      <w:r w:rsidR="00A13BCA">
        <w:rPr>
          <w:rFonts w:ascii="Times New Roman" w:hAnsi="Times New Roman" w:cs="Times New Roman"/>
          <w:sz w:val="24"/>
          <w:szCs w:val="24"/>
        </w:rPr>
        <w:t>earned</w:t>
      </w:r>
      <w:r w:rsidR="007B2EBC">
        <w:rPr>
          <w:rFonts w:ascii="Times New Roman" w:hAnsi="Times New Roman" w:cs="Times New Roman"/>
          <w:sz w:val="24"/>
          <w:szCs w:val="24"/>
        </w:rPr>
        <w:t xml:space="preserve"> and</w:t>
      </w:r>
      <w:r w:rsidR="00BC7504">
        <w:rPr>
          <w:rFonts w:ascii="Times New Roman" w:hAnsi="Times New Roman" w:cs="Times New Roman"/>
          <w:sz w:val="24"/>
          <w:szCs w:val="24"/>
        </w:rPr>
        <w:t xml:space="preserve"> not given</w:t>
      </w:r>
      <w:r w:rsidR="00584565">
        <w:rPr>
          <w:rFonts w:ascii="Times New Roman" w:hAnsi="Times New Roman" w:cs="Times New Roman"/>
          <w:sz w:val="24"/>
          <w:szCs w:val="24"/>
        </w:rPr>
        <w:t xml:space="preserve"> or born into</w:t>
      </w:r>
      <w:r w:rsidR="00BC7504">
        <w:rPr>
          <w:rFonts w:ascii="Times New Roman" w:hAnsi="Times New Roman" w:cs="Times New Roman"/>
          <w:sz w:val="24"/>
          <w:szCs w:val="24"/>
        </w:rPr>
        <w:t>.</w:t>
      </w:r>
    </w:p>
    <w:p w14:paraId="0C661B95" w14:textId="707D5175" w:rsidR="009C03BE" w:rsidRDefault="00037A64" w:rsidP="00B03E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is particularly true in the realm of government contracts.  </w:t>
      </w:r>
      <w:r w:rsidR="0019028C">
        <w:rPr>
          <w:rFonts w:ascii="Times New Roman" w:hAnsi="Times New Roman" w:cs="Times New Roman"/>
          <w:sz w:val="24"/>
          <w:szCs w:val="24"/>
        </w:rPr>
        <w:t>In 2020, approximately $3.</w:t>
      </w:r>
      <w:r w:rsidR="00F72B0F">
        <w:rPr>
          <w:rFonts w:ascii="Times New Roman" w:hAnsi="Times New Roman" w:cs="Times New Roman"/>
          <w:sz w:val="24"/>
          <w:szCs w:val="24"/>
        </w:rPr>
        <w:t>2 trillion of tax-payer money was</w:t>
      </w:r>
      <w:r w:rsidR="00191FE6">
        <w:rPr>
          <w:rFonts w:ascii="Times New Roman" w:hAnsi="Times New Roman" w:cs="Times New Roman"/>
          <w:sz w:val="24"/>
          <w:szCs w:val="24"/>
        </w:rPr>
        <w:t xml:space="preserve"> </w:t>
      </w:r>
      <w:r w:rsidR="00121720">
        <w:rPr>
          <w:rFonts w:ascii="Times New Roman" w:hAnsi="Times New Roman" w:cs="Times New Roman"/>
          <w:sz w:val="24"/>
          <w:szCs w:val="24"/>
        </w:rPr>
        <w:t>obligated</w:t>
      </w:r>
      <w:r w:rsidR="00DA0FDD">
        <w:rPr>
          <w:rFonts w:ascii="Times New Roman" w:hAnsi="Times New Roman" w:cs="Times New Roman"/>
          <w:sz w:val="24"/>
          <w:szCs w:val="24"/>
        </w:rPr>
        <w:t xml:space="preserve"> </w:t>
      </w:r>
      <w:r w:rsidR="00584565">
        <w:rPr>
          <w:rFonts w:ascii="Times New Roman" w:hAnsi="Times New Roman" w:cs="Times New Roman"/>
          <w:sz w:val="24"/>
          <w:szCs w:val="24"/>
        </w:rPr>
        <w:t>through</w:t>
      </w:r>
      <w:r w:rsidR="003D0FD3">
        <w:rPr>
          <w:rFonts w:ascii="Times New Roman" w:hAnsi="Times New Roman" w:cs="Times New Roman"/>
          <w:sz w:val="24"/>
          <w:szCs w:val="24"/>
        </w:rPr>
        <w:t xml:space="preserve"> contracts by federal, state, and local governments.</w:t>
      </w:r>
      <w:r w:rsidR="00DA0FDD">
        <w:rPr>
          <w:rStyle w:val="FootnoteReference"/>
          <w:rFonts w:ascii="Times New Roman" w:hAnsi="Times New Roman" w:cs="Times New Roman"/>
          <w:sz w:val="24"/>
          <w:szCs w:val="24"/>
        </w:rPr>
        <w:footnoteReference w:id="8"/>
      </w:r>
      <w:r w:rsidR="00E06835">
        <w:rPr>
          <w:rFonts w:ascii="Times New Roman" w:hAnsi="Times New Roman" w:cs="Times New Roman"/>
          <w:sz w:val="24"/>
          <w:szCs w:val="24"/>
        </w:rPr>
        <w:t xml:space="preserve">  Under the principal-agent theory, </w:t>
      </w:r>
      <w:r w:rsidR="009D5700">
        <w:rPr>
          <w:rFonts w:ascii="Times New Roman" w:hAnsi="Times New Roman" w:cs="Times New Roman"/>
          <w:sz w:val="24"/>
          <w:szCs w:val="24"/>
        </w:rPr>
        <w:t>success in public procurement require</w:t>
      </w:r>
      <w:r w:rsidR="005F4449">
        <w:rPr>
          <w:rFonts w:ascii="Times New Roman" w:hAnsi="Times New Roman" w:cs="Times New Roman"/>
          <w:sz w:val="24"/>
          <w:szCs w:val="24"/>
        </w:rPr>
        <w:t>s the principal (</w:t>
      </w:r>
      <w:r w:rsidR="002A5F46">
        <w:rPr>
          <w:rFonts w:ascii="Times New Roman" w:hAnsi="Times New Roman" w:cs="Times New Roman"/>
          <w:sz w:val="24"/>
          <w:szCs w:val="24"/>
        </w:rPr>
        <w:t xml:space="preserve">the </w:t>
      </w:r>
      <w:r w:rsidR="00D52807">
        <w:rPr>
          <w:rFonts w:ascii="Times New Roman" w:hAnsi="Times New Roman" w:cs="Times New Roman"/>
          <w:sz w:val="24"/>
          <w:szCs w:val="24"/>
        </w:rPr>
        <w:t>taxpayers</w:t>
      </w:r>
      <w:r w:rsidR="008A5FEB">
        <w:rPr>
          <w:rFonts w:ascii="Times New Roman" w:hAnsi="Times New Roman" w:cs="Times New Roman"/>
          <w:sz w:val="24"/>
          <w:szCs w:val="24"/>
        </w:rPr>
        <w:t xml:space="preserve">, </w:t>
      </w:r>
      <w:r w:rsidR="00584565">
        <w:rPr>
          <w:rFonts w:ascii="Times New Roman" w:hAnsi="Times New Roman" w:cs="Times New Roman"/>
          <w:sz w:val="24"/>
          <w:szCs w:val="24"/>
        </w:rPr>
        <w:t xml:space="preserve">as </w:t>
      </w:r>
      <w:r w:rsidR="008A5FEB">
        <w:rPr>
          <w:rFonts w:ascii="Times New Roman" w:hAnsi="Times New Roman" w:cs="Times New Roman"/>
          <w:sz w:val="24"/>
          <w:szCs w:val="24"/>
        </w:rPr>
        <w:t xml:space="preserve">represented by </w:t>
      </w:r>
      <w:r w:rsidR="005F4449">
        <w:rPr>
          <w:rFonts w:ascii="Times New Roman" w:hAnsi="Times New Roman" w:cs="Times New Roman"/>
          <w:sz w:val="24"/>
          <w:szCs w:val="24"/>
        </w:rPr>
        <w:t xml:space="preserve">the government) and the agent (the </w:t>
      </w:r>
      <w:r w:rsidR="007B2EBC">
        <w:rPr>
          <w:rFonts w:ascii="Times New Roman" w:hAnsi="Times New Roman" w:cs="Times New Roman"/>
          <w:sz w:val="24"/>
          <w:szCs w:val="24"/>
        </w:rPr>
        <w:t xml:space="preserve">agency and </w:t>
      </w:r>
      <w:r w:rsidR="005F4449">
        <w:rPr>
          <w:rFonts w:ascii="Times New Roman" w:hAnsi="Times New Roman" w:cs="Times New Roman"/>
          <w:sz w:val="24"/>
          <w:szCs w:val="24"/>
        </w:rPr>
        <w:t xml:space="preserve">contracting official) </w:t>
      </w:r>
      <w:r w:rsidR="00D372FE">
        <w:rPr>
          <w:rFonts w:ascii="Times New Roman" w:hAnsi="Times New Roman" w:cs="Times New Roman"/>
          <w:sz w:val="24"/>
          <w:szCs w:val="24"/>
        </w:rPr>
        <w:t>be aligned in intent and purpose</w:t>
      </w:r>
      <w:r w:rsidR="007E094D">
        <w:rPr>
          <w:rFonts w:ascii="Times New Roman" w:hAnsi="Times New Roman" w:cs="Times New Roman"/>
          <w:sz w:val="24"/>
          <w:szCs w:val="24"/>
        </w:rPr>
        <w:t>.</w:t>
      </w:r>
      <w:bookmarkStart w:id="3" w:name="_Ref153453875"/>
      <w:r w:rsidR="007E094D">
        <w:rPr>
          <w:rStyle w:val="FootnoteReference"/>
          <w:rFonts w:ascii="Times New Roman" w:hAnsi="Times New Roman" w:cs="Times New Roman"/>
          <w:sz w:val="24"/>
          <w:szCs w:val="24"/>
        </w:rPr>
        <w:footnoteReference w:id="9"/>
      </w:r>
      <w:bookmarkEnd w:id="3"/>
      <w:r w:rsidR="00121720">
        <w:rPr>
          <w:rFonts w:ascii="Times New Roman" w:hAnsi="Times New Roman" w:cs="Times New Roman"/>
          <w:sz w:val="24"/>
          <w:szCs w:val="24"/>
        </w:rPr>
        <w:t xml:space="preserve">  </w:t>
      </w:r>
      <w:r w:rsidR="00441BF2">
        <w:rPr>
          <w:rFonts w:ascii="Times New Roman" w:hAnsi="Times New Roman" w:cs="Times New Roman"/>
          <w:sz w:val="24"/>
          <w:szCs w:val="24"/>
        </w:rPr>
        <w:t xml:space="preserve">When aligned, a legislature appropriates money to achieve a </w:t>
      </w:r>
      <w:r w:rsidR="00A11E83">
        <w:rPr>
          <w:rFonts w:ascii="Times New Roman" w:hAnsi="Times New Roman" w:cs="Times New Roman"/>
          <w:sz w:val="24"/>
          <w:szCs w:val="24"/>
        </w:rPr>
        <w:t>desired end state</w:t>
      </w:r>
      <w:r w:rsidR="00441BF2">
        <w:rPr>
          <w:rFonts w:ascii="Times New Roman" w:hAnsi="Times New Roman" w:cs="Times New Roman"/>
          <w:sz w:val="24"/>
          <w:szCs w:val="24"/>
        </w:rPr>
        <w:t xml:space="preserve">, </w:t>
      </w:r>
      <w:r w:rsidR="00882180">
        <w:rPr>
          <w:rFonts w:ascii="Times New Roman" w:hAnsi="Times New Roman" w:cs="Times New Roman"/>
          <w:sz w:val="24"/>
          <w:szCs w:val="24"/>
        </w:rPr>
        <w:t xml:space="preserve">an agency </w:t>
      </w:r>
      <w:r w:rsidR="00A11E83">
        <w:rPr>
          <w:rFonts w:ascii="Times New Roman" w:hAnsi="Times New Roman" w:cs="Times New Roman"/>
          <w:sz w:val="24"/>
          <w:szCs w:val="24"/>
        </w:rPr>
        <w:t xml:space="preserve">identifies </w:t>
      </w:r>
      <w:r w:rsidR="00193A9B">
        <w:rPr>
          <w:rFonts w:ascii="Times New Roman" w:hAnsi="Times New Roman" w:cs="Times New Roman"/>
          <w:sz w:val="24"/>
          <w:szCs w:val="24"/>
        </w:rPr>
        <w:t>the</w:t>
      </w:r>
      <w:r w:rsidR="007116A2">
        <w:rPr>
          <w:rFonts w:ascii="Times New Roman" w:hAnsi="Times New Roman" w:cs="Times New Roman"/>
          <w:sz w:val="24"/>
          <w:szCs w:val="24"/>
        </w:rPr>
        <w:t xml:space="preserve"> means o</w:t>
      </w:r>
      <w:r w:rsidR="0067422E">
        <w:rPr>
          <w:rFonts w:ascii="Times New Roman" w:hAnsi="Times New Roman" w:cs="Times New Roman"/>
          <w:sz w:val="24"/>
          <w:szCs w:val="24"/>
        </w:rPr>
        <w:t xml:space="preserve">f getting there, and a contracting official </w:t>
      </w:r>
      <w:r w:rsidR="001E185D">
        <w:rPr>
          <w:rFonts w:ascii="Times New Roman" w:hAnsi="Times New Roman" w:cs="Times New Roman"/>
          <w:sz w:val="24"/>
          <w:szCs w:val="24"/>
        </w:rPr>
        <w:t>purchases</w:t>
      </w:r>
      <w:r w:rsidR="009A259B">
        <w:rPr>
          <w:rFonts w:ascii="Times New Roman" w:hAnsi="Times New Roman" w:cs="Times New Roman"/>
          <w:sz w:val="24"/>
          <w:szCs w:val="24"/>
        </w:rPr>
        <w:t xml:space="preserve"> the </w:t>
      </w:r>
      <w:r w:rsidR="001E185D">
        <w:rPr>
          <w:rFonts w:ascii="Times New Roman" w:hAnsi="Times New Roman" w:cs="Times New Roman"/>
          <w:sz w:val="24"/>
          <w:szCs w:val="24"/>
        </w:rPr>
        <w:t xml:space="preserve">most cost-effective </w:t>
      </w:r>
      <w:r w:rsidR="009A259B">
        <w:rPr>
          <w:rFonts w:ascii="Times New Roman" w:hAnsi="Times New Roman" w:cs="Times New Roman"/>
          <w:sz w:val="24"/>
          <w:szCs w:val="24"/>
        </w:rPr>
        <w:t>goods or services</w:t>
      </w:r>
      <w:r w:rsidR="001E185D">
        <w:rPr>
          <w:rFonts w:ascii="Times New Roman" w:hAnsi="Times New Roman" w:cs="Times New Roman"/>
          <w:sz w:val="24"/>
          <w:szCs w:val="24"/>
        </w:rPr>
        <w:t xml:space="preserve"> required to get the job done.</w:t>
      </w:r>
      <w:r w:rsidR="000D1A6B">
        <w:rPr>
          <w:rFonts w:ascii="Times New Roman" w:hAnsi="Times New Roman" w:cs="Times New Roman"/>
          <w:sz w:val="24"/>
          <w:szCs w:val="24"/>
        </w:rPr>
        <w:t xml:space="preserve">  In so doing, </w:t>
      </w:r>
      <w:r w:rsidR="007603DA">
        <w:rPr>
          <w:rFonts w:ascii="Times New Roman" w:hAnsi="Times New Roman" w:cs="Times New Roman"/>
          <w:sz w:val="24"/>
          <w:szCs w:val="24"/>
        </w:rPr>
        <w:t xml:space="preserve">the government delivers results at the least expense to the </w:t>
      </w:r>
      <w:r w:rsidR="003B4227">
        <w:rPr>
          <w:rFonts w:ascii="Times New Roman" w:hAnsi="Times New Roman" w:cs="Times New Roman"/>
          <w:sz w:val="24"/>
          <w:szCs w:val="24"/>
        </w:rPr>
        <w:t>taxpayer</w:t>
      </w:r>
      <w:r w:rsidR="007603DA">
        <w:rPr>
          <w:rFonts w:ascii="Times New Roman" w:hAnsi="Times New Roman" w:cs="Times New Roman"/>
          <w:sz w:val="24"/>
          <w:szCs w:val="24"/>
        </w:rPr>
        <w:t>.</w:t>
      </w:r>
    </w:p>
    <w:p w14:paraId="78982E56" w14:textId="6762E77D" w:rsidR="004C6BCA" w:rsidRPr="00CF690D" w:rsidRDefault="004C6BCA" w:rsidP="00B03E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 introduction of influence peddlers </w:t>
      </w:r>
      <w:r w:rsidR="00F62712">
        <w:rPr>
          <w:rFonts w:ascii="Times New Roman" w:hAnsi="Times New Roman" w:cs="Times New Roman"/>
          <w:sz w:val="24"/>
          <w:szCs w:val="24"/>
        </w:rPr>
        <w:t>exposes the vulnerabilities</w:t>
      </w:r>
      <w:r w:rsidR="003725CC">
        <w:rPr>
          <w:rFonts w:ascii="Times New Roman" w:hAnsi="Times New Roman" w:cs="Times New Roman"/>
          <w:sz w:val="24"/>
          <w:szCs w:val="24"/>
        </w:rPr>
        <w:t xml:space="preserve"> </w:t>
      </w:r>
      <w:r w:rsidR="000D0453">
        <w:rPr>
          <w:rFonts w:ascii="Times New Roman" w:hAnsi="Times New Roman" w:cs="Times New Roman"/>
          <w:sz w:val="24"/>
          <w:szCs w:val="24"/>
        </w:rPr>
        <w:t>inherent to</w:t>
      </w:r>
      <w:r>
        <w:rPr>
          <w:rFonts w:ascii="Times New Roman" w:hAnsi="Times New Roman" w:cs="Times New Roman"/>
          <w:sz w:val="24"/>
          <w:szCs w:val="24"/>
        </w:rPr>
        <w:t xml:space="preserve"> </w:t>
      </w:r>
      <w:r w:rsidR="007B2EBC">
        <w:rPr>
          <w:rFonts w:ascii="Times New Roman" w:hAnsi="Times New Roman" w:cs="Times New Roman"/>
          <w:sz w:val="24"/>
          <w:szCs w:val="24"/>
        </w:rPr>
        <w:t xml:space="preserve">the </w:t>
      </w:r>
      <w:r>
        <w:rPr>
          <w:rFonts w:ascii="Times New Roman" w:hAnsi="Times New Roman" w:cs="Times New Roman"/>
          <w:sz w:val="24"/>
          <w:szCs w:val="24"/>
        </w:rPr>
        <w:t>principal-agen</w:t>
      </w:r>
      <w:r w:rsidR="000B5E3A">
        <w:rPr>
          <w:rFonts w:ascii="Times New Roman" w:hAnsi="Times New Roman" w:cs="Times New Roman"/>
          <w:sz w:val="24"/>
          <w:szCs w:val="24"/>
        </w:rPr>
        <w:t>t model of government</w:t>
      </w:r>
      <w:r w:rsidR="003F2479">
        <w:rPr>
          <w:rFonts w:ascii="Times New Roman" w:hAnsi="Times New Roman" w:cs="Times New Roman"/>
          <w:sz w:val="24"/>
          <w:szCs w:val="24"/>
        </w:rPr>
        <w:t xml:space="preserve"> procurement</w:t>
      </w:r>
      <w:r w:rsidR="003725CC">
        <w:rPr>
          <w:rFonts w:ascii="Times New Roman" w:hAnsi="Times New Roman" w:cs="Times New Roman"/>
          <w:sz w:val="24"/>
          <w:szCs w:val="24"/>
        </w:rPr>
        <w:t>.</w:t>
      </w:r>
      <w:r w:rsidR="003F2479">
        <w:rPr>
          <w:rFonts w:ascii="Times New Roman" w:hAnsi="Times New Roman" w:cs="Times New Roman"/>
          <w:sz w:val="24"/>
          <w:szCs w:val="24"/>
        </w:rPr>
        <w:t xml:space="preserve">  The agent</w:t>
      </w:r>
      <w:r w:rsidR="0044173E">
        <w:rPr>
          <w:rFonts w:ascii="Times New Roman" w:hAnsi="Times New Roman" w:cs="Times New Roman"/>
          <w:sz w:val="24"/>
          <w:szCs w:val="24"/>
        </w:rPr>
        <w:t xml:space="preserve"> is </w:t>
      </w:r>
      <w:r w:rsidR="0082763C">
        <w:rPr>
          <w:rFonts w:ascii="Times New Roman" w:hAnsi="Times New Roman" w:cs="Times New Roman"/>
          <w:sz w:val="24"/>
          <w:szCs w:val="24"/>
        </w:rPr>
        <w:t xml:space="preserve">entrusted with the solemn responsibility of safeguarding the government’s purse, yet </w:t>
      </w:r>
      <w:r w:rsidR="00B21D25">
        <w:rPr>
          <w:rFonts w:ascii="Times New Roman" w:hAnsi="Times New Roman" w:cs="Times New Roman"/>
          <w:sz w:val="24"/>
          <w:szCs w:val="24"/>
        </w:rPr>
        <w:t>they are</w:t>
      </w:r>
      <w:r w:rsidR="0082763C">
        <w:rPr>
          <w:rFonts w:ascii="Times New Roman" w:hAnsi="Times New Roman" w:cs="Times New Roman"/>
          <w:sz w:val="24"/>
          <w:szCs w:val="24"/>
        </w:rPr>
        <w:t xml:space="preserve"> only human</w:t>
      </w:r>
      <w:r w:rsidR="00A46F00">
        <w:rPr>
          <w:rFonts w:ascii="Times New Roman" w:hAnsi="Times New Roman" w:cs="Times New Roman"/>
          <w:sz w:val="24"/>
          <w:szCs w:val="24"/>
        </w:rPr>
        <w:t xml:space="preserve">, subject to temptation and seemingly </w:t>
      </w:r>
      <w:r w:rsidR="001F5944">
        <w:rPr>
          <w:rFonts w:ascii="Times New Roman" w:hAnsi="Times New Roman" w:cs="Times New Roman"/>
          <w:sz w:val="24"/>
          <w:szCs w:val="24"/>
        </w:rPr>
        <w:t>anonymous</w:t>
      </w:r>
      <w:r w:rsidR="00A46F00">
        <w:rPr>
          <w:rFonts w:ascii="Times New Roman" w:hAnsi="Times New Roman" w:cs="Times New Roman"/>
          <w:sz w:val="24"/>
          <w:szCs w:val="24"/>
        </w:rPr>
        <w:t xml:space="preserve"> </w:t>
      </w:r>
      <w:r w:rsidR="001F5944">
        <w:rPr>
          <w:rFonts w:ascii="Times New Roman" w:hAnsi="Times New Roman" w:cs="Times New Roman"/>
          <w:sz w:val="24"/>
          <w:szCs w:val="24"/>
        </w:rPr>
        <w:t>within a sprawling bureaucracy</w:t>
      </w:r>
      <w:r w:rsidR="0082763C">
        <w:rPr>
          <w:rFonts w:ascii="Times New Roman" w:hAnsi="Times New Roman" w:cs="Times New Roman"/>
          <w:sz w:val="24"/>
          <w:szCs w:val="24"/>
        </w:rPr>
        <w:t xml:space="preserve">.  </w:t>
      </w:r>
      <w:r w:rsidR="00C04217">
        <w:rPr>
          <w:rFonts w:ascii="Times New Roman" w:hAnsi="Times New Roman" w:cs="Times New Roman"/>
          <w:sz w:val="24"/>
          <w:szCs w:val="24"/>
        </w:rPr>
        <w:t xml:space="preserve">If the agent directs procurements </w:t>
      </w:r>
      <w:r w:rsidR="00B943E4">
        <w:rPr>
          <w:rFonts w:ascii="Times New Roman" w:hAnsi="Times New Roman" w:cs="Times New Roman"/>
          <w:sz w:val="24"/>
          <w:szCs w:val="24"/>
        </w:rPr>
        <w:t>to a friend, relative, or person of influence</w:t>
      </w:r>
      <w:r w:rsidR="00FD1B6F">
        <w:rPr>
          <w:rFonts w:ascii="Times New Roman" w:hAnsi="Times New Roman" w:cs="Times New Roman"/>
          <w:sz w:val="24"/>
          <w:szCs w:val="24"/>
        </w:rPr>
        <w:t xml:space="preserve"> </w:t>
      </w:r>
      <w:r w:rsidR="002D5D62">
        <w:rPr>
          <w:rFonts w:ascii="Times New Roman" w:hAnsi="Times New Roman" w:cs="Times New Roman"/>
          <w:sz w:val="24"/>
          <w:szCs w:val="24"/>
        </w:rPr>
        <w:t>rather than</w:t>
      </w:r>
      <w:r w:rsidR="00FD1B6F">
        <w:rPr>
          <w:rFonts w:ascii="Times New Roman" w:hAnsi="Times New Roman" w:cs="Times New Roman"/>
          <w:sz w:val="24"/>
          <w:szCs w:val="24"/>
        </w:rPr>
        <w:t xml:space="preserve"> </w:t>
      </w:r>
      <w:r w:rsidR="006F7EDD">
        <w:rPr>
          <w:rFonts w:ascii="Times New Roman" w:hAnsi="Times New Roman" w:cs="Times New Roman"/>
          <w:sz w:val="24"/>
          <w:szCs w:val="24"/>
        </w:rPr>
        <w:t>the offeror providing the best value</w:t>
      </w:r>
      <w:r w:rsidR="00DB3F6B">
        <w:rPr>
          <w:rFonts w:ascii="Times New Roman" w:hAnsi="Times New Roman" w:cs="Times New Roman"/>
          <w:sz w:val="24"/>
          <w:szCs w:val="24"/>
        </w:rPr>
        <w:t xml:space="preserve">, </w:t>
      </w:r>
      <w:r w:rsidR="0084362E">
        <w:rPr>
          <w:rFonts w:ascii="Times New Roman" w:hAnsi="Times New Roman" w:cs="Times New Roman"/>
          <w:sz w:val="24"/>
          <w:szCs w:val="24"/>
        </w:rPr>
        <w:t>their</w:t>
      </w:r>
      <w:r w:rsidR="007C4D22">
        <w:rPr>
          <w:rFonts w:ascii="Times New Roman" w:hAnsi="Times New Roman" w:cs="Times New Roman"/>
          <w:sz w:val="24"/>
          <w:szCs w:val="24"/>
        </w:rPr>
        <w:t xml:space="preserve"> interests </w:t>
      </w:r>
      <w:r w:rsidR="006F7EDD">
        <w:rPr>
          <w:rFonts w:ascii="Times New Roman" w:hAnsi="Times New Roman" w:cs="Times New Roman"/>
          <w:sz w:val="24"/>
          <w:szCs w:val="24"/>
        </w:rPr>
        <w:t xml:space="preserve">have diverged from </w:t>
      </w:r>
      <w:r w:rsidR="002533D8">
        <w:rPr>
          <w:rFonts w:ascii="Times New Roman" w:hAnsi="Times New Roman" w:cs="Times New Roman"/>
          <w:sz w:val="24"/>
          <w:szCs w:val="24"/>
        </w:rPr>
        <w:t xml:space="preserve">that of </w:t>
      </w:r>
      <w:r w:rsidR="006F7EDD">
        <w:rPr>
          <w:rFonts w:ascii="Times New Roman" w:hAnsi="Times New Roman" w:cs="Times New Roman"/>
          <w:sz w:val="24"/>
          <w:szCs w:val="24"/>
        </w:rPr>
        <w:t>the</w:t>
      </w:r>
      <w:r w:rsidR="002533D8">
        <w:rPr>
          <w:rFonts w:ascii="Times New Roman" w:hAnsi="Times New Roman" w:cs="Times New Roman"/>
          <w:sz w:val="24"/>
          <w:szCs w:val="24"/>
        </w:rPr>
        <w:t>ir</w:t>
      </w:r>
      <w:r w:rsidR="006F7EDD">
        <w:rPr>
          <w:rFonts w:ascii="Times New Roman" w:hAnsi="Times New Roman" w:cs="Times New Roman"/>
          <w:sz w:val="24"/>
          <w:szCs w:val="24"/>
        </w:rPr>
        <w:t xml:space="preserve"> principal</w:t>
      </w:r>
      <w:r w:rsidR="0084362E">
        <w:rPr>
          <w:rFonts w:ascii="Times New Roman" w:hAnsi="Times New Roman" w:cs="Times New Roman"/>
          <w:sz w:val="24"/>
          <w:szCs w:val="24"/>
        </w:rPr>
        <w:t>.</w:t>
      </w:r>
      <w:r w:rsidR="0094224F">
        <w:rPr>
          <w:rStyle w:val="FootnoteReference"/>
          <w:rFonts w:ascii="Times New Roman" w:hAnsi="Times New Roman" w:cs="Times New Roman"/>
          <w:sz w:val="24"/>
          <w:szCs w:val="24"/>
        </w:rPr>
        <w:footnoteReference w:id="10"/>
      </w:r>
      <w:r w:rsidR="0084362E">
        <w:rPr>
          <w:rFonts w:ascii="Times New Roman" w:hAnsi="Times New Roman" w:cs="Times New Roman"/>
          <w:sz w:val="24"/>
          <w:szCs w:val="24"/>
        </w:rPr>
        <w:t xml:space="preserve">  Money gets wasted, the government </w:t>
      </w:r>
      <w:r w:rsidR="00EA7208">
        <w:rPr>
          <w:rFonts w:ascii="Times New Roman" w:hAnsi="Times New Roman" w:cs="Times New Roman"/>
          <w:sz w:val="24"/>
          <w:szCs w:val="24"/>
        </w:rPr>
        <w:t>receives unnecessary or</w:t>
      </w:r>
      <w:r w:rsidR="0094224F">
        <w:rPr>
          <w:rFonts w:ascii="Times New Roman" w:hAnsi="Times New Roman" w:cs="Times New Roman"/>
          <w:sz w:val="24"/>
          <w:szCs w:val="24"/>
        </w:rPr>
        <w:t xml:space="preserve"> </w:t>
      </w:r>
      <w:r w:rsidR="00EA7208">
        <w:rPr>
          <w:rFonts w:ascii="Times New Roman" w:hAnsi="Times New Roman" w:cs="Times New Roman"/>
          <w:sz w:val="24"/>
          <w:szCs w:val="24"/>
        </w:rPr>
        <w:t>poor-quality</w:t>
      </w:r>
      <w:r w:rsidR="0094224F">
        <w:rPr>
          <w:rFonts w:ascii="Times New Roman" w:hAnsi="Times New Roman" w:cs="Times New Roman"/>
          <w:sz w:val="24"/>
          <w:szCs w:val="24"/>
        </w:rPr>
        <w:t xml:space="preserve"> goods and services</w:t>
      </w:r>
      <w:r w:rsidR="00FE3AF4">
        <w:rPr>
          <w:rFonts w:ascii="Times New Roman" w:hAnsi="Times New Roman" w:cs="Times New Roman"/>
          <w:sz w:val="24"/>
          <w:szCs w:val="24"/>
        </w:rPr>
        <w:t>,</w:t>
      </w:r>
      <w:r w:rsidR="009551AC">
        <w:rPr>
          <w:rFonts w:ascii="Times New Roman" w:hAnsi="Times New Roman" w:cs="Times New Roman"/>
          <w:sz w:val="24"/>
          <w:szCs w:val="24"/>
        </w:rPr>
        <w:t xml:space="preserve"> </w:t>
      </w:r>
      <w:r w:rsidR="00F61AAE">
        <w:rPr>
          <w:rFonts w:ascii="Times New Roman" w:hAnsi="Times New Roman" w:cs="Times New Roman"/>
          <w:sz w:val="24"/>
          <w:szCs w:val="24"/>
        </w:rPr>
        <w:t>the average taxpayer</w:t>
      </w:r>
      <w:r w:rsidR="00FE3AF4">
        <w:rPr>
          <w:rFonts w:ascii="Times New Roman" w:hAnsi="Times New Roman" w:cs="Times New Roman"/>
          <w:sz w:val="24"/>
          <w:szCs w:val="24"/>
        </w:rPr>
        <w:t xml:space="preserve"> gets stuck with the bill, and government becomes seen as the problem, not the pro</w:t>
      </w:r>
      <w:r w:rsidR="000D0453">
        <w:rPr>
          <w:rFonts w:ascii="Times New Roman" w:hAnsi="Times New Roman" w:cs="Times New Roman"/>
          <w:sz w:val="24"/>
          <w:szCs w:val="24"/>
        </w:rPr>
        <w:t>b</w:t>
      </w:r>
      <w:r w:rsidR="00FE3AF4">
        <w:rPr>
          <w:rFonts w:ascii="Times New Roman" w:hAnsi="Times New Roman" w:cs="Times New Roman"/>
          <w:sz w:val="24"/>
          <w:szCs w:val="24"/>
        </w:rPr>
        <w:t>lem-solver.</w:t>
      </w:r>
      <w:r w:rsidR="000D0453">
        <w:rPr>
          <w:rFonts w:ascii="Times New Roman" w:hAnsi="Times New Roman" w:cs="Times New Roman"/>
          <w:sz w:val="24"/>
          <w:szCs w:val="24"/>
        </w:rPr>
        <w:t xml:space="preserve">  </w:t>
      </w:r>
      <w:r w:rsidR="00584565">
        <w:rPr>
          <w:rFonts w:ascii="Times New Roman" w:hAnsi="Times New Roman" w:cs="Times New Roman"/>
          <w:sz w:val="24"/>
          <w:szCs w:val="24"/>
        </w:rPr>
        <w:t>Thus, instances of i</w:t>
      </w:r>
      <w:r w:rsidR="000D0453">
        <w:rPr>
          <w:rFonts w:ascii="Times New Roman" w:hAnsi="Times New Roman" w:cs="Times New Roman"/>
          <w:sz w:val="24"/>
          <w:szCs w:val="24"/>
        </w:rPr>
        <w:t xml:space="preserve">nfluence peddling </w:t>
      </w:r>
      <w:r w:rsidR="00EB7522">
        <w:rPr>
          <w:rFonts w:ascii="Times New Roman" w:hAnsi="Times New Roman" w:cs="Times New Roman"/>
          <w:sz w:val="24"/>
          <w:szCs w:val="24"/>
        </w:rPr>
        <w:t xml:space="preserve">in public procurement </w:t>
      </w:r>
      <w:r w:rsidR="00584565">
        <w:rPr>
          <w:rFonts w:ascii="Times New Roman" w:hAnsi="Times New Roman" w:cs="Times New Roman"/>
          <w:sz w:val="24"/>
          <w:szCs w:val="24"/>
        </w:rPr>
        <w:t xml:space="preserve">have the tendency to </w:t>
      </w:r>
      <w:r w:rsidR="00EB7522">
        <w:rPr>
          <w:rFonts w:ascii="Times New Roman" w:hAnsi="Times New Roman" w:cs="Times New Roman"/>
          <w:sz w:val="24"/>
          <w:szCs w:val="24"/>
        </w:rPr>
        <w:t>undermine</w:t>
      </w:r>
      <w:r w:rsidR="000D0453">
        <w:rPr>
          <w:rFonts w:ascii="Times New Roman" w:hAnsi="Times New Roman" w:cs="Times New Roman"/>
          <w:sz w:val="24"/>
          <w:szCs w:val="24"/>
        </w:rPr>
        <w:t xml:space="preserve"> the </w:t>
      </w:r>
      <w:r w:rsidR="00584565">
        <w:rPr>
          <w:rFonts w:ascii="Times New Roman" w:hAnsi="Times New Roman" w:cs="Times New Roman"/>
          <w:sz w:val="24"/>
          <w:szCs w:val="24"/>
        </w:rPr>
        <w:t xml:space="preserve">wider </w:t>
      </w:r>
      <w:r w:rsidR="000D0453">
        <w:rPr>
          <w:rFonts w:ascii="Times New Roman" w:hAnsi="Times New Roman" w:cs="Times New Roman"/>
          <w:sz w:val="24"/>
          <w:szCs w:val="24"/>
        </w:rPr>
        <w:t xml:space="preserve">democratic </w:t>
      </w:r>
      <w:r w:rsidR="00584565">
        <w:rPr>
          <w:rFonts w:ascii="Times New Roman" w:hAnsi="Times New Roman" w:cs="Times New Roman"/>
          <w:sz w:val="24"/>
          <w:szCs w:val="24"/>
        </w:rPr>
        <w:t>system</w:t>
      </w:r>
      <w:r w:rsidR="000D0453">
        <w:rPr>
          <w:rFonts w:ascii="Times New Roman" w:hAnsi="Times New Roman" w:cs="Times New Roman"/>
          <w:sz w:val="24"/>
          <w:szCs w:val="24"/>
        </w:rPr>
        <w:t>.</w:t>
      </w:r>
    </w:p>
    <w:p w14:paraId="740AB75C" w14:textId="5DF43D18" w:rsidR="00A02068" w:rsidRDefault="00A02068" w:rsidP="00A02068">
      <w:pPr>
        <w:pStyle w:val="Heading2"/>
      </w:pPr>
      <w:bookmarkStart w:id="4" w:name="_Toc153485959"/>
      <w:r>
        <w:t>Vulnerability of State and Local Governments</w:t>
      </w:r>
      <w:bookmarkEnd w:id="4"/>
    </w:p>
    <w:p w14:paraId="32951F32" w14:textId="75B74E24" w:rsidR="00D03CD8" w:rsidRDefault="00D03CD8" w:rsidP="00D03CD8">
      <w:pPr>
        <w:spacing w:line="480" w:lineRule="auto"/>
        <w:ind w:firstLine="720"/>
        <w:rPr>
          <w:rFonts w:ascii="Times New Roman" w:hAnsi="Times New Roman" w:cs="Times New Roman"/>
          <w:sz w:val="24"/>
          <w:szCs w:val="24"/>
        </w:rPr>
      </w:pPr>
      <w:r>
        <w:rPr>
          <w:rFonts w:ascii="Times New Roman" w:hAnsi="Times New Roman" w:cs="Times New Roman"/>
          <w:sz w:val="24"/>
          <w:szCs w:val="24"/>
        </w:rPr>
        <w:t>While corruption is a concern</w:t>
      </w:r>
      <w:r w:rsidR="000C3D86">
        <w:rPr>
          <w:rFonts w:ascii="Times New Roman" w:hAnsi="Times New Roman" w:cs="Times New Roman"/>
          <w:sz w:val="24"/>
          <w:szCs w:val="24"/>
        </w:rPr>
        <w:t xml:space="preserve"> at all levels of government, state and local governments </w:t>
      </w:r>
      <w:r w:rsidR="00026CF6">
        <w:rPr>
          <w:rFonts w:ascii="Times New Roman" w:hAnsi="Times New Roman" w:cs="Times New Roman"/>
          <w:sz w:val="24"/>
          <w:szCs w:val="24"/>
        </w:rPr>
        <w:t xml:space="preserve">possess structural vulnerabilities that </w:t>
      </w:r>
      <w:r w:rsidR="00C14F54">
        <w:rPr>
          <w:rFonts w:ascii="Times New Roman" w:hAnsi="Times New Roman" w:cs="Times New Roman"/>
          <w:sz w:val="24"/>
          <w:szCs w:val="24"/>
        </w:rPr>
        <w:t>increase the risk posed by influence peddling.</w:t>
      </w:r>
      <w:r w:rsidR="00F81102">
        <w:rPr>
          <w:rFonts w:ascii="Times New Roman" w:hAnsi="Times New Roman" w:cs="Times New Roman"/>
          <w:sz w:val="24"/>
          <w:szCs w:val="24"/>
        </w:rPr>
        <w:t xml:space="preserve"> </w:t>
      </w:r>
      <w:r w:rsidR="00F81102" w:rsidRPr="00F81102">
        <w:rPr>
          <w:rFonts w:ascii="Times New Roman" w:hAnsi="Times New Roman" w:cs="Times New Roman"/>
          <w:sz w:val="24"/>
          <w:szCs w:val="24"/>
        </w:rPr>
        <w:t>This is not a universally accepted notio</w:t>
      </w:r>
      <w:r w:rsidR="00933E01">
        <w:rPr>
          <w:rFonts w:ascii="Times New Roman" w:hAnsi="Times New Roman" w:cs="Times New Roman"/>
          <w:sz w:val="24"/>
          <w:szCs w:val="24"/>
        </w:rPr>
        <w:t>n:</w:t>
      </w:r>
      <w:r w:rsidR="00F81102" w:rsidRPr="00F81102">
        <w:rPr>
          <w:rFonts w:ascii="Times New Roman" w:hAnsi="Times New Roman" w:cs="Times New Roman"/>
          <w:sz w:val="24"/>
          <w:szCs w:val="24"/>
        </w:rPr>
        <w:t xml:space="preserve"> </w:t>
      </w:r>
      <w:r w:rsidR="00933E01">
        <w:rPr>
          <w:rFonts w:ascii="Times New Roman" w:hAnsi="Times New Roman" w:cs="Times New Roman"/>
          <w:sz w:val="24"/>
          <w:szCs w:val="24"/>
        </w:rPr>
        <w:t>m</w:t>
      </w:r>
      <w:r w:rsidR="00F81102" w:rsidRPr="00F81102">
        <w:rPr>
          <w:rFonts w:ascii="Times New Roman" w:hAnsi="Times New Roman" w:cs="Times New Roman"/>
          <w:sz w:val="24"/>
          <w:szCs w:val="24"/>
        </w:rPr>
        <w:t xml:space="preserve">uch conventional thinking holds that decentralized and smaller governments encounter less vulnerability to corruption under a ‘public choice theory,’ whereby government officials are closer geographically, culturally, and socioeconomically to their constituents, and </w:t>
      </w:r>
      <w:r w:rsidR="00933E01">
        <w:rPr>
          <w:rFonts w:ascii="Times New Roman" w:hAnsi="Times New Roman" w:cs="Times New Roman"/>
          <w:sz w:val="24"/>
          <w:szCs w:val="24"/>
        </w:rPr>
        <w:t xml:space="preserve">therefore </w:t>
      </w:r>
      <w:r w:rsidR="00F81102" w:rsidRPr="00F81102">
        <w:rPr>
          <w:rFonts w:ascii="Times New Roman" w:hAnsi="Times New Roman" w:cs="Times New Roman"/>
          <w:sz w:val="24"/>
          <w:szCs w:val="24"/>
        </w:rPr>
        <w:t>have greater personal incentive to deliver good governance.</w:t>
      </w:r>
      <w:r w:rsidR="00933E01" w:rsidRPr="00933E01">
        <w:rPr>
          <w:rStyle w:val="FootnoteReference"/>
          <w:rFonts w:ascii="Times New Roman" w:hAnsi="Times New Roman" w:cs="Times New Roman"/>
          <w:sz w:val="24"/>
          <w:szCs w:val="24"/>
        </w:rPr>
        <w:t xml:space="preserve"> </w:t>
      </w:r>
      <w:r w:rsidR="00933E01">
        <w:rPr>
          <w:rStyle w:val="FootnoteReference"/>
          <w:rFonts w:ascii="Times New Roman" w:hAnsi="Times New Roman" w:cs="Times New Roman"/>
          <w:sz w:val="24"/>
          <w:szCs w:val="24"/>
        </w:rPr>
        <w:footnoteReference w:id="11"/>
      </w:r>
      <w:r w:rsidR="00F81102" w:rsidRPr="00F81102">
        <w:rPr>
          <w:rFonts w:ascii="Times New Roman" w:hAnsi="Times New Roman" w:cs="Times New Roman"/>
          <w:sz w:val="24"/>
          <w:szCs w:val="24"/>
        </w:rPr>
        <w:t xml:space="preserve">  In other words, there is a closer bond between the principal and the agent.  </w:t>
      </w:r>
      <w:r w:rsidR="00933E01">
        <w:rPr>
          <w:rFonts w:ascii="Times New Roman" w:hAnsi="Times New Roman" w:cs="Times New Roman"/>
          <w:sz w:val="24"/>
          <w:szCs w:val="24"/>
        </w:rPr>
        <w:t>Despite this theory</w:t>
      </w:r>
      <w:r w:rsidR="00F81102" w:rsidRPr="00F81102">
        <w:rPr>
          <w:rFonts w:ascii="Times New Roman" w:hAnsi="Times New Roman" w:cs="Times New Roman"/>
          <w:sz w:val="24"/>
          <w:szCs w:val="24"/>
        </w:rPr>
        <w:t xml:space="preserve">, there is growing </w:t>
      </w:r>
      <w:r w:rsidR="00933E01">
        <w:rPr>
          <w:rFonts w:ascii="Times New Roman" w:hAnsi="Times New Roman" w:cs="Times New Roman"/>
          <w:sz w:val="24"/>
          <w:szCs w:val="24"/>
        </w:rPr>
        <w:t xml:space="preserve">empirical </w:t>
      </w:r>
      <w:r w:rsidR="00F81102" w:rsidRPr="00F81102">
        <w:rPr>
          <w:rFonts w:ascii="Times New Roman" w:hAnsi="Times New Roman" w:cs="Times New Roman"/>
          <w:sz w:val="24"/>
          <w:szCs w:val="24"/>
        </w:rPr>
        <w:t>evidence that corruption is</w:t>
      </w:r>
      <w:r w:rsidR="00933E01">
        <w:rPr>
          <w:rFonts w:ascii="Times New Roman" w:hAnsi="Times New Roman" w:cs="Times New Roman"/>
          <w:sz w:val="24"/>
          <w:szCs w:val="24"/>
        </w:rPr>
        <w:t xml:space="preserve"> </w:t>
      </w:r>
      <w:proofErr w:type="gramStart"/>
      <w:r w:rsidR="00933E01">
        <w:rPr>
          <w:rFonts w:ascii="Times New Roman" w:hAnsi="Times New Roman" w:cs="Times New Roman"/>
          <w:sz w:val="24"/>
          <w:szCs w:val="24"/>
        </w:rPr>
        <w:t>actually</w:t>
      </w:r>
      <w:r w:rsidR="00F81102" w:rsidRPr="00F81102">
        <w:rPr>
          <w:rFonts w:ascii="Times New Roman" w:hAnsi="Times New Roman" w:cs="Times New Roman"/>
          <w:sz w:val="24"/>
          <w:szCs w:val="24"/>
        </w:rPr>
        <w:t xml:space="preserve"> less</w:t>
      </w:r>
      <w:proofErr w:type="gramEnd"/>
      <w:r w:rsidR="00F81102" w:rsidRPr="00F81102">
        <w:rPr>
          <w:rFonts w:ascii="Times New Roman" w:hAnsi="Times New Roman" w:cs="Times New Roman"/>
          <w:sz w:val="24"/>
          <w:szCs w:val="24"/>
        </w:rPr>
        <w:t xml:space="preserve"> prevalent in large governments than </w:t>
      </w:r>
      <w:r w:rsidR="00933E01">
        <w:rPr>
          <w:rFonts w:ascii="Times New Roman" w:hAnsi="Times New Roman" w:cs="Times New Roman"/>
          <w:sz w:val="24"/>
          <w:szCs w:val="24"/>
        </w:rPr>
        <w:t xml:space="preserve">in </w:t>
      </w:r>
      <w:r w:rsidR="00F81102" w:rsidRPr="00F81102">
        <w:rPr>
          <w:rFonts w:ascii="Times New Roman" w:hAnsi="Times New Roman" w:cs="Times New Roman"/>
          <w:sz w:val="24"/>
          <w:szCs w:val="24"/>
        </w:rPr>
        <w:t>small governments.</w:t>
      </w:r>
      <w:r w:rsidR="00F81102">
        <w:rPr>
          <w:rStyle w:val="FootnoteReference"/>
          <w:rFonts w:ascii="Times New Roman" w:hAnsi="Times New Roman" w:cs="Times New Roman"/>
          <w:sz w:val="24"/>
          <w:szCs w:val="24"/>
        </w:rPr>
        <w:footnoteReference w:id="12"/>
      </w:r>
    </w:p>
    <w:p w14:paraId="71EAB4FB" w14:textId="3C1E224E" w:rsidR="00D027A5" w:rsidRDefault="00EE3CA1" w:rsidP="00D03C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Several factors </w:t>
      </w:r>
      <w:r w:rsidR="00933E01">
        <w:rPr>
          <w:rFonts w:ascii="Times New Roman" w:hAnsi="Times New Roman" w:cs="Times New Roman"/>
          <w:sz w:val="24"/>
          <w:szCs w:val="24"/>
        </w:rPr>
        <w:t>suggest an</w:t>
      </w:r>
      <w:r w:rsidR="00033CB0">
        <w:rPr>
          <w:rFonts w:ascii="Times New Roman" w:hAnsi="Times New Roman" w:cs="Times New Roman"/>
          <w:sz w:val="24"/>
          <w:szCs w:val="24"/>
        </w:rPr>
        <w:t xml:space="preserve"> </w:t>
      </w:r>
      <w:r w:rsidR="00933E01">
        <w:rPr>
          <w:rFonts w:ascii="Times New Roman" w:hAnsi="Times New Roman" w:cs="Times New Roman"/>
          <w:sz w:val="24"/>
          <w:szCs w:val="24"/>
        </w:rPr>
        <w:t xml:space="preserve">increased </w:t>
      </w:r>
      <w:r w:rsidR="006B6D73">
        <w:rPr>
          <w:rFonts w:ascii="Times New Roman" w:hAnsi="Times New Roman" w:cs="Times New Roman"/>
          <w:sz w:val="24"/>
          <w:szCs w:val="24"/>
        </w:rPr>
        <w:t>opportunity</w:t>
      </w:r>
      <w:r w:rsidR="00033CB0">
        <w:rPr>
          <w:rFonts w:ascii="Times New Roman" w:hAnsi="Times New Roman" w:cs="Times New Roman"/>
          <w:sz w:val="24"/>
          <w:szCs w:val="24"/>
        </w:rPr>
        <w:t xml:space="preserve"> </w:t>
      </w:r>
      <w:r w:rsidR="006B6D73">
        <w:rPr>
          <w:rFonts w:ascii="Times New Roman" w:hAnsi="Times New Roman" w:cs="Times New Roman"/>
          <w:sz w:val="24"/>
          <w:szCs w:val="24"/>
        </w:rPr>
        <w:t xml:space="preserve">and incentive </w:t>
      </w:r>
      <w:r w:rsidR="00933E01">
        <w:rPr>
          <w:rFonts w:ascii="Times New Roman" w:hAnsi="Times New Roman" w:cs="Times New Roman"/>
          <w:sz w:val="24"/>
          <w:szCs w:val="24"/>
        </w:rPr>
        <w:t xml:space="preserve">structure </w:t>
      </w:r>
      <w:r w:rsidR="006B6D73">
        <w:rPr>
          <w:rFonts w:ascii="Times New Roman" w:hAnsi="Times New Roman" w:cs="Times New Roman"/>
          <w:sz w:val="24"/>
          <w:szCs w:val="24"/>
        </w:rPr>
        <w:t xml:space="preserve">for </w:t>
      </w:r>
      <w:r w:rsidR="009762C5">
        <w:rPr>
          <w:rFonts w:ascii="Times New Roman" w:hAnsi="Times New Roman" w:cs="Times New Roman"/>
          <w:sz w:val="24"/>
          <w:szCs w:val="24"/>
        </w:rPr>
        <w:t>principal-agent divergence in state and local procurement</w:t>
      </w:r>
      <w:r w:rsidR="00933E01">
        <w:rPr>
          <w:rFonts w:ascii="Times New Roman" w:hAnsi="Times New Roman" w:cs="Times New Roman"/>
          <w:sz w:val="24"/>
          <w:szCs w:val="24"/>
        </w:rPr>
        <w:t xml:space="preserve"> relative to the federal system</w:t>
      </w:r>
      <w:r w:rsidR="009762C5">
        <w:rPr>
          <w:rFonts w:ascii="Times New Roman" w:hAnsi="Times New Roman" w:cs="Times New Roman"/>
          <w:sz w:val="24"/>
          <w:szCs w:val="24"/>
        </w:rPr>
        <w:t>.</w:t>
      </w:r>
      <w:r w:rsidR="007D5E82">
        <w:rPr>
          <w:rFonts w:ascii="Times New Roman" w:hAnsi="Times New Roman" w:cs="Times New Roman"/>
          <w:sz w:val="24"/>
          <w:szCs w:val="24"/>
        </w:rPr>
        <w:t xml:space="preserve">  While </w:t>
      </w:r>
      <w:r w:rsidR="00F83C02">
        <w:rPr>
          <w:rFonts w:ascii="Times New Roman" w:hAnsi="Times New Roman" w:cs="Times New Roman"/>
          <w:sz w:val="24"/>
          <w:szCs w:val="24"/>
        </w:rPr>
        <w:t xml:space="preserve">subnational procurement systems </w:t>
      </w:r>
      <w:r w:rsidR="00933E01">
        <w:rPr>
          <w:rFonts w:ascii="Times New Roman" w:hAnsi="Times New Roman" w:cs="Times New Roman"/>
          <w:sz w:val="24"/>
          <w:szCs w:val="24"/>
        </w:rPr>
        <w:t xml:space="preserve">in the United States </w:t>
      </w:r>
      <w:r w:rsidR="00F83C02">
        <w:rPr>
          <w:rFonts w:ascii="Times New Roman" w:hAnsi="Times New Roman" w:cs="Times New Roman"/>
          <w:sz w:val="24"/>
          <w:szCs w:val="24"/>
        </w:rPr>
        <w:t>are far from a monolith, many of them</w:t>
      </w:r>
      <w:r w:rsidR="001C7460">
        <w:rPr>
          <w:rFonts w:ascii="Times New Roman" w:hAnsi="Times New Roman" w:cs="Times New Roman"/>
          <w:sz w:val="24"/>
          <w:szCs w:val="24"/>
        </w:rPr>
        <w:t xml:space="preserve"> employ </w:t>
      </w:r>
      <w:proofErr w:type="gramStart"/>
      <w:r w:rsidR="001C7460">
        <w:rPr>
          <w:rFonts w:ascii="Times New Roman" w:hAnsi="Times New Roman" w:cs="Times New Roman"/>
          <w:sz w:val="24"/>
          <w:szCs w:val="24"/>
        </w:rPr>
        <w:t>less</w:t>
      </w:r>
      <w:proofErr w:type="gramEnd"/>
      <w:r w:rsidR="001C7460">
        <w:rPr>
          <w:rFonts w:ascii="Times New Roman" w:hAnsi="Times New Roman" w:cs="Times New Roman"/>
          <w:sz w:val="24"/>
          <w:szCs w:val="24"/>
        </w:rPr>
        <w:t xml:space="preserve"> formal processes than the federal system, </w:t>
      </w:r>
      <w:r w:rsidR="00933E01">
        <w:rPr>
          <w:rFonts w:ascii="Times New Roman" w:hAnsi="Times New Roman" w:cs="Times New Roman"/>
          <w:sz w:val="24"/>
          <w:szCs w:val="24"/>
        </w:rPr>
        <w:t>are staffed</w:t>
      </w:r>
      <w:r w:rsidR="00D85D03">
        <w:rPr>
          <w:rFonts w:ascii="Times New Roman" w:hAnsi="Times New Roman" w:cs="Times New Roman"/>
          <w:sz w:val="24"/>
          <w:szCs w:val="24"/>
        </w:rPr>
        <w:t xml:space="preserve"> by contracting officials with less training</w:t>
      </w:r>
      <w:r w:rsidR="00933E01">
        <w:rPr>
          <w:rFonts w:ascii="Times New Roman" w:hAnsi="Times New Roman" w:cs="Times New Roman"/>
          <w:sz w:val="24"/>
          <w:szCs w:val="24"/>
        </w:rPr>
        <w:t xml:space="preserve">, </w:t>
      </w:r>
      <w:r w:rsidR="001D33AA">
        <w:rPr>
          <w:rFonts w:ascii="Times New Roman" w:hAnsi="Times New Roman" w:cs="Times New Roman"/>
          <w:sz w:val="24"/>
          <w:szCs w:val="24"/>
        </w:rPr>
        <w:t>experience</w:t>
      </w:r>
      <w:r w:rsidR="00933E01">
        <w:rPr>
          <w:rFonts w:ascii="Times New Roman" w:hAnsi="Times New Roman" w:cs="Times New Roman"/>
          <w:sz w:val="24"/>
          <w:szCs w:val="24"/>
        </w:rPr>
        <w:t xml:space="preserve">, and </w:t>
      </w:r>
      <w:r w:rsidR="0037392D">
        <w:rPr>
          <w:rFonts w:ascii="Times New Roman" w:hAnsi="Times New Roman" w:cs="Times New Roman"/>
          <w:sz w:val="24"/>
          <w:szCs w:val="24"/>
        </w:rPr>
        <w:t>oversight, and are reviewed by generalist as oppose</w:t>
      </w:r>
      <w:r w:rsidR="001D2E36">
        <w:rPr>
          <w:rFonts w:ascii="Times New Roman" w:hAnsi="Times New Roman" w:cs="Times New Roman"/>
          <w:sz w:val="24"/>
          <w:szCs w:val="24"/>
        </w:rPr>
        <w:t>d to specialized adjudicative bodies.</w:t>
      </w:r>
      <w:r w:rsidR="004A75E9">
        <w:rPr>
          <w:rFonts w:ascii="Times New Roman" w:hAnsi="Times New Roman" w:cs="Times New Roman"/>
          <w:sz w:val="24"/>
          <w:szCs w:val="24"/>
        </w:rPr>
        <w:t xml:space="preserve">  Additionally, </w:t>
      </w:r>
      <w:r w:rsidR="00F9458F">
        <w:rPr>
          <w:rFonts w:ascii="Times New Roman" w:hAnsi="Times New Roman" w:cs="Times New Roman"/>
          <w:sz w:val="24"/>
          <w:szCs w:val="24"/>
        </w:rPr>
        <w:t>individual state and local procurement decisions</w:t>
      </w:r>
      <w:r w:rsidR="004A75E9">
        <w:rPr>
          <w:rFonts w:ascii="Times New Roman" w:hAnsi="Times New Roman" w:cs="Times New Roman"/>
          <w:sz w:val="24"/>
          <w:szCs w:val="24"/>
        </w:rPr>
        <w:t xml:space="preserve"> </w:t>
      </w:r>
      <w:r w:rsidR="00933E01">
        <w:rPr>
          <w:rFonts w:ascii="Times New Roman" w:hAnsi="Times New Roman" w:cs="Times New Roman"/>
          <w:sz w:val="24"/>
          <w:szCs w:val="24"/>
        </w:rPr>
        <w:t>may</w:t>
      </w:r>
      <w:r w:rsidR="004A75E9">
        <w:rPr>
          <w:rFonts w:ascii="Times New Roman" w:hAnsi="Times New Roman" w:cs="Times New Roman"/>
          <w:sz w:val="24"/>
          <w:szCs w:val="24"/>
        </w:rPr>
        <w:t xml:space="preserve"> be more </w:t>
      </w:r>
      <w:r w:rsidR="00F9458F">
        <w:rPr>
          <w:rFonts w:ascii="Times New Roman" w:hAnsi="Times New Roman" w:cs="Times New Roman"/>
          <w:sz w:val="24"/>
          <w:szCs w:val="24"/>
        </w:rPr>
        <w:t xml:space="preserve">influenced by </w:t>
      </w:r>
      <w:r w:rsidR="00D027A5">
        <w:rPr>
          <w:rFonts w:ascii="Times New Roman" w:hAnsi="Times New Roman" w:cs="Times New Roman"/>
          <w:sz w:val="24"/>
          <w:szCs w:val="24"/>
        </w:rPr>
        <w:t>politicians</w:t>
      </w:r>
      <w:r w:rsidR="00933E01">
        <w:rPr>
          <w:rFonts w:ascii="Times New Roman" w:hAnsi="Times New Roman" w:cs="Times New Roman"/>
          <w:sz w:val="24"/>
          <w:szCs w:val="24"/>
        </w:rPr>
        <w:t xml:space="preserve"> or special interests</w:t>
      </w:r>
      <w:r w:rsidR="005A31DF">
        <w:rPr>
          <w:rFonts w:ascii="Times New Roman" w:hAnsi="Times New Roman" w:cs="Times New Roman"/>
          <w:sz w:val="24"/>
          <w:szCs w:val="24"/>
        </w:rPr>
        <w:t xml:space="preserve"> than</w:t>
      </w:r>
      <w:r w:rsidR="00F9458F">
        <w:rPr>
          <w:rFonts w:ascii="Times New Roman" w:hAnsi="Times New Roman" w:cs="Times New Roman"/>
          <w:sz w:val="24"/>
          <w:szCs w:val="24"/>
        </w:rPr>
        <w:t xml:space="preserve"> at</w:t>
      </w:r>
      <w:r w:rsidR="005A31DF">
        <w:rPr>
          <w:rFonts w:ascii="Times New Roman" w:hAnsi="Times New Roman" w:cs="Times New Roman"/>
          <w:sz w:val="24"/>
          <w:szCs w:val="24"/>
        </w:rPr>
        <w:t xml:space="preserve"> the </w:t>
      </w:r>
      <w:r w:rsidR="003E4E19">
        <w:rPr>
          <w:rFonts w:ascii="Times New Roman" w:hAnsi="Times New Roman" w:cs="Times New Roman"/>
          <w:sz w:val="24"/>
          <w:szCs w:val="24"/>
        </w:rPr>
        <w:t>federal level</w:t>
      </w:r>
      <w:r w:rsidR="00F9458F">
        <w:rPr>
          <w:rFonts w:ascii="Times New Roman" w:hAnsi="Times New Roman" w:cs="Times New Roman"/>
          <w:sz w:val="24"/>
          <w:szCs w:val="24"/>
        </w:rPr>
        <w:t>.</w:t>
      </w:r>
      <w:r w:rsidR="00F9458F">
        <w:rPr>
          <w:rStyle w:val="FootnoteReference"/>
          <w:rFonts w:ascii="Times New Roman" w:hAnsi="Times New Roman" w:cs="Times New Roman"/>
          <w:sz w:val="24"/>
          <w:szCs w:val="24"/>
        </w:rPr>
        <w:footnoteReference w:id="13"/>
      </w:r>
      <w:r w:rsidR="003E4E19">
        <w:rPr>
          <w:rFonts w:ascii="Times New Roman" w:hAnsi="Times New Roman" w:cs="Times New Roman"/>
          <w:sz w:val="24"/>
          <w:szCs w:val="24"/>
        </w:rPr>
        <w:t xml:space="preserve">  Furthermore, as politics in the United States becomes ever more nationalized, the public is less likely to be aware of state and local government actions and </w:t>
      </w:r>
      <w:r w:rsidR="00933E01">
        <w:rPr>
          <w:rFonts w:ascii="Times New Roman" w:hAnsi="Times New Roman" w:cs="Times New Roman"/>
          <w:sz w:val="24"/>
          <w:szCs w:val="24"/>
        </w:rPr>
        <w:t>therefore less able to hold</w:t>
      </w:r>
      <w:r w:rsidR="003E4E19">
        <w:rPr>
          <w:rFonts w:ascii="Times New Roman" w:hAnsi="Times New Roman" w:cs="Times New Roman"/>
          <w:sz w:val="24"/>
          <w:szCs w:val="24"/>
        </w:rPr>
        <w:t xml:space="preserve"> these officials accountable, </w:t>
      </w:r>
      <w:r w:rsidR="008A09F8">
        <w:rPr>
          <w:rFonts w:ascii="Times New Roman" w:hAnsi="Times New Roman" w:cs="Times New Roman"/>
          <w:sz w:val="24"/>
          <w:szCs w:val="24"/>
        </w:rPr>
        <w:t xml:space="preserve">removing a key </w:t>
      </w:r>
      <w:r w:rsidR="00933E01">
        <w:rPr>
          <w:rFonts w:ascii="Times New Roman" w:hAnsi="Times New Roman" w:cs="Times New Roman"/>
          <w:sz w:val="24"/>
          <w:szCs w:val="24"/>
        </w:rPr>
        <w:t>incentive</w:t>
      </w:r>
      <w:r w:rsidR="008A09F8">
        <w:rPr>
          <w:rFonts w:ascii="Times New Roman" w:hAnsi="Times New Roman" w:cs="Times New Roman"/>
          <w:sz w:val="24"/>
          <w:szCs w:val="24"/>
        </w:rPr>
        <w:t xml:space="preserve"> for an agent to </w:t>
      </w:r>
      <w:r w:rsidR="00933E01">
        <w:rPr>
          <w:rFonts w:ascii="Times New Roman" w:hAnsi="Times New Roman" w:cs="Times New Roman"/>
          <w:sz w:val="24"/>
          <w:szCs w:val="24"/>
        </w:rPr>
        <w:t>subordinate themselves to</w:t>
      </w:r>
      <w:r w:rsidR="008A09F8">
        <w:rPr>
          <w:rFonts w:ascii="Times New Roman" w:hAnsi="Times New Roman" w:cs="Times New Roman"/>
          <w:sz w:val="24"/>
          <w:szCs w:val="24"/>
        </w:rPr>
        <w:t xml:space="preserve"> the will of the principal.</w:t>
      </w:r>
      <w:r w:rsidR="008A09F8">
        <w:rPr>
          <w:rStyle w:val="FootnoteReference"/>
          <w:rFonts w:ascii="Times New Roman" w:hAnsi="Times New Roman" w:cs="Times New Roman"/>
          <w:sz w:val="24"/>
          <w:szCs w:val="24"/>
        </w:rPr>
        <w:footnoteReference w:id="14"/>
      </w:r>
      <w:r w:rsidR="008A09F8">
        <w:rPr>
          <w:rFonts w:ascii="Times New Roman" w:hAnsi="Times New Roman" w:cs="Times New Roman"/>
          <w:sz w:val="24"/>
          <w:szCs w:val="24"/>
        </w:rPr>
        <w:t xml:space="preserve">  This trend is only exacerbated </w:t>
      </w:r>
      <w:r w:rsidR="00584565">
        <w:rPr>
          <w:rFonts w:ascii="Times New Roman" w:hAnsi="Times New Roman" w:cs="Times New Roman"/>
          <w:sz w:val="24"/>
          <w:szCs w:val="24"/>
        </w:rPr>
        <w:t xml:space="preserve">by </w:t>
      </w:r>
      <w:r w:rsidR="007837AD">
        <w:rPr>
          <w:rFonts w:ascii="Times New Roman" w:hAnsi="Times New Roman" w:cs="Times New Roman"/>
          <w:sz w:val="24"/>
          <w:szCs w:val="24"/>
        </w:rPr>
        <w:t>the decline in local journalism</w:t>
      </w:r>
      <w:r w:rsidR="00584565">
        <w:rPr>
          <w:rFonts w:ascii="Times New Roman" w:hAnsi="Times New Roman" w:cs="Times New Roman"/>
          <w:sz w:val="24"/>
          <w:szCs w:val="24"/>
        </w:rPr>
        <w:t xml:space="preserve"> and the scrutiny applied to local officials</w:t>
      </w:r>
      <w:r w:rsidR="007837AD">
        <w:rPr>
          <w:rFonts w:ascii="Times New Roman" w:hAnsi="Times New Roman" w:cs="Times New Roman"/>
          <w:sz w:val="24"/>
          <w:szCs w:val="24"/>
        </w:rPr>
        <w:t>.</w:t>
      </w:r>
      <w:r w:rsidR="007837AD">
        <w:rPr>
          <w:rStyle w:val="FootnoteReference"/>
          <w:rFonts w:ascii="Times New Roman" w:hAnsi="Times New Roman" w:cs="Times New Roman"/>
          <w:sz w:val="24"/>
          <w:szCs w:val="24"/>
        </w:rPr>
        <w:footnoteReference w:id="15"/>
      </w:r>
      <w:r w:rsidR="00DF1FBA">
        <w:rPr>
          <w:rFonts w:ascii="Times New Roman" w:hAnsi="Times New Roman" w:cs="Times New Roman"/>
          <w:sz w:val="24"/>
          <w:szCs w:val="24"/>
        </w:rPr>
        <w:t xml:space="preserve">  The result is a greater potential for an “asymmetry of information” between the agent and principal at the state and local level, which </w:t>
      </w:r>
      <w:r w:rsidR="003F0B98">
        <w:rPr>
          <w:rFonts w:ascii="Times New Roman" w:hAnsi="Times New Roman" w:cs="Times New Roman"/>
          <w:sz w:val="24"/>
          <w:szCs w:val="24"/>
        </w:rPr>
        <w:t>introduces a</w:t>
      </w:r>
      <w:r w:rsidR="00F81D97">
        <w:rPr>
          <w:rFonts w:ascii="Times New Roman" w:hAnsi="Times New Roman" w:cs="Times New Roman"/>
          <w:sz w:val="24"/>
          <w:szCs w:val="24"/>
        </w:rPr>
        <w:t>n</w:t>
      </w:r>
      <w:r w:rsidR="003F0B98">
        <w:rPr>
          <w:rFonts w:ascii="Times New Roman" w:hAnsi="Times New Roman" w:cs="Times New Roman"/>
          <w:sz w:val="24"/>
          <w:szCs w:val="24"/>
        </w:rPr>
        <w:t xml:space="preserve"> </w:t>
      </w:r>
      <w:r w:rsidR="00F81D97">
        <w:rPr>
          <w:rFonts w:ascii="Times New Roman" w:hAnsi="Times New Roman" w:cs="Times New Roman"/>
          <w:sz w:val="24"/>
          <w:szCs w:val="24"/>
        </w:rPr>
        <w:t>increased</w:t>
      </w:r>
      <w:r w:rsidR="003F0B98">
        <w:rPr>
          <w:rFonts w:ascii="Times New Roman" w:hAnsi="Times New Roman" w:cs="Times New Roman"/>
          <w:sz w:val="24"/>
          <w:szCs w:val="24"/>
        </w:rPr>
        <w:t xml:space="preserve"> </w:t>
      </w:r>
      <w:r w:rsidR="00F81D97">
        <w:rPr>
          <w:rFonts w:ascii="Times New Roman" w:hAnsi="Times New Roman" w:cs="Times New Roman"/>
          <w:sz w:val="24"/>
          <w:szCs w:val="24"/>
        </w:rPr>
        <w:t>susceptibility to</w:t>
      </w:r>
      <w:r w:rsidR="00DF1FBA">
        <w:rPr>
          <w:rFonts w:ascii="Times New Roman" w:hAnsi="Times New Roman" w:cs="Times New Roman"/>
          <w:sz w:val="24"/>
          <w:szCs w:val="24"/>
        </w:rPr>
        <w:t xml:space="preserve"> “moral hazard” on behalf of the agent.</w:t>
      </w:r>
      <w:r w:rsidR="00DF1FBA">
        <w:rPr>
          <w:rStyle w:val="FootnoteReference"/>
          <w:rFonts w:ascii="Times New Roman" w:hAnsi="Times New Roman" w:cs="Times New Roman"/>
          <w:sz w:val="24"/>
          <w:szCs w:val="24"/>
        </w:rPr>
        <w:footnoteReference w:id="16"/>
      </w:r>
    </w:p>
    <w:p w14:paraId="7126D59F" w14:textId="409ABC3A" w:rsidR="00DF1FBA" w:rsidRPr="00D03CD8" w:rsidRDefault="00DF1FBA" w:rsidP="00D03C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Whether at the state and local level or federal, maintaining alignment between the </w:t>
      </w:r>
      <w:r w:rsidR="00701776">
        <w:rPr>
          <w:rFonts w:ascii="Times New Roman" w:hAnsi="Times New Roman" w:cs="Times New Roman"/>
          <w:sz w:val="24"/>
          <w:szCs w:val="24"/>
        </w:rPr>
        <w:t>agent and principal has historically been accomplished through monitoring and sanctions.</w:t>
      </w:r>
      <w:r w:rsidR="00701776">
        <w:rPr>
          <w:rStyle w:val="FootnoteReference"/>
          <w:rFonts w:ascii="Times New Roman" w:hAnsi="Times New Roman" w:cs="Times New Roman"/>
          <w:sz w:val="24"/>
          <w:szCs w:val="24"/>
        </w:rPr>
        <w:footnoteReference w:id="17"/>
      </w:r>
      <w:r w:rsidR="00701776">
        <w:rPr>
          <w:rFonts w:ascii="Times New Roman" w:hAnsi="Times New Roman" w:cs="Times New Roman"/>
          <w:sz w:val="24"/>
          <w:szCs w:val="24"/>
        </w:rPr>
        <w:t xml:space="preserve">  Monitoring includes mechanisms for transparency and oversight to verify </w:t>
      </w:r>
      <w:r w:rsidR="00F81D97">
        <w:rPr>
          <w:rFonts w:ascii="Times New Roman" w:hAnsi="Times New Roman" w:cs="Times New Roman"/>
          <w:sz w:val="24"/>
          <w:szCs w:val="24"/>
        </w:rPr>
        <w:t xml:space="preserve">that </w:t>
      </w:r>
      <w:r w:rsidR="00701776">
        <w:rPr>
          <w:rFonts w:ascii="Times New Roman" w:hAnsi="Times New Roman" w:cs="Times New Roman"/>
          <w:sz w:val="24"/>
          <w:szCs w:val="24"/>
        </w:rPr>
        <w:t>the agent is acting within their scope of authority, whereas sanction</w:t>
      </w:r>
      <w:r w:rsidR="00F81D97">
        <w:rPr>
          <w:rFonts w:ascii="Times New Roman" w:hAnsi="Times New Roman" w:cs="Times New Roman"/>
          <w:sz w:val="24"/>
          <w:szCs w:val="24"/>
        </w:rPr>
        <w:t>s</w:t>
      </w:r>
      <w:r w:rsidR="00701776">
        <w:rPr>
          <w:rFonts w:ascii="Times New Roman" w:hAnsi="Times New Roman" w:cs="Times New Roman"/>
          <w:sz w:val="24"/>
          <w:szCs w:val="24"/>
        </w:rPr>
        <w:t xml:space="preserve"> </w:t>
      </w:r>
      <w:r w:rsidR="00F81D97">
        <w:rPr>
          <w:rFonts w:ascii="Times New Roman" w:hAnsi="Times New Roman" w:cs="Times New Roman"/>
          <w:sz w:val="24"/>
          <w:szCs w:val="24"/>
        </w:rPr>
        <w:t>are</w:t>
      </w:r>
      <w:r w:rsidR="00701776">
        <w:rPr>
          <w:rFonts w:ascii="Times New Roman" w:hAnsi="Times New Roman" w:cs="Times New Roman"/>
          <w:sz w:val="24"/>
          <w:szCs w:val="24"/>
        </w:rPr>
        <w:t xml:space="preserve"> a means of holding the agent accountable through punishment when that authority is exceeded.</w:t>
      </w:r>
      <w:r w:rsidR="00701776">
        <w:rPr>
          <w:rStyle w:val="FootnoteReference"/>
          <w:rFonts w:ascii="Times New Roman" w:hAnsi="Times New Roman" w:cs="Times New Roman"/>
          <w:sz w:val="24"/>
          <w:szCs w:val="24"/>
        </w:rPr>
        <w:footnoteReference w:id="18"/>
      </w:r>
      <w:r w:rsidR="00701776">
        <w:rPr>
          <w:rFonts w:ascii="Times New Roman" w:hAnsi="Times New Roman" w:cs="Times New Roman"/>
          <w:sz w:val="24"/>
          <w:szCs w:val="24"/>
        </w:rPr>
        <w:t xml:space="preserve">  The prohibition on contingency fees has historically relied on both monitoring and sanction</w:t>
      </w:r>
      <w:r w:rsidR="00F81D97">
        <w:rPr>
          <w:rFonts w:ascii="Times New Roman" w:hAnsi="Times New Roman" w:cs="Times New Roman"/>
          <w:sz w:val="24"/>
          <w:szCs w:val="24"/>
        </w:rPr>
        <w:t>s</w:t>
      </w:r>
      <w:r w:rsidR="00701776">
        <w:rPr>
          <w:rFonts w:ascii="Times New Roman" w:hAnsi="Times New Roman" w:cs="Times New Roman"/>
          <w:sz w:val="24"/>
          <w:szCs w:val="24"/>
        </w:rPr>
        <w:t xml:space="preserve"> </w:t>
      </w:r>
      <w:r w:rsidR="00563253">
        <w:rPr>
          <w:rFonts w:ascii="Times New Roman" w:hAnsi="Times New Roman" w:cs="Times New Roman"/>
          <w:sz w:val="24"/>
          <w:szCs w:val="24"/>
        </w:rPr>
        <w:t>in preventing the influence peddler from corrupting the principal-agent model of public procurement.</w:t>
      </w:r>
      <w:r w:rsidR="003F0B98">
        <w:rPr>
          <w:rFonts w:ascii="Times New Roman" w:hAnsi="Times New Roman" w:cs="Times New Roman"/>
          <w:sz w:val="24"/>
          <w:szCs w:val="24"/>
        </w:rPr>
        <w:t xml:space="preserve">  The next section will discuss how the effort to immunize the procurement system against influence peddling gave rise to the Covenant Against </w:t>
      </w:r>
      <w:r w:rsidR="00F81D97">
        <w:rPr>
          <w:rFonts w:ascii="Times New Roman" w:hAnsi="Times New Roman" w:cs="Times New Roman"/>
          <w:sz w:val="24"/>
          <w:szCs w:val="24"/>
        </w:rPr>
        <w:t>Contingent</w:t>
      </w:r>
      <w:r w:rsidR="003F0B98">
        <w:rPr>
          <w:rFonts w:ascii="Times New Roman" w:hAnsi="Times New Roman" w:cs="Times New Roman"/>
          <w:sz w:val="24"/>
          <w:szCs w:val="24"/>
        </w:rPr>
        <w:t xml:space="preserve"> Fees.</w:t>
      </w:r>
    </w:p>
    <w:p w14:paraId="6211C546" w14:textId="0A3A2784" w:rsidR="00A02068" w:rsidRPr="00A02068" w:rsidRDefault="003428B0" w:rsidP="00A02068">
      <w:pPr>
        <w:pStyle w:val="Heading2"/>
      </w:pPr>
      <w:bookmarkStart w:id="5" w:name="_Toc153485960"/>
      <w:r w:rsidRPr="00A3353B">
        <w:t>Historical Origins of the Covenant Against Contingent Fees</w:t>
      </w:r>
      <w:bookmarkEnd w:id="5"/>
    </w:p>
    <w:p w14:paraId="211B9FA8" w14:textId="0B33C887" w:rsidR="003428B0" w:rsidRDefault="000D6392" w:rsidP="003428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with many </w:t>
      </w:r>
      <w:r w:rsidR="007B561A">
        <w:rPr>
          <w:rFonts w:ascii="Times New Roman" w:hAnsi="Times New Roman" w:cs="Times New Roman"/>
          <w:sz w:val="24"/>
          <w:szCs w:val="24"/>
        </w:rPr>
        <w:t xml:space="preserve">corruption issues involving public procurement law in the United States, </w:t>
      </w:r>
      <w:r w:rsidR="004C0C5D">
        <w:rPr>
          <w:rFonts w:ascii="Times New Roman" w:hAnsi="Times New Roman" w:cs="Times New Roman"/>
          <w:sz w:val="24"/>
          <w:szCs w:val="24"/>
        </w:rPr>
        <w:t xml:space="preserve">the origins of the Covenant against Contingent Fees </w:t>
      </w:r>
      <w:r w:rsidR="009D46E4">
        <w:rPr>
          <w:rFonts w:ascii="Times New Roman" w:hAnsi="Times New Roman" w:cs="Times New Roman"/>
          <w:sz w:val="24"/>
          <w:szCs w:val="24"/>
        </w:rPr>
        <w:t>date to the Civil War.</w:t>
      </w:r>
      <w:r w:rsidR="00722839">
        <w:rPr>
          <w:rFonts w:ascii="Times New Roman" w:hAnsi="Times New Roman" w:cs="Times New Roman"/>
          <w:sz w:val="24"/>
          <w:szCs w:val="24"/>
        </w:rPr>
        <w:t xml:space="preserve">  In 1961, </w:t>
      </w:r>
      <w:r w:rsidR="000957DD">
        <w:rPr>
          <w:rFonts w:ascii="Times New Roman" w:hAnsi="Times New Roman" w:cs="Times New Roman"/>
          <w:sz w:val="24"/>
          <w:szCs w:val="24"/>
        </w:rPr>
        <w:t xml:space="preserve">Mr. Norris, </w:t>
      </w:r>
      <w:r w:rsidR="00161F27">
        <w:rPr>
          <w:rFonts w:ascii="Times New Roman" w:hAnsi="Times New Roman" w:cs="Times New Roman"/>
          <w:sz w:val="24"/>
          <w:szCs w:val="24"/>
        </w:rPr>
        <w:t>a man “who had led a somewhat miscellaneous sort of life</w:t>
      </w:r>
      <w:r w:rsidR="00CC1B20">
        <w:rPr>
          <w:rFonts w:ascii="Times New Roman" w:hAnsi="Times New Roman" w:cs="Times New Roman"/>
          <w:sz w:val="24"/>
          <w:szCs w:val="24"/>
        </w:rPr>
        <w:t>,</w:t>
      </w:r>
      <w:r w:rsidR="00161F27">
        <w:rPr>
          <w:rFonts w:ascii="Times New Roman" w:hAnsi="Times New Roman" w:cs="Times New Roman"/>
          <w:sz w:val="24"/>
          <w:szCs w:val="24"/>
        </w:rPr>
        <w:t>”</w:t>
      </w:r>
      <w:r w:rsidR="00CC1B20">
        <w:rPr>
          <w:rFonts w:ascii="Times New Roman" w:hAnsi="Times New Roman" w:cs="Times New Roman"/>
          <w:sz w:val="24"/>
          <w:szCs w:val="24"/>
        </w:rPr>
        <w:t xml:space="preserve"> arrived in wartime Washington</w:t>
      </w:r>
      <w:r w:rsidR="00942A69">
        <w:rPr>
          <w:rFonts w:ascii="Times New Roman" w:hAnsi="Times New Roman" w:cs="Times New Roman"/>
          <w:sz w:val="24"/>
          <w:szCs w:val="24"/>
        </w:rPr>
        <w:t xml:space="preserve"> “with a view of making business – anything generally.”</w:t>
      </w:r>
      <w:r w:rsidR="00942A69">
        <w:rPr>
          <w:rStyle w:val="FootnoteReference"/>
          <w:rFonts w:ascii="Times New Roman" w:hAnsi="Times New Roman" w:cs="Times New Roman"/>
          <w:sz w:val="24"/>
          <w:szCs w:val="24"/>
        </w:rPr>
        <w:footnoteReference w:id="19"/>
      </w:r>
      <w:r w:rsidR="00867238">
        <w:rPr>
          <w:rFonts w:ascii="Times New Roman" w:hAnsi="Times New Roman" w:cs="Times New Roman"/>
          <w:sz w:val="24"/>
          <w:szCs w:val="24"/>
        </w:rPr>
        <w:t xml:space="preserve">  This was the first true industrial </w:t>
      </w:r>
      <w:r w:rsidR="007E647C">
        <w:rPr>
          <w:rFonts w:ascii="Times New Roman" w:hAnsi="Times New Roman" w:cs="Times New Roman"/>
          <w:sz w:val="24"/>
          <w:szCs w:val="24"/>
        </w:rPr>
        <w:t xml:space="preserve">war, and public procurement dollars </w:t>
      </w:r>
      <w:r w:rsidR="002C3B4D">
        <w:rPr>
          <w:rFonts w:ascii="Times New Roman" w:hAnsi="Times New Roman" w:cs="Times New Roman"/>
          <w:sz w:val="24"/>
          <w:szCs w:val="24"/>
        </w:rPr>
        <w:t>were streaming out of the national capital</w:t>
      </w:r>
      <w:r w:rsidR="00554165">
        <w:rPr>
          <w:rFonts w:ascii="Times New Roman" w:hAnsi="Times New Roman" w:cs="Times New Roman"/>
          <w:sz w:val="24"/>
          <w:szCs w:val="24"/>
        </w:rPr>
        <w:t xml:space="preserve"> </w:t>
      </w:r>
      <w:r w:rsidR="001E2DDE">
        <w:rPr>
          <w:rFonts w:ascii="Times New Roman" w:hAnsi="Times New Roman" w:cs="Times New Roman"/>
          <w:sz w:val="24"/>
          <w:szCs w:val="24"/>
        </w:rPr>
        <w:t>on an unprecedented scale</w:t>
      </w:r>
      <w:r w:rsidR="005D03BC">
        <w:rPr>
          <w:rFonts w:ascii="Times New Roman" w:hAnsi="Times New Roman" w:cs="Times New Roman"/>
          <w:sz w:val="24"/>
          <w:szCs w:val="24"/>
        </w:rPr>
        <w:t>.</w:t>
      </w:r>
      <w:r w:rsidR="005D03BC">
        <w:rPr>
          <w:rStyle w:val="FootnoteReference"/>
          <w:rFonts w:ascii="Times New Roman" w:hAnsi="Times New Roman" w:cs="Times New Roman"/>
          <w:sz w:val="24"/>
          <w:szCs w:val="24"/>
        </w:rPr>
        <w:footnoteReference w:id="20"/>
      </w:r>
      <w:r w:rsidR="00593509">
        <w:rPr>
          <w:rFonts w:ascii="Times New Roman" w:hAnsi="Times New Roman" w:cs="Times New Roman"/>
          <w:sz w:val="24"/>
          <w:szCs w:val="24"/>
        </w:rPr>
        <w:t xml:space="preserve">  </w:t>
      </w:r>
      <w:r w:rsidR="00593509">
        <w:rPr>
          <w:rFonts w:ascii="Times New Roman" w:hAnsi="Times New Roman" w:cs="Times New Roman"/>
          <w:sz w:val="24"/>
          <w:szCs w:val="24"/>
        </w:rPr>
        <w:lastRenderedPageBreak/>
        <w:t xml:space="preserve">Norris arrived in </w:t>
      </w:r>
      <w:r w:rsidR="00886B22">
        <w:rPr>
          <w:rFonts w:ascii="Times New Roman" w:hAnsi="Times New Roman" w:cs="Times New Roman"/>
          <w:sz w:val="24"/>
          <w:szCs w:val="24"/>
        </w:rPr>
        <w:t xml:space="preserve">Washington hoping to </w:t>
      </w:r>
      <w:r w:rsidR="0044205F">
        <w:rPr>
          <w:rFonts w:ascii="Times New Roman" w:hAnsi="Times New Roman" w:cs="Times New Roman"/>
          <w:sz w:val="24"/>
          <w:szCs w:val="24"/>
        </w:rPr>
        <w:t>profit</w:t>
      </w:r>
      <w:r w:rsidR="00886B22">
        <w:rPr>
          <w:rFonts w:ascii="Times New Roman" w:hAnsi="Times New Roman" w:cs="Times New Roman"/>
          <w:sz w:val="24"/>
          <w:szCs w:val="24"/>
        </w:rPr>
        <w:t xml:space="preserve">, despite the apparent lack of any </w:t>
      </w:r>
      <w:proofErr w:type="gramStart"/>
      <w:r w:rsidR="00886B22">
        <w:rPr>
          <w:rFonts w:ascii="Times New Roman" w:hAnsi="Times New Roman" w:cs="Times New Roman"/>
          <w:sz w:val="24"/>
          <w:szCs w:val="24"/>
        </w:rPr>
        <w:t>particular expertise</w:t>
      </w:r>
      <w:proofErr w:type="gramEnd"/>
      <w:r w:rsidR="00886B22">
        <w:rPr>
          <w:rFonts w:ascii="Times New Roman" w:hAnsi="Times New Roman" w:cs="Times New Roman"/>
          <w:sz w:val="24"/>
          <w:szCs w:val="24"/>
        </w:rPr>
        <w:t>.</w:t>
      </w:r>
    </w:p>
    <w:p w14:paraId="34CC19BF" w14:textId="22E54F39" w:rsidR="00886B22" w:rsidRDefault="00F81D97" w:rsidP="003428B0">
      <w:pPr>
        <w:spacing w:line="480" w:lineRule="auto"/>
        <w:ind w:firstLine="720"/>
        <w:rPr>
          <w:rFonts w:ascii="Times New Roman" w:hAnsi="Times New Roman" w:cs="Times New Roman"/>
          <w:sz w:val="24"/>
          <w:szCs w:val="24"/>
        </w:rPr>
      </w:pPr>
      <w:r>
        <w:rPr>
          <w:rFonts w:ascii="Times New Roman" w:hAnsi="Times New Roman" w:cs="Times New Roman"/>
          <w:sz w:val="24"/>
          <w:szCs w:val="24"/>
        </w:rPr>
        <w:t>He</w:t>
      </w:r>
      <w:r w:rsidR="00446107">
        <w:rPr>
          <w:rFonts w:ascii="Times New Roman" w:hAnsi="Times New Roman" w:cs="Times New Roman"/>
          <w:sz w:val="24"/>
          <w:szCs w:val="24"/>
        </w:rPr>
        <w:t xml:space="preserve"> </w:t>
      </w:r>
      <w:r w:rsidR="001D5902">
        <w:rPr>
          <w:rFonts w:ascii="Times New Roman" w:hAnsi="Times New Roman" w:cs="Times New Roman"/>
          <w:sz w:val="24"/>
          <w:szCs w:val="24"/>
        </w:rPr>
        <w:t>entered</w:t>
      </w:r>
      <w:r w:rsidR="00446107">
        <w:rPr>
          <w:rFonts w:ascii="Times New Roman" w:hAnsi="Times New Roman" w:cs="Times New Roman"/>
          <w:sz w:val="24"/>
          <w:szCs w:val="24"/>
        </w:rPr>
        <w:t xml:space="preserve"> into a</w:t>
      </w:r>
      <w:r w:rsidR="00AE4150">
        <w:rPr>
          <w:rFonts w:ascii="Times New Roman" w:hAnsi="Times New Roman" w:cs="Times New Roman"/>
          <w:sz w:val="24"/>
          <w:szCs w:val="24"/>
        </w:rPr>
        <w:t>n</w:t>
      </w:r>
      <w:r w:rsidR="00446107">
        <w:rPr>
          <w:rFonts w:ascii="Times New Roman" w:hAnsi="Times New Roman" w:cs="Times New Roman"/>
          <w:sz w:val="24"/>
          <w:szCs w:val="24"/>
        </w:rPr>
        <w:t xml:space="preserve"> </w:t>
      </w:r>
      <w:r w:rsidR="00FF1521">
        <w:rPr>
          <w:rFonts w:ascii="Times New Roman" w:hAnsi="Times New Roman" w:cs="Times New Roman"/>
          <w:sz w:val="24"/>
          <w:szCs w:val="24"/>
        </w:rPr>
        <w:t>agreement</w:t>
      </w:r>
      <w:r w:rsidR="00446107">
        <w:rPr>
          <w:rFonts w:ascii="Times New Roman" w:hAnsi="Times New Roman" w:cs="Times New Roman"/>
          <w:sz w:val="24"/>
          <w:szCs w:val="24"/>
        </w:rPr>
        <w:t xml:space="preserve"> with </w:t>
      </w:r>
      <w:r w:rsidR="00887998">
        <w:rPr>
          <w:rFonts w:ascii="Times New Roman" w:hAnsi="Times New Roman" w:cs="Times New Roman"/>
          <w:sz w:val="24"/>
          <w:szCs w:val="24"/>
        </w:rPr>
        <w:t>the Providence Tool Company</w:t>
      </w:r>
      <w:r w:rsidR="00D75B4B">
        <w:rPr>
          <w:rFonts w:ascii="Times New Roman" w:hAnsi="Times New Roman" w:cs="Times New Roman"/>
          <w:sz w:val="24"/>
          <w:szCs w:val="24"/>
        </w:rPr>
        <w:t xml:space="preserve"> tasked with securing </w:t>
      </w:r>
      <w:r w:rsidR="00FF1521">
        <w:rPr>
          <w:rFonts w:ascii="Times New Roman" w:hAnsi="Times New Roman" w:cs="Times New Roman"/>
          <w:sz w:val="24"/>
          <w:szCs w:val="24"/>
        </w:rPr>
        <w:t xml:space="preserve">a government contract to supply arms to the Union.  </w:t>
      </w:r>
      <w:r w:rsidR="00AE4150">
        <w:rPr>
          <w:rFonts w:ascii="Times New Roman" w:hAnsi="Times New Roman" w:cs="Times New Roman"/>
          <w:sz w:val="24"/>
          <w:szCs w:val="24"/>
        </w:rPr>
        <w:t xml:space="preserve">For compensation, </w:t>
      </w:r>
      <w:r w:rsidR="007C06DA">
        <w:rPr>
          <w:rFonts w:ascii="Times New Roman" w:hAnsi="Times New Roman" w:cs="Times New Roman"/>
          <w:sz w:val="24"/>
          <w:szCs w:val="24"/>
        </w:rPr>
        <w:t>Norris</w:t>
      </w:r>
      <w:r w:rsidR="00AE4150">
        <w:rPr>
          <w:rFonts w:ascii="Times New Roman" w:hAnsi="Times New Roman" w:cs="Times New Roman"/>
          <w:sz w:val="24"/>
          <w:szCs w:val="24"/>
        </w:rPr>
        <w:t xml:space="preserve"> would receive anything</w:t>
      </w:r>
      <w:r w:rsidR="00DB220A">
        <w:rPr>
          <w:rFonts w:ascii="Times New Roman" w:hAnsi="Times New Roman" w:cs="Times New Roman"/>
          <w:sz w:val="24"/>
          <w:szCs w:val="24"/>
        </w:rPr>
        <w:t xml:space="preserve"> the government paid</w:t>
      </w:r>
      <w:r w:rsidR="00AE4150">
        <w:rPr>
          <w:rFonts w:ascii="Times New Roman" w:hAnsi="Times New Roman" w:cs="Times New Roman"/>
          <w:sz w:val="24"/>
          <w:szCs w:val="24"/>
        </w:rPr>
        <w:t xml:space="preserve"> </w:t>
      </w:r>
      <w:r w:rsidR="00AB7666">
        <w:rPr>
          <w:rFonts w:ascii="Times New Roman" w:hAnsi="Times New Roman" w:cs="Times New Roman"/>
          <w:sz w:val="24"/>
          <w:szCs w:val="24"/>
        </w:rPr>
        <w:t>in excess of</w:t>
      </w:r>
      <w:r w:rsidR="00AE4150">
        <w:rPr>
          <w:rFonts w:ascii="Times New Roman" w:hAnsi="Times New Roman" w:cs="Times New Roman"/>
          <w:sz w:val="24"/>
          <w:szCs w:val="24"/>
        </w:rPr>
        <w:t xml:space="preserve"> seventeen dollars</w:t>
      </w:r>
      <w:r w:rsidR="008A58E2">
        <w:rPr>
          <w:rFonts w:ascii="Times New Roman" w:hAnsi="Times New Roman" w:cs="Times New Roman"/>
          <w:sz w:val="24"/>
          <w:szCs w:val="24"/>
        </w:rPr>
        <w:t xml:space="preserve"> per rifle.</w:t>
      </w:r>
      <w:r w:rsidR="00F9161A">
        <w:rPr>
          <w:rFonts w:ascii="Times New Roman" w:hAnsi="Times New Roman" w:cs="Times New Roman"/>
          <w:sz w:val="24"/>
          <w:szCs w:val="24"/>
        </w:rPr>
        <w:t xml:space="preserve">  </w:t>
      </w:r>
      <w:r w:rsidR="00BD42E1">
        <w:rPr>
          <w:rFonts w:ascii="Times New Roman" w:hAnsi="Times New Roman" w:cs="Times New Roman"/>
          <w:sz w:val="24"/>
          <w:szCs w:val="24"/>
        </w:rPr>
        <w:t>He then “set himself to work…concentrating influence</w:t>
      </w:r>
      <w:r w:rsidR="00E232B5">
        <w:rPr>
          <w:rFonts w:ascii="Times New Roman" w:hAnsi="Times New Roman" w:cs="Times New Roman"/>
          <w:sz w:val="24"/>
          <w:szCs w:val="24"/>
        </w:rPr>
        <w:t>” at the Secretary of War and Senators Anthony and Simmons from Rhode Island.</w:t>
      </w:r>
      <w:r w:rsidR="00FE1CEC">
        <w:rPr>
          <w:rFonts w:ascii="Times New Roman" w:hAnsi="Times New Roman" w:cs="Times New Roman"/>
          <w:sz w:val="24"/>
          <w:szCs w:val="24"/>
        </w:rPr>
        <w:t xml:space="preserve">  </w:t>
      </w:r>
      <w:r w:rsidR="004A52EB">
        <w:rPr>
          <w:rFonts w:ascii="Times New Roman" w:hAnsi="Times New Roman" w:cs="Times New Roman"/>
          <w:sz w:val="24"/>
          <w:szCs w:val="24"/>
        </w:rPr>
        <w:t xml:space="preserve">Senator Anthony </w:t>
      </w:r>
      <w:r w:rsidR="00D0261E">
        <w:rPr>
          <w:rFonts w:ascii="Times New Roman" w:hAnsi="Times New Roman" w:cs="Times New Roman"/>
          <w:sz w:val="24"/>
          <w:szCs w:val="24"/>
        </w:rPr>
        <w:t>immediately demurred, finding</w:t>
      </w:r>
      <w:r w:rsidR="007C06DA">
        <w:rPr>
          <w:rFonts w:ascii="Times New Roman" w:hAnsi="Times New Roman" w:cs="Times New Roman"/>
          <w:sz w:val="24"/>
          <w:szCs w:val="24"/>
        </w:rPr>
        <w:t xml:space="preserve"> </w:t>
      </w:r>
      <w:r w:rsidR="002B4A51">
        <w:rPr>
          <w:rFonts w:ascii="Times New Roman" w:hAnsi="Times New Roman" w:cs="Times New Roman"/>
          <w:sz w:val="24"/>
          <w:szCs w:val="24"/>
        </w:rPr>
        <w:t>Norris</w:t>
      </w:r>
      <w:r w:rsidR="007C06DA">
        <w:rPr>
          <w:rFonts w:ascii="Times New Roman" w:hAnsi="Times New Roman" w:cs="Times New Roman"/>
          <w:sz w:val="24"/>
          <w:szCs w:val="24"/>
        </w:rPr>
        <w:t>’</w:t>
      </w:r>
      <w:r w:rsidR="002B4A51">
        <w:rPr>
          <w:rFonts w:ascii="Times New Roman" w:hAnsi="Times New Roman" w:cs="Times New Roman"/>
          <w:sz w:val="24"/>
          <w:szCs w:val="24"/>
        </w:rPr>
        <w:t xml:space="preserve"> overture “discreditable,”</w:t>
      </w:r>
      <w:r w:rsidR="00526D6E">
        <w:rPr>
          <w:rFonts w:ascii="Times New Roman" w:hAnsi="Times New Roman" w:cs="Times New Roman"/>
          <w:sz w:val="24"/>
          <w:szCs w:val="24"/>
        </w:rPr>
        <w:t xml:space="preserve"> while </w:t>
      </w:r>
      <w:r w:rsidR="00C61D02">
        <w:rPr>
          <w:rFonts w:ascii="Times New Roman" w:hAnsi="Times New Roman" w:cs="Times New Roman"/>
          <w:sz w:val="24"/>
          <w:szCs w:val="24"/>
        </w:rPr>
        <w:t xml:space="preserve">Senator </w:t>
      </w:r>
      <w:r w:rsidR="00526D6E">
        <w:rPr>
          <w:rFonts w:ascii="Times New Roman" w:hAnsi="Times New Roman" w:cs="Times New Roman"/>
          <w:sz w:val="24"/>
          <w:szCs w:val="24"/>
        </w:rPr>
        <w:t>Si</w:t>
      </w:r>
      <w:r w:rsidR="00C61D02">
        <w:rPr>
          <w:rFonts w:ascii="Times New Roman" w:hAnsi="Times New Roman" w:cs="Times New Roman"/>
          <w:sz w:val="24"/>
          <w:szCs w:val="24"/>
        </w:rPr>
        <w:t xml:space="preserve">mmons </w:t>
      </w:r>
      <w:r w:rsidR="007C06DA">
        <w:rPr>
          <w:rFonts w:ascii="Times New Roman" w:hAnsi="Times New Roman" w:cs="Times New Roman"/>
          <w:sz w:val="24"/>
          <w:szCs w:val="24"/>
        </w:rPr>
        <w:t xml:space="preserve">offered only a note of introduction to the Secretary.  </w:t>
      </w:r>
      <w:r w:rsidR="001519AF">
        <w:rPr>
          <w:rFonts w:ascii="Times New Roman" w:hAnsi="Times New Roman" w:cs="Times New Roman"/>
          <w:sz w:val="24"/>
          <w:szCs w:val="24"/>
        </w:rPr>
        <w:t>Norris protested, stating</w:t>
      </w:r>
      <w:r w:rsidR="00092CEF">
        <w:rPr>
          <w:rFonts w:ascii="Times New Roman" w:hAnsi="Times New Roman" w:cs="Times New Roman"/>
          <w:sz w:val="24"/>
          <w:szCs w:val="24"/>
        </w:rPr>
        <w:t xml:space="preserve"> “you will certainly not decline to go with me…and state that the Providence Tool Company is a responsible corporation….I </w:t>
      </w:r>
      <w:r w:rsidR="00D83F9F">
        <w:rPr>
          <w:rFonts w:ascii="Times New Roman" w:hAnsi="Times New Roman" w:cs="Times New Roman"/>
          <w:sz w:val="24"/>
          <w:szCs w:val="24"/>
        </w:rPr>
        <w:t xml:space="preserve">want the weight of your </w:t>
      </w:r>
      <w:r w:rsidR="00D83F9F">
        <w:rPr>
          <w:rFonts w:ascii="Times New Roman" w:hAnsi="Times New Roman" w:cs="Times New Roman"/>
          <w:i/>
          <w:iCs/>
          <w:sz w:val="24"/>
          <w:szCs w:val="24"/>
        </w:rPr>
        <w:t xml:space="preserve">presence </w:t>
      </w:r>
      <w:r w:rsidR="00D83F9F">
        <w:rPr>
          <w:rFonts w:ascii="Times New Roman" w:hAnsi="Times New Roman" w:cs="Times New Roman"/>
          <w:sz w:val="24"/>
          <w:szCs w:val="24"/>
        </w:rPr>
        <w:t xml:space="preserve">with me.  </w:t>
      </w:r>
      <w:r w:rsidR="00D83F9F">
        <w:rPr>
          <w:rFonts w:ascii="Times New Roman" w:hAnsi="Times New Roman" w:cs="Times New Roman"/>
          <w:i/>
          <w:iCs/>
          <w:sz w:val="24"/>
          <w:szCs w:val="24"/>
        </w:rPr>
        <w:t>I want the influence of a Senator.</w:t>
      </w:r>
      <w:r w:rsidR="00D83F9F">
        <w:rPr>
          <w:rFonts w:ascii="Times New Roman" w:hAnsi="Times New Roman" w:cs="Times New Roman"/>
          <w:sz w:val="24"/>
          <w:szCs w:val="24"/>
        </w:rPr>
        <w:t>”</w:t>
      </w:r>
      <w:r w:rsidR="00D83F9F">
        <w:rPr>
          <w:rStyle w:val="FootnoteReference"/>
          <w:rFonts w:ascii="Times New Roman" w:hAnsi="Times New Roman" w:cs="Times New Roman"/>
          <w:sz w:val="24"/>
          <w:szCs w:val="24"/>
        </w:rPr>
        <w:footnoteReference w:id="21"/>
      </w:r>
      <w:r w:rsidR="007670FF">
        <w:rPr>
          <w:rFonts w:ascii="Times New Roman" w:hAnsi="Times New Roman" w:cs="Times New Roman"/>
          <w:sz w:val="24"/>
          <w:szCs w:val="24"/>
        </w:rPr>
        <w:t xml:space="preserve">  </w:t>
      </w:r>
      <w:r w:rsidR="003141A7">
        <w:rPr>
          <w:rFonts w:ascii="Times New Roman" w:hAnsi="Times New Roman" w:cs="Times New Roman"/>
          <w:sz w:val="24"/>
          <w:szCs w:val="24"/>
        </w:rPr>
        <w:t xml:space="preserve">The effort was successful, and at the contract price of twenty dollars per rifle, Norris stood to make </w:t>
      </w:r>
      <w:r w:rsidR="003B5A17">
        <w:rPr>
          <w:rFonts w:ascii="Times New Roman" w:hAnsi="Times New Roman" w:cs="Times New Roman"/>
          <w:sz w:val="24"/>
          <w:szCs w:val="24"/>
        </w:rPr>
        <w:t>$75,000</w:t>
      </w:r>
      <w:r w:rsidR="00C11972">
        <w:rPr>
          <w:rFonts w:ascii="Times New Roman" w:hAnsi="Times New Roman" w:cs="Times New Roman"/>
          <w:sz w:val="24"/>
          <w:szCs w:val="24"/>
        </w:rPr>
        <w:t xml:space="preserve"> (worth approximately $2.6 million today).</w:t>
      </w:r>
    </w:p>
    <w:p w14:paraId="6626A633" w14:textId="12B8F5C9" w:rsidR="00C11972" w:rsidRDefault="00C52451" w:rsidP="003428B0">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modern standards</w:t>
      </w:r>
      <w:r w:rsidR="00F81D97">
        <w:rPr>
          <w:rFonts w:ascii="Times New Roman" w:hAnsi="Times New Roman" w:cs="Times New Roman"/>
          <w:sz w:val="24"/>
          <w:szCs w:val="24"/>
        </w:rPr>
        <w:t>,</w:t>
      </w:r>
      <w:r>
        <w:rPr>
          <w:rFonts w:ascii="Times New Roman" w:hAnsi="Times New Roman" w:cs="Times New Roman"/>
          <w:sz w:val="24"/>
          <w:szCs w:val="24"/>
        </w:rPr>
        <w:t xml:space="preserve"> </w:t>
      </w:r>
      <w:r w:rsidR="00960AD1">
        <w:rPr>
          <w:rFonts w:ascii="Times New Roman" w:hAnsi="Times New Roman" w:cs="Times New Roman"/>
          <w:sz w:val="24"/>
          <w:szCs w:val="24"/>
        </w:rPr>
        <w:t>Norris</w:t>
      </w:r>
      <w:r w:rsidR="00F81D97">
        <w:rPr>
          <w:rFonts w:ascii="Times New Roman" w:hAnsi="Times New Roman" w:cs="Times New Roman"/>
          <w:sz w:val="24"/>
          <w:szCs w:val="24"/>
        </w:rPr>
        <w:t xml:space="preserve"> possessed only meager influence to peddle</w:t>
      </w:r>
      <w:r w:rsidR="007D23AF">
        <w:rPr>
          <w:rFonts w:ascii="Times New Roman" w:hAnsi="Times New Roman" w:cs="Times New Roman"/>
          <w:sz w:val="24"/>
          <w:szCs w:val="24"/>
        </w:rPr>
        <w:t>, yet</w:t>
      </w:r>
      <w:r w:rsidR="00F34488">
        <w:rPr>
          <w:rFonts w:ascii="Times New Roman" w:hAnsi="Times New Roman" w:cs="Times New Roman"/>
          <w:sz w:val="24"/>
          <w:szCs w:val="24"/>
        </w:rPr>
        <w:t xml:space="preserve"> he </w:t>
      </w:r>
      <w:r w:rsidR="00F255DC">
        <w:rPr>
          <w:rFonts w:ascii="Times New Roman" w:hAnsi="Times New Roman" w:cs="Times New Roman"/>
          <w:sz w:val="24"/>
          <w:szCs w:val="24"/>
        </w:rPr>
        <w:t>drew the Supreme Court’s ire when he sought</w:t>
      </w:r>
      <w:r w:rsidR="00F34488">
        <w:rPr>
          <w:rFonts w:ascii="Times New Roman" w:hAnsi="Times New Roman" w:cs="Times New Roman"/>
          <w:sz w:val="24"/>
          <w:szCs w:val="24"/>
        </w:rPr>
        <w:t xml:space="preserve"> to enforce his contract with Providence Tool</w:t>
      </w:r>
      <w:r w:rsidR="00F255DC">
        <w:rPr>
          <w:rFonts w:ascii="Times New Roman" w:hAnsi="Times New Roman" w:cs="Times New Roman"/>
          <w:sz w:val="24"/>
          <w:szCs w:val="24"/>
        </w:rPr>
        <w:t xml:space="preserve">.  </w:t>
      </w:r>
      <w:r w:rsidR="002F607A">
        <w:rPr>
          <w:rFonts w:ascii="Times New Roman" w:hAnsi="Times New Roman" w:cs="Times New Roman"/>
          <w:sz w:val="24"/>
          <w:szCs w:val="24"/>
        </w:rPr>
        <w:t>Writing for the court, Justice Stephen Field</w:t>
      </w:r>
      <w:r w:rsidR="0082732C">
        <w:rPr>
          <w:rFonts w:ascii="Times New Roman" w:hAnsi="Times New Roman" w:cs="Times New Roman"/>
          <w:sz w:val="24"/>
          <w:szCs w:val="24"/>
        </w:rPr>
        <w:t xml:space="preserve"> struck the agreement as invalid on policy grounds, noting that the use of </w:t>
      </w:r>
      <w:r w:rsidR="00380A0F">
        <w:rPr>
          <w:rFonts w:ascii="Times New Roman" w:hAnsi="Times New Roman" w:cs="Times New Roman"/>
          <w:sz w:val="24"/>
          <w:szCs w:val="24"/>
        </w:rPr>
        <w:t>a contingent fee “suggest[s] the use of sinister and corrupt means”</w:t>
      </w:r>
      <w:r w:rsidR="00161B5E">
        <w:rPr>
          <w:rFonts w:ascii="Times New Roman" w:hAnsi="Times New Roman" w:cs="Times New Roman"/>
          <w:sz w:val="24"/>
          <w:szCs w:val="24"/>
        </w:rPr>
        <w:t xml:space="preserve"> </w:t>
      </w:r>
      <w:r w:rsidR="003D5AE9">
        <w:rPr>
          <w:rFonts w:ascii="Times New Roman" w:hAnsi="Times New Roman" w:cs="Times New Roman"/>
          <w:sz w:val="24"/>
          <w:szCs w:val="24"/>
        </w:rPr>
        <w:t>to seek influence, regardless of whether “improper influences were contemplated or used.”</w:t>
      </w:r>
      <w:r w:rsidR="00807E8A">
        <w:rPr>
          <w:rStyle w:val="FootnoteReference"/>
          <w:rFonts w:ascii="Times New Roman" w:hAnsi="Times New Roman" w:cs="Times New Roman"/>
          <w:sz w:val="24"/>
          <w:szCs w:val="24"/>
        </w:rPr>
        <w:footnoteReference w:id="22"/>
      </w:r>
      <w:r w:rsidR="00807E8A">
        <w:rPr>
          <w:rFonts w:ascii="Times New Roman" w:hAnsi="Times New Roman" w:cs="Times New Roman"/>
          <w:sz w:val="24"/>
          <w:szCs w:val="24"/>
        </w:rPr>
        <w:t xml:space="preserve">  </w:t>
      </w:r>
      <w:r w:rsidR="00E27040">
        <w:rPr>
          <w:rFonts w:ascii="Times New Roman" w:hAnsi="Times New Roman" w:cs="Times New Roman"/>
          <w:sz w:val="24"/>
          <w:szCs w:val="24"/>
        </w:rPr>
        <w:t>Going further</w:t>
      </w:r>
      <w:r w:rsidR="00B1574B">
        <w:rPr>
          <w:rFonts w:ascii="Times New Roman" w:hAnsi="Times New Roman" w:cs="Times New Roman"/>
          <w:sz w:val="24"/>
          <w:szCs w:val="24"/>
        </w:rPr>
        <w:t xml:space="preserve"> in dicta</w:t>
      </w:r>
      <w:r w:rsidR="00E27040">
        <w:rPr>
          <w:rFonts w:ascii="Times New Roman" w:hAnsi="Times New Roman" w:cs="Times New Roman"/>
          <w:sz w:val="24"/>
          <w:szCs w:val="24"/>
        </w:rPr>
        <w:t xml:space="preserve">, the court </w:t>
      </w:r>
      <w:r w:rsidR="00B1574B">
        <w:rPr>
          <w:rFonts w:ascii="Times New Roman" w:hAnsi="Times New Roman" w:cs="Times New Roman"/>
          <w:sz w:val="24"/>
          <w:szCs w:val="24"/>
        </w:rPr>
        <w:t>added</w:t>
      </w:r>
      <w:r w:rsidR="00E27040">
        <w:rPr>
          <w:rFonts w:ascii="Times New Roman" w:hAnsi="Times New Roman" w:cs="Times New Roman"/>
          <w:sz w:val="24"/>
          <w:szCs w:val="24"/>
        </w:rPr>
        <w:t xml:space="preserve"> that the</w:t>
      </w:r>
      <w:r w:rsidR="00307E3E">
        <w:rPr>
          <w:rFonts w:ascii="Times New Roman" w:hAnsi="Times New Roman" w:cs="Times New Roman"/>
          <w:sz w:val="24"/>
          <w:szCs w:val="24"/>
        </w:rPr>
        <w:t xml:space="preserve"> “evil tendencies of an agreement to procure favor” </w:t>
      </w:r>
      <w:r w:rsidR="00562503">
        <w:rPr>
          <w:rFonts w:ascii="Times New Roman" w:hAnsi="Times New Roman" w:cs="Times New Roman"/>
          <w:sz w:val="24"/>
          <w:szCs w:val="24"/>
        </w:rPr>
        <w:t xml:space="preserve">exist </w:t>
      </w:r>
      <w:r w:rsidR="00B1574B">
        <w:rPr>
          <w:rFonts w:ascii="Times New Roman" w:hAnsi="Times New Roman" w:cs="Times New Roman"/>
          <w:sz w:val="24"/>
          <w:szCs w:val="24"/>
        </w:rPr>
        <w:t>in the absence of a</w:t>
      </w:r>
      <w:r w:rsidR="00562503">
        <w:rPr>
          <w:rFonts w:ascii="Times New Roman" w:hAnsi="Times New Roman" w:cs="Times New Roman"/>
          <w:sz w:val="24"/>
          <w:szCs w:val="24"/>
        </w:rPr>
        <w:t xml:space="preserve"> contingent fee arrangement</w:t>
      </w:r>
      <w:r w:rsidR="00B1574B">
        <w:rPr>
          <w:rFonts w:ascii="Times New Roman" w:hAnsi="Times New Roman" w:cs="Times New Roman"/>
          <w:sz w:val="24"/>
          <w:szCs w:val="24"/>
        </w:rPr>
        <w:t>,</w:t>
      </w:r>
      <w:r w:rsidR="006108E4">
        <w:rPr>
          <w:rFonts w:ascii="Times New Roman" w:hAnsi="Times New Roman" w:cs="Times New Roman"/>
          <w:sz w:val="24"/>
          <w:szCs w:val="24"/>
        </w:rPr>
        <w:t xml:space="preserve"> as</w:t>
      </w:r>
      <w:r w:rsidR="00590A78">
        <w:rPr>
          <w:rFonts w:ascii="Times New Roman" w:hAnsi="Times New Roman" w:cs="Times New Roman"/>
          <w:sz w:val="24"/>
          <w:szCs w:val="24"/>
        </w:rPr>
        <w:t xml:space="preserve"> influence peddling “directly lead[s] to the inefficiency </w:t>
      </w:r>
      <w:r w:rsidR="001B2625">
        <w:rPr>
          <w:rFonts w:ascii="Times New Roman" w:hAnsi="Times New Roman" w:cs="Times New Roman"/>
          <w:sz w:val="24"/>
          <w:szCs w:val="24"/>
        </w:rPr>
        <w:t xml:space="preserve">in the public service, and to unnecessary expenditures of the </w:t>
      </w:r>
      <w:r w:rsidR="001B2625">
        <w:rPr>
          <w:rFonts w:ascii="Times New Roman" w:hAnsi="Times New Roman" w:cs="Times New Roman"/>
          <w:sz w:val="24"/>
          <w:szCs w:val="24"/>
        </w:rPr>
        <w:lastRenderedPageBreak/>
        <w:t>public funds.”</w:t>
      </w:r>
      <w:r w:rsidR="001B2625">
        <w:rPr>
          <w:rStyle w:val="FootnoteReference"/>
          <w:rFonts w:ascii="Times New Roman" w:hAnsi="Times New Roman" w:cs="Times New Roman"/>
          <w:sz w:val="24"/>
          <w:szCs w:val="24"/>
        </w:rPr>
        <w:footnoteReference w:id="23"/>
      </w:r>
      <w:r w:rsidR="006E2FC7">
        <w:rPr>
          <w:rFonts w:ascii="Times New Roman" w:hAnsi="Times New Roman" w:cs="Times New Roman"/>
          <w:sz w:val="24"/>
          <w:szCs w:val="24"/>
        </w:rPr>
        <w:t xml:space="preserve">  </w:t>
      </w:r>
      <w:r w:rsidR="00556CC4">
        <w:rPr>
          <w:rFonts w:ascii="Times New Roman" w:hAnsi="Times New Roman" w:cs="Times New Roman"/>
          <w:sz w:val="24"/>
          <w:szCs w:val="24"/>
        </w:rPr>
        <w:t xml:space="preserve">Justice </w:t>
      </w:r>
      <w:r w:rsidR="002F607A">
        <w:rPr>
          <w:rFonts w:ascii="Times New Roman" w:hAnsi="Times New Roman" w:cs="Times New Roman"/>
          <w:sz w:val="24"/>
          <w:szCs w:val="24"/>
        </w:rPr>
        <w:t>Field</w:t>
      </w:r>
      <w:r w:rsidR="00191432">
        <w:rPr>
          <w:rFonts w:ascii="Times New Roman" w:hAnsi="Times New Roman" w:cs="Times New Roman"/>
          <w:sz w:val="24"/>
          <w:szCs w:val="24"/>
        </w:rPr>
        <w:t xml:space="preserve">’s disapproval </w:t>
      </w:r>
      <w:r w:rsidR="001F2D9B">
        <w:rPr>
          <w:rFonts w:ascii="Times New Roman" w:hAnsi="Times New Roman" w:cs="Times New Roman"/>
          <w:sz w:val="24"/>
          <w:szCs w:val="24"/>
        </w:rPr>
        <w:t>is palpable, declaring “the transaction is creditable to no one concerned but to</w:t>
      </w:r>
      <w:r w:rsidR="006B215C">
        <w:rPr>
          <w:rFonts w:ascii="Times New Roman" w:hAnsi="Times New Roman" w:cs="Times New Roman"/>
          <w:sz w:val="24"/>
          <w:szCs w:val="24"/>
        </w:rPr>
        <w:t xml:space="preserve"> Mr. Anthony,” the Senator who refused to take part.</w:t>
      </w:r>
      <w:r w:rsidR="006B215C">
        <w:rPr>
          <w:rStyle w:val="FootnoteReference"/>
          <w:rFonts w:ascii="Times New Roman" w:hAnsi="Times New Roman" w:cs="Times New Roman"/>
          <w:sz w:val="24"/>
          <w:szCs w:val="24"/>
        </w:rPr>
        <w:footnoteReference w:id="24"/>
      </w:r>
    </w:p>
    <w:p w14:paraId="359B15DC" w14:textId="5ECEFE25" w:rsidR="00561BC3" w:rsidRDefault="005F48E7" w:rsidP="006563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in </w:t>
      </w:r>
      <w:r>
        <w:rPr>
          <w:rFonts w:ascii="Times New Roman" w:hAnsi="Times New Roman" w:cs="Times New Roman"/>
          <w:i/>
          <w:iCs/>
          <w:sz w:val="24"/>
          <w:szCs w:val="24"/>
        </w:rPr>
        <w:t>Providence Tool</w:t>
      </w:r>
      <w:r>
        <w:rPr>
          <w:rFonts w:ascii="Times New Roman" w:hAnsi="Times New Roman" w:cs="Times New Roman"/>
          <w:sz w:val="24"/>
          <w:szCs w:val="24"/>
        </w:rPr>
        <w:t xml:space="preserve"> </w:t>
      </w:r>
      <w:r w:rsidR="00481849">
        <w:rPr>
          <w:rFonts w:ascii="Times New Roman" w:hAnsi="Times New Roman" w:cs="Times New Roman"/>
          <w:sz w:val="24"/>
          <w:szCs w:val="24"/>
        </w:rPr>
        <w:t>believed</w:t>
      </w:r>
      <w:r w:rsidR="003B5CEF">
        <w:rPr>
          <w:rFonts w:ascii="Times New Roman" w:hAnsi="Times New Roman" w:cs="Times New Roman"/>
          <w:sz w:val="24"/>
          <w:szCs w:val="24"/>
        </w:rPr>
        <w:t xml:space="preserve"> </w:t>
      </w:r>
      <w:r w:rsidR="00481849">
        <w:rPr>
          <w:rFonts w:ascii="Times New Roman" w:hAnsi="Times New Roman" w:cs="Times New Roman"/>
          <w:sz w:val="24"/>
          <w:szCs w:val="24"/>
        </w:rPr>
        <w:t xml:space="preserve">contingent fees tend </w:t>
      </w:r>
      <w:r w:rsidR="0069714B">
        <w:rPr>
          <w:rFonts w:ascii="Times New Roman" w:hAnsi="Times New Roman" w:cs="Times New Roman"/>
          <w:sz w:val="24"/>
          <w:szCs w:val="24"/>
        </w:rPr>
        <w:t>to</w:t>
      </w:r>
      <w:r w:rsidR="00481849">
        <w:rPr>
          <w:rFonts w:ascii="Times New Roman" w:hAnsi="Times New Roman" w:cs="Times New Roman"/>
          <w:sz w:val="24"/>
          <w:szCs w:val="24"/>
        </w:rPr>
        <w:t xml:space="preserve"> corrupt the personal incentive</w:t>
      </w:r>
      <w:r w:rsidR="0069714B">
        <w:rPr>
          <w:rFonts w:ascii="Times New Roman" w:hAnsi="Times New Roman" w:cs="Times New Roman"/>
          <w:sz w:val="24"/>
          <w:szCs w:val="24"/>
        </w:rPr>
        <w:t xml:space="preserve"> structure of intermediaries, but the ultimate </w:t>
      </w:r>
      <w:r>
        <w:rPr>
          <w:rFonts w:ascii="Times New Roman" w:hAnsi="Times New Roman" w:cs="Times New Roman"/>
          <w:sz w:val="24"/>
          <w:szCs w:val="24"/>
        </w:rPr>
        <w:t xml:space="preserve">“evil” </w:t>
      </w:r>
      <w:r w:rsidR="0069714B">
        <w:rPr>
          <w:rFonts w:ascii="Times New Roman" w:hAnsi="Times New Roman" w:cs="Times New Roman"/>
          <w:sz w:val="24"/>
          <w:szCs w:val="24"/>
        </w:rPr>
        <w:t xml:space="preserve">it sought to address was </w:t>
      </w:r>
      <w:r>
        <w:rPr>
          <w:rFonts w:ascii="Times New Roman" w:hAnsi="Times New Roman" w:cs="Times New Roman"/>
          <w:sz w:val="24"/>
          <w:szCs w:val="24"/>
        </w:rPr>
        <w:t xml:space="preserve">influence </w:t>
      </w:r>
      <w:r w:rsidR="003959F3">
        <w:rPr>
          <w:rFonts w:ascii="Times New Roman" w:hAnsi="Times New Roman" w:cs="Times New Roman"/>
          <w:sz w:val="24"/>
          <w:szCs w:val="24"/>
        </w:rPr>
        <w:t>peddling</w:t>
      </w:r>
      <w:r w:rsidR="00280E7F">
        <w:rPr>
          <w:rFonts w:ascii="Times New Roman" w:hAnsi="Times New Roman" w:cs="Times New Roman"/>
          <w:sz w:val="24"/>
          <w:szCs w:val="24"/>
        </w:rPr>
        <w:t>, no matter the compensation structure.</w:t>
      </w:r>
      <w:bookmarkStart w:id="6" w:name="_Ref153475807"/>
      <w:r w:rsidR="00280E7F">
        <w:rPr>
          <w:rStyle w:val="FootnoteReference"/>
          <w:rFonts w:ascii="Times New Roman" w:hAnsi="Times New Roman" w:cs="Times New Roman"/>
          <w:sz w:val="24"/>
          <w:szCs w:val="24"/>
        </w:rPr>
        <w:footnoteReference w:id="25"/>
      </w:r>
      <w:bookmarkEnd w:id="6"/>
      <w:r w:rsidR="00FF5400">
        <w:rPr>
          <w:rFonts w:ascii="Times New Roman" w:hAnsi="Times New Roman" w:cs="Times New Roman"/>
          <w:sz w:val="24"/>
          <w:szCs w:val="24"/>
        </w:rPr>
        <w:t xml:space="preserve">  </w:t>
      </w:r>
      <w:r w:rsidR="00F81D97">
        <w:rPr>
          <w:rFonts w:ascii="Times New Roman" w:hAnsi="Times New Roman" w:cs="Times New Roman"/>
          <w:sz w:val="24"/>
          <w:szCs w:val="24"/>
        </w:rPr>
        <w:t xml:space="preserve">If the Providence Tool Company could provide the best value to the War Department, </w:t>
      </w:r>
      <w:r w:rsidR="005A04C4">
        <w:rPr>
          <w:rFonts w:ascii="Times New Roman" w:hAnsi="Times New Roman" w:cs="Times New Roman"/>
          <w:sz w:val="24"/>
          <w:szCs w:val="24"/>
        </w:rPr>
        <w:t xml:space="preserve">then an unadulterated procurement system would invariably single the it out for the contract, and </w:t>
      </w:r>
      <w:r w:rsidR="00561BC3">
        <w:rPr>
          <w:rFonts w:ascii="Times New Roman" w:hAnsi="Times New Roman" w:cs="Times New Roman"/>
          <w:sz w:val="24"/>
          <w:szCs w:val="24"/>
        </w:rPr>
        <w:t xml:space="preserve">there would be no need for </w:t>
      </w:r>
      <w:r w:rsidR="005A04C4">
        <w:rPr>
          <w:rFonts w:ascii="Times New Roman" w:hAnsi="Times New Roman" w:cs="Times New Roman"/>
          <w:sz w:val="24"/>
          <w:szCs w:val="24"/>
        </w:rPr>
        <w:t xml:space="preserve">disreputable intermediaries like Mr. Norris </w:t>
      </w:r>
      <w:r w:rsidR="00561BC3">
        <w:rPr>
          <w:rFonts w:ascii="Times New Roman" w:hAnsi="Times New Roman" w:cs="Times New Roman"/>
          <w:sz w:val="24"/>
          <w:szCs w:val="24"/>
        </w:rPr>
        <w:t>to</w:t>
      </w:r>
      <w:r w:rsidR="005A04C4">
        <w:rPr>
          <w:rFonts w:ascii="Times New Roman" w:hAnsi="Times New Roman" w:cs="Times New Roman"/>
          <w:sz w:val="24"/>
          <w:szCs w:val="24"/>
        </w:rPr>
        <w:t xml:space="preserve"> prostrate themselves among the ante-rooms of various government officials.  The fact that fifteen percent of </w:t>
      </w:r>
      <w:r w:rsidR="00561BC3">
        <w:rPr>
          <w:rFonts w:ascii="Times New Roman" w:hAnsi="Times New Roman" w:cs="Times New Roman"/>
          <w:sz w:val="24"/>
          <w:szCs w:val="24"/>
        </w:rPr>
        <w:t>a procurement</w:t>
      </w:r>
      <w:r w:rsidR="005A04C4">
        <w:rPr>
          <w:rFonts w:ascii="Times New Roman" w:hAnsi="Times New Roman" w:cs="Times New Roman"/>
          <w:sz w:val="24"/>
          <w:szCs w:val="24"/>
        </w:rPr>
        <w:t xml:space="preserve"> directly supporting the war effort w</w:t>
      </w:r>
      <w:r w:rsidR="00561BC3">
        <w:rPr>
          <w:rFonts w:ascii="Times New Roman" w:hAnsi="Times New Roman" w:cs="Times New Roman"/>
          <w:sz w:val="24"/>
          <w:szCs w:val="24"/>
        </w:rPr>
        <w:t>ould constitute Mr. Norris’ fee surely explains Justice Field’s severe tone.</w:t>
      </w:r>
    </w:p>
    <w:p w14:paraId="2E99E5B6" w14:textId="1D5A65A2" w:rsidR="000C1D41" w:rsidRDefault="00B3697E" w:rsidP="0065634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Ten years later </w:t>
      </w:r>
      <w:r w:rsidR="00D1570C">
        <w:rPr>
          <w:rFonts w:ascii="Times New Roman" w:hAnsi="Times New Roman" w:cs="Times New Roman"/>
          <w:sz w:val="24"/>
          <w:szCs w:val="24"/>
        </w:rPr>
        <w:t xml:space="preserve">in </w:t>
      </w:r>
      <w:r w:rsidR="00D1570C">
        <w:rPr>
          <w:rFonts w:ascii="Times New Roman" w:hAnsi="Times New Roman" w:cs="Times New Roman"/>
          <w:i/>
          <w:iCs/>
          <w:sz w:val="24"/>
          <w:szCs w:val="24"/>
        </w:rPr>
        <w:t>Trist v. Child</w:t>
      </w:r>
      <w:r w:rsidR="000B615C">
        <w:rPr>
          <w:rFonts w:ascii="Times New Roman" w:hAnsi="Times New Roman" w:cs="Times New Roman"/>
          <w:i/>
          <w:iCs/>
          <w:sz w:val="24"/>
          <w:szCs w:val="24"/>
        </w:rPr>
        <w:t>,</w:t>
      </w:r>
      <w:r w:rsidR="00D1570C">
        <w:rPr>
          <w:rFonts w:ascii="Times New Roman" w:hAnsi="Times New Roman" w:cs="Times New Roman"/>
          <w:sz w:val="24"/>
          <w:szCs w:val="24"/>
        </w:rPr>
        <w:t xml:space="preserve"> </w:t>
      </w:r>
      <w:r>
        <w:rPr>
          <w:rFonts w:ascii="Times New Roman" w:hAnsi="Times New Roman" w:cs="Times New Roman"/>
          <w:sz w:val="24"/>
          <w:szCs w:val="24"/>
        </w:rPr>
        <w:t xml:space="preserve">the Supreme Court </w:t>
      </w:r>
      <w:r w:rsidR="00C438AF">
        <w:rPr>
          <w:rFonts w:ascii="Times New Roman" w:hAnsi="Times New Roman" w:cs="Times New Roman"/>
          <w:sz w:val="24"/>
          <w:szCs w:val="24"/>
        </w:rPr>
        <w:t xml:space="preserve">would declare </w:t>
      </w:r>
      <w:r w:rsidR="00C569C4">
        <w:rPr>
          <w:rFonts w:ascii="Times New Roman" w:hAnsi="Times New Roman" w:cs="Times New Roman"/>
          <w:sz w:val="24"/>
          <w:szCs w:val="24"/>
        </w:rPr>
        <w:t xml:space="preserve">lobbying generally as </w:t>
      </w:r>
      <w:r w:rsidR="000A67F3">
        <w:rPr>
          <w:rFonts w:ascii="Times New Roman" w:hAnsi="Times New Roman" w:cs="Times New Roman"/>
          <w:sz w:val="24"/>
          <w:szCs w:val="24"/>
        </w:rPr>
        <w:t xml:space="preserve">an </w:t>
      </w:r>
      <w:r w:rsidR="00C569C4">
        <w:rPr>
          <w:rFonts w:ascii="Times New Roman" w:hAnsi="Times New Roman" w:cs="Times New Roman"/>
          <w:sz w:val="24"/>
          <w:szCs w:val="24"/>
        </w:rPr>
        <w:t>illegitimate</w:t>
      </w:r>
      <w:r w:rsidR="000A67F3">
        <w:rPr>
          <w:rFonts w:ascii="Times New Roman" w:hAnsi="Times New Roman" w:cs="Times New Roman"/>
          <w:sz w:val="24"/>
          <w:szCs w:val="24"/>
        </w:rPr>
        <w:t xml:space="preserve"> and corrupting influence, which was only exacerbated by contingent fees.</w:t>
      </w:r>
      <w:r w:rsidR="00656346">
        <w:rPr>
          <w:rFonts w:ascii="Times New Roman" w:hAnsi="Times New Roman" w:cs="Times New Roman"/>
          <w:sz w:val="24"/>
          <w:szCs w:val="24"/>
        </w:rPr>
        <w:t xml:space="preserve">  </w:t>
      </w:r>
      <w:r w:rsidR="00AA0B2D">
        <w:rPr>
          <w:rFonts w:ascii="Times New Roman" w:hAnsi="Times New Roman" w:cs="Times New Roman"/>
          <w:sz w:val="24"/>
          <w:szCs w:val="24"/>
        </w:rPr>
        <w:t xml:space="preserve">“[T]he Supreme Court equated </w:t>
      </w:r>
      <w:r w:rsidR="00B079A4">
        <w:rPr>
          <w:rFonts w:ascii="Times New Roman" w:hAnsi="Times New Roman" w:cs="Times New Roman"/>
          <w:sz w:val="24"/>
          <w:szCs w:val="24"/>
        </w:rPr>
        <w:t>‘</w:t>
      </w:r>
      <w:r w:rsidR="000B5D71">
        <w:rPr>
          <w:rFonts w:ascii="Times New Roman" w:hAnsi="Times New Roman" w:cs="Times New Roman"/>
          <w:sz w:val="24"/>
          <w:szCs w:val="24"/>
        </w:rPr>
        <w:t>lobbying</w:t>
      </w:r>
      <w:r w:rsidR="00B079A4">
        <w:rPr>
          <w:rFonts w:ascii="Times New Roman" w:hAnsi="Times New Roman" w:cs="Times New Roman"/>
          <w:sz w:val="24"/>
          <w:szCs w:val="24"/>
        </w:rPr>
        <w:t>’</w:t>
      </w:r>
      <w:r w:rsidR="000B5D71">
        <w:rPr>
          <w:rFonts w:ascii="Times New Roman" w:hAnsi="Times New Roman" w:cs="Times New Roman"/>
          <w:sz w:val="24"/>
          <w:szCs w:val="24"/>
        </w:rPr>
        <w:t xml:space="preserve"> and </w:t>
      </w:r>
      <w:r w:rsidR="00B079A4">
        <w:rPr>
          <w:rFonts w:ascii="Times New Roman" w:hAnsi="Times New Roman" w:cs="Times New Roman"/>
          <w:sz w:val="24"/>
          <w:szCs w:val="24"/>
        </w:rPr>
        <w:t>‘</w:t>
      </w:r>
      <w:r w:rsidR="000B5D71">
        <w:rPr>
          <w:rFonts w:ascii="Times New Roman" w:hAnsi="Times New Roman" w:cs="Times New Roman"/>
          <w:sz w:val="24"/>
          <w:szCs w:val="24"/>
        </w:rPr>
        <w:t>lobby agent</w:t>
      </w:r>
      <w:r w:rsidR="00917A75">
        <w:rPr>
          <w:rFonts w:ascii="Times New Roman" w:hAnsi="Times New Roman" w:cs="Times New Roman"/>
          <w:sz w:val="24"/>
          <w:szCs w:val="24"/>
        </w:rPr>
        <w:t>s</w:t>
      </w:r>
      <w:r w:rsidR="00B079A4">
        <w:rPr>
          <w:rFonts w:ascii="Times New Roman" w:hAnsi="Times New Roman" w:cs="Times New Roman"/>
          <w:sz w:val="24"/>
          <w:szCs w:val="24"/>
        </w:rPr>
        <w:t>’</w:t>
      </w:r>
      <w:r w:rsidR="000B5D71">
        <w:rPr>
          <w:rFonts w:ascii="Times New Roman" w:hAnsi="Times New Roman" w:cs="Times New Roman"/>
          <w:sz w:val="24"/>
          <w:szCs w:val="24"/>
        </w:rPr>
        <w:t xml:space="preserve"> with the secret, venal, and corrupt use of personal influence</w:t>
      </w:r>
      <w:r w:rsidR="00B37B0B">
        <w:rPr>
          <w:rFonts w:ascii="Times New Roman" w:hAnsi="Times New Roman" w:cs="Times New Roman"/>
          <w:sz w:val="24"/>
          <w:szCs w:val="24"/>
        </w:rPr>
        <w:t xml:space="preserve">” </w:t>
      </w:r>
      <w:r w:rsidR="000D0162">
        <w:rPr>
          <w:rFonts w:ascii="Times New Roman" w:hAnsi="Times New Roman" w:cs="Times New Roman"/>
          <w:sz w:val="24"/>
          <w:szCs w:val="24"/>
        </w:rPr>
        <w:t xml:space="preserve">that would invariably </w:t>
      </w:r>
      <w:r w:rsidR="00D56E09">
        <w:rPr>
          <w:rFonts w:ascii="Times New Roman" w:hAnsi="Times New Roman" w:cs="Times New Roman"/>
          <w:sz w:val="24"/>
          <w:szCs w:val="24"/>
        </w:rPr>
        <w:t xml:space="preserve">overshadow facts, reason, and sound public policy </w:t>
      </w:r>
      <w:r w:rsidR="00314B96">
        <w:rPr>
          <w:rFonts w:ascii="Times New Roman" w:hAnsi="Times New Roman" w:cs="Times New Roman"/>
          <w:sz w:val="24"/>
          <w:szCs w:val="24"/>
        </w:rPr>
        <w:t>in government decision-making.</w:t>
      </w:r>
      <w:r w:rsidR="00314B96">
        <w:rPr>
          <w:rStyle w:val="FootnoteReference"/>
          <w:rFonts w:ascii="Times New Roman" w:hAnsi="Times New Roman" w:cs="Times New Roman"/>
          <w:sz w:val="24"/>
          <w:szCs w:val="24"/>
        </w:rPr>
        <w:footnoteReference w:id="26"/>
      </w:r>
      <w:r w:rsidR="00314B96">
        <w:rPr>
          <w:rFonts w:ascii="Times New Roman" w:hAnsi="Times New Roman" w:cs="Times New Roman"/>
          <w:sz w:val="24"/>
          <w:szCs w:val="24"/>
        </w:rPr>
        <w:t xml:space="preserve">  Nevertheless, while</w:t>
      </w:r>
      <w:r w:rsidR="00DC55D6">
        <w:rPr>
          <w:rFonts w:ascii="Times New Roman" w:hAnsi="Times New Roman" w:cs="Times New Roman"/>
          <w:sz w:val="24"/>
          <w:szCs w:val="24"/>
        </w:rPr>
        <w:t xml:space="preserve"> influence peddling</w:t>
      </w:r>
      <w:r w:rsidR="000F706F">
        <w:rPr>
          <w:rFonts w:ascii="Times New Roman" w:hAnsi="Times New Roman" w:cs="Times New Roman"/>
          <w:sz w:val="24"/>
          <w:szCs w:val="24"/>
        </w:rPr>
        <w:t>, or the appearance of it w</w:t>
      </w:r>
      <w:r w:rsidR="00314B96">
        <w:rPr>
          <w:rFonts w:ascii="Times New Roman" w:hAnsi="Times New Roman" w:cs="Times New Roman"/>
          <w:sz w:val="24"/>
          <w:szCs w:val="24"/>
        </w:rPr>
        <w:t>as</w:t>
      </w:r>
      <w:r w:rsidR="000F706F">
        <w:rPr>
          <w:rFonts w:ascii="Times New Roman" w:hAnsi="Times New Roman" w:cs="Times New Roman"/>
          <w:sz w:val="24"/>
          <w:szCs w:val="24"/>
        </w:rPr>
        <w:t xml:space="preserve"> the source of the court’s rancor, </w:t>
      </w:r>
      <w:r w:rsidR="000C6D28">
        <w:rPr>
          <w:rFonts w:ascii="Times New Roman" w:hAnsi="Times New Roman" w:cs="Times New Roman"/>
          <w:sz w:val="24"/>
          <w:szCs w:val="24"/>
        </w:rPr>
        <w:t xml:space="preserve">the </w:t>
      </w:r>
      <w:r w:rsidR="00904A2D">
        <w:rPr>
          <w:rFonts w:ascii="Times New Roman" w:hAnsi="Times New Roman" w:cs="Times New Roman"/>
          <w:sz w:val="24"/>
          <w:szCs w:val="24"/>
        </w:rPr>
        <w:t xml:space="preserve">precedential value of these cases </w:t>
      </w:r>
      <w:r w:rsidR="00132C3C">
        <w:rPr>
          <w:rFonts w:ascii="Times New Roman" w:hAnsi="Times New Roman" w:cs="Times New Roman"/>
          <w:sz w:val="24"/>
          <w:szCs w:val="24"/>
        </w:rPr>
        <w:t>would prove to be</w:t>
      </w:r>
      <w:r w:rsidR="000C1D41">
        <w:rPr>
          <w:rFonts w:ascii="Times New Roman" w:hAnsi="Times New Roman" w:cs="Times New Roman"/>
          <w:sz w:val="24"/>
          <w:szCs w:val="24"/>
        </w:rPr>
        <w:t xml:space="preserve"> the unenforceability of contingen</w:t>
      </w:r>
      <w:r w:rsidR="006310A0">
        <w:rPr>
          <w:rFonts w:ascii="Times New Roman" w:hAnsi="Times New Roman" w:cs="Times New Roman"/>
          <w:sz w:val="24"/>
          <w:szCs w:val="24"/>
        </w:rPr>
        <w:t>t</w:t>
      </w:r>
      <w:r w:rsidR="000C1D41">
        <w:rPr>
          <w:rFonts w:ascii="Times New Roman" w:hAnsi="Times New Roman" w:cs="Times New Roman"/>
          <w:sz w:val="24"/>
          <w:szCs w:val="24"/>
        </w:rPr>
        <w:t xml:space="preserve"> fee</w:t>
      </w:r>
      <w:r w:rsidR="00314B96">
        <w:rPr>
          <w:rFonts w:ascii="Times New Roman" w:hAnsi="Times New Roman" w:cs="Times New Roman"/>
          <w:sz w:val="24"/>
          <w:szCs w:val="24"/>
        </w:rPr>
        <w:t xml:space="preserve"> arrangements</w:t>
      </w:r>
      <w:r w:rsidR="00B426E3">
        <w:rPr>
          <w:rFonts w:ascii="Times New Roman" w:hAnsi="Times New Roman" w:cs="Times New Roman"/>
          <w:sz w:val="24"/>
          <w:szCs w:val="24"/>
        </w:rPr>
        <w:t xml:space="preserve"> due to their tendency to exacerbate the problem</w:t>
      </w:r>
      <w:r w:rsidR="000C1D41">
        <w:rPr>
          <w:rFonts w:ascii="Times New Roman" w:hAnsi="Times New Roman" w:cs="Times New Roman"/>
          <w:sz w:val="24"/>
          <w:szCs w:val="24"/>
        </w:rPr>
        <w:t>.</w:t>
      </w:r>
    </w:p>
    <w:p w14:paraId="395EBEAF" w14:textId="74B4EEA1" w:rsidR="00FD770E" w:rsidRDefault="000C1D41" w:rsidP="00656346">
      <w:pPr>
        <w:spacing w:line="480" w:lineRule="auto"/>
        <w:ind w:firstLine="720"/>
        <w:rPr>
          <w:rFonts w:ascii="Times New Roman" w:hAnsi="Times New Roman" w:cs="Times New Roman"/>
          <w:sz w:val="24"/>
          <w:szCs w:val="24"/>
        </w:rPr>
      </w:pPr>
      <w:r>
        <w:rPr>
          <w:rFonts w:ascii="Times New Roman" w:hAnsi="Times New Roman" w:cs="Times New Roman"/>
          <w:sz w:val="24"/>
          <w:szCs w:val="24"/>
        </w:rPr>
        <w:t>N</w:t>
      </w:r>
      <w:r w:rsidR="00952BD9">
        <w:rPr>
          <w:rFonts w:ascii="Times New Roman" w:hAnsi="Times New Roman" w:cs="Times New Roman"/>
          <w:sz w:val="24"/>
          <w:szCs w:val="24"/>
        </w:rPr>
        <w:t xml:space="preserve">o statute or regulation </w:t>
      </w:r>
      <w:r w:rsidR="00B248C0">
        <w:rPr>
          <w:rFonts w:ascii="Times New Roman" w:hAnsi="Times New Roman" w:cs="Times New Roman"/>
          <w:sz w:val="24"/>
          <w:szCs w:val="24"/>
        </w:rPr>
        <w:t>prohibited</w:t>
      </w:r>
      <w:r w:rsidR="00042187">
        <w:rPr>
          <w:rFonts w:ascii="Times New Roman" w:hAnsi="Times New Roman" w:cs="Times New Roman"/>
          <w:sz w:val="24"/>
          <w:szCs w:val="24"/>
        </w:rPr>
        <w:t xml:space="preserve"> contingent fees </w:t>
      </w:r>
      <w:r w:rsidR="007F5585">
        <w:rPr>
          <w:rFonts w:ascii="Times New Roman" w:hAnsi="Times New Roman" w:cs="Times New Roman"/>
          <w:sz w:val="24"/>
          <w:szCs w:val="24"/>
        </w:rPr>
        <w:t>prior to</w:t>
      </w:r>
      <w:r w:rsidR="00042187">
        <w:rPr>
          <w:rFonts w:ascii="Times New Roman" w:hAnsi="Times New Roman" w:cs="Times New Roman"/>
          <w:sz w:val="24"/>
          <w:szCs w:val="24"/>
        </w:rPr>
        <w:t xml:space="preserve"> World War II, yet </w:t>
      </w:r>
      <w:r w:rsidR="00B0416F">
        <w:rPr>
          <w:rFonts w:ascii="Times New Roman" w:hAnsi="Times New Roman" w:cs="Times New Roman"/>
          <w:sz w:val="24"/>
          <w:szCs w:val="24"/>
        </w:rPr>
        <w:t>Court</w:t>
      </w:r>
      <w:r w:rsidR="007F5585">
        <w:rPr>
          <w:rFonts w:ascii="Times New Roman" w:hAnsi="Times New Roman" w:cs="Times New Roman"/>
          <w:sz w:val="24"/>
          <w:szCs w:val="24"/>
        </w:rPr>
        <w:t xml:space="preserve">s </w:t>
      </w:r>
      <w:r w:rsidR="00B02C88">
        <w:rPr>
          <w:rFonts w:ascii="Times New Roman" w:hAnsi="Times New Roman" w:cs="Times New Roman"/>
          <w:sz w:val="24"/>
          <w:szCs w:val="24"/>
        </w:rPr>
        <w:t xml:space="preserve">understood </w:t>
      </w:r>
      <w:r w:rsidR="00B02C88">
        <w:rPr>
          <w:rFonts w:ascii="Times New Roman" w:hAnsi="Times New Roman" w:cs="Times New Roman"/>
          <w:i/>
          <w:iCs/>
          <w:sz w:val="24"/>
          <w:szCs w:val="24"/>
        </w:rPr>
        <w:t>Providence Tool</w:t>
      </w:r>
      <w:r w:rsidR="00B02C88">
        <w:rPr>
          <w:rFonts w:ascii="Times New Roman" w:hAnsi="Times New Roman" w:cs="Times New Roman"/>
          <w:sz w:val="24"/>
          <w:szCs w:val="24"/>
        </w:rPr>
        <w:t xml:space="preserve"> </w:t>
      </w:r>
      <w:r w:rsidR="00E977F5">
        <w:rPr>
          <w:rFonts w:ascii="Times New Roman" w:hAnsi="Times New Roman" w:cs="Times New Roman"/>
          <w:sz w:val="24"/>
          <w:szCs w:val="24"/>
        </w:rPr>
        <w:t xml:space="preserve">as a </w:t>
      </w:r>
      <w:r w:rsidR="00B248C0">
        <w:rPr>
          <w:rFonts w:ascii="Times New Roman" w:hAnsi="Times New Roman" w:cs="Times New Roman"/>
          <w:sz w:val="24"/>
          <w:szCs w:val="24"/>
        </w:rPr>
        <w:t>bar to enforcement</w:t>
      </w:r>
      <w:r w:rsidR="00101469">
        <w:rPr>
          <w:rFonts w:ascii="Times New Roman" w:hAnsi="Times New Roman" w:cs="Times New Roman"/>
          <w:sz w:val="24"/>
          <w:szCs w:val="24"/>
        </w:rPr>
        <w:t xml:space="preserve"> in subsequent cases</w:t>
      </w:r>
      <w:r w:rsidR="00B248C0">
        <w:rPr>
          <w:rFonts w:ascii="Times New Roman" w:hAnsi="Times New Roman" w:cs="Times New Roman"/>
          <w:sz w:val="24"/>
          <w:szCs w:val="24"/>
        </w:rPr>
        <w:t>.</w:t>
      </w:r>
      <w:bookmarkStart w:id="7" w:name="_Ref153459074"/>
      <w:r w:rsidR="00D07A82">
        <w:rPr>
          <w:rStyle w:val="FootnoteReference"/>
          <w:rFonts w:ascii="Times New Roman" w:hAnsi="Times New Roman" w:cs="Times New Roman"/>
          <w:sz w:val="24"/>
          <w:szCs w:val="24"/>
        </w:rPr>
        <w:footnoteReference w:id="27"/>
      </w:r>
      <w:bookmarkEnd w:id="7"/>
      <w:r w:rsidR="00101469">
        <w:rPr>
          <w:rFonts w:ascii="Times New Roman" w:hAnsi="Times New Roman" w:cs="Times New Roman"/>
          <w:sz w:val="24"/>
          <w:szCs w:val="24"/>
        </w:rPr>
        <w:t xml:space="preserve">  </w:t>
      </w:r>
      <w:r w:rsidR="001E7340">
        <w:rPr>
          <w:rFonts w:ascii="Times New Roman" w:hAnsi="Times New Roman" w:cs="Times New Roman"/>
          <w:sz w:val="24"/>
          <w:szCs w:val="24"/>
        </w:rPr>
        <w:t xml:space="preserve">This led to an increasingly </w:t>
      </w:r>
      <w:r w:rsidR="003C2252">
        <w:rPr>
          <w:rFonts w:ascii="Times New Roman" w:hAnsi="Times New Roman" w:cs="Times New Roman"/>
          <w:sz w:val="24"/>
          <w:szCs w:val="24"/>
        </w:rPr>
        <w:t xml:space="preserve">singular focus on the compensation structure to the </w:t>
      </w:r>
      <w:r w:rsidR="00F54570">
        <w:rPr>
          <w:rFonts w:ascii="Times New Roman" w:hAnsi="Times New Roman" w:cs="Times New Roman"/>
          <w:sz w:val="24"/>
          <w:szCs w:val="24"/>
        </w:rPr>
        <w:t xml:space="preserve">detriment of influence peddling.  </w:t>
      </w:r>
      <w:r w:rsidR="0044284C">
        <w:rPr>
          <w:rFonts w:ascii="Times New Roman" w:hAnsi="Times New Roman" w:cs="Times New Roman"/>
          <w:sz w:val="24"/>
          <w:szCs w:val="24"/>
        </w:rPr>
        <w:t xml:space="preserve">In </w:t>
      </w:r>
      <w:r w:rsidR="0044284C">
        <w:rPr>
          <w:rFonts w:ascii="Times New Roman" w:hAnsi="Times New Roman" w:cs="Times New Roman"/>
          <w:i/>
          <w:iCs/>
          <w:sz w:val="24"/>
          <w:szCs w:val="24"/>
        </w:rPr>
        <w:t>Hazelton v. Sheckels</w:t>
      </w:r>
      <w:r w:rsidR="0044284C">
        <w:rPr>
          <w:rFonts w:ascii="Times New Roman" w:hAnsi="Times New Roman" w:cs="Times New Roman"/>
          <w:sz w:val="24"/>
          <w:szCs w:val="24"/>
        </w:rPr>
        <w:t xml:space="preserve">, the Supreme Court </w:t>
      </w:r>
      <w:r w:rsidR="00DB009C">
        <w:rPr>
          <w:rFonts w:ascii="Times New Roman" w:hAnsi="Times New Roman" w:cs="Times New Roman"/>
          <w:sz w:val="24"/>
          <w:szCs w:val="24"/>
        </w:rPr>
        <w:t xml:space="preserve">held invalid a contingent fee arrangement, noting that </w:t>
      </w:r>
      <w:proofErr w:type="gramStart"/>
      <w:r w:rsidR="00DB009C">
        <w:rPr>
          <w:rFonts w:ascii="Times New Roman" w:hAnsi="Times New Roman" w:cs="Times New Roman"/>
          <w:sz w:val="24"/>
          <w:szCs w:val="24"/>
        </w:rPr>
        <w:t>whether or not</w:t>
      </w:r>
      <w:proofErr w:type="gramEnd"/>
      <w:r w:rsidR="00DB009C">
        <w:rPr>
          <w:rFonts w:ascii="Times New Roman" w:hAnsi="Times New Roman" w:cs="Times New Roman"/>
          <w:sz w:val="24"/>
          <w:szCs w:val="24"/>
        </w:rPr>
        <w:t xml:space="preserve"> </w:t>
      </w:r>
      <w:r w:rsidR="00ED148A">
        <w:rPr>
          <w:rFonts w:ascii="Times New Roman" w:hAnsi="Times New Roman" w:cs="Times New Roman"/>
          <w:sz w:val="24"/>
          <w:szCs w:val="24"/>
        </w:rPr>
        <w:t>improper influence</w:t>
      </w:r>
      <w:r w:rsidR="000845E6">
        <w:rPr>
          <w:rFonts w:ascii="Times New Roman" w:hAnsi="Times New Roman" w:cs="Times New Roman"/>
          <w:sz w:val="24"/>
          <w:szCs w:val="24"/>
        </w:rPr>
        <w:t xml:space="preserve"> </w:t>
      </w:r>
      <w:r w:rsidR="00DB009C">
        <w:rPr>
          <w:rFonts w:ascii="Times New Roman" w:hAnsi="Times New Roman" w:cs="Times New Roman"/>
          <w:sz w:val="24"/>
          <w:szCs w:val="24"/>
        </w:rPr>
        <w:t xml:space="preserve">was actually </w:t>
      </w:r>
      <w:r w:rsidR="00BE6DAF">
        <w:rPr>
          <w:rFonts w:ascii="Times New Roman" w:hAnsi="Times New Roman" w:cs="Times New Roman"/>
          <w:sz w:val="24"/>
          <w:szCs w:val="24"/>
        </w:rPr>
        <w:t>wielded was a</w:t>
      </w:r>
      <w:r w:rsidR="000845E6">
        <w:rPr>
          <w:rFonts w:ascii="Times New Roman" w:hAnsi="Times New Roman" w:cs="Times New Roman"/>
          <w:sz w:val="24"/>
          <w:szCs w:val="24"/>
        </w:rPr>
        <w:t xml:space="preserve"> secondary concern</w:t>
      </w:r>
      <w:r w:rsidR="00BE6DAF">
        <w:rPr>
          <w:rFonts w:ascii="Times New Roman" w:hAnsi="Times New Roman" w:cs="Times New Roman"/>
          <w:sz w:val="24"/>
          <w:szCs w:val="24"/>
        </w:rPr>
        <w:t>.</w:t>
      </w:r>
      <w:r w:rsidR="00BE6DAF">
        <w:rPr>
          <w:rStyle w:val="FootnoteReference"/>
          <w:rFonts w:ascii="Times New Roman" w:hAnsi="Times New Roman" w:cs="Times New Roman"/>
          <w:sz w:val="24"/>
          <w:szCs w:val="24"/>
        </w:rPr>
        <w:footnoteReference w:id="28"/>
      </w:r>
      <w:r w:rsidR="00BE6DAF">
        <w:rPr>
          <w:rFonts w:ascii="Times New Roman" w:hAnsi="Times New Roman" w:cs="Times New Roman"/>
          <w:sz w:val="24"/>
          <w:szCs w:val="24"/>
        </w:rPr>
        <w:t xml:space="preserve">  The result </w:t>
      </w:r>
      <w:r w:rsidR="009B032F">
        <w:rPr>
          <w:rFonts w:ascii="Times New Roman" w:hAnsi="Times New Roman" w:cs="Times New Roman"/>
          <w:sz w:val="24"/>
          <w:szCs w:val="24"/>
        </w:rPr>
        <w:t xml:space="preserve">of the pre-World War II cases was a bright-line rule against </w:t>
      </w:r>
      <w:r w:rsidR="00264C4D">
        <w:rPr>
          <w:rFonts w:ascii="Times New Roman" w:hAnsi="Times New Roman" w:cs="Times New Roman"/>
          <w:sz w:val="24"/>
          <w:szCs w:val="24"/>
        </w:rPr>
        <w:t xml:space="preserve">the enforceability of </w:t>
      </w:r>
      <w:r w:rsidR="00264C4D">
        <w:rPr>
          <w:rFonts w:ascii="Times New Roman" w:hAnsi="Times New Roman" w:cs="Times New Roman"/>
          <w:sz w:val="24"/>
          <w:szCs w:val="24"/>
        </w:rPr>
        <w:lastRenderedPageBreak/>
        <w:t>contingen</w:t>
      </w:r>
      <w:r w:rsidR="006310A0">
        <w:rPr>
          <w:rFonts w:ascii="Times New Roman" w:hAnsi="Times New Roman" w:cs="Times New Roman"/>
          <w:sz w:val="24"/>
          <w:szCs w:val="24"/>
        </w:rPr>
        <w:t>t</w:t>
      </w:r>
      <w:r w:rsidR="00264C4D">
        <w:rPr>
          <w:rFonts w:ascii="Times New Roman" w:hAnsi="Times New Roman" w:cs="Times New Roman"/>
          <w:sz w:val="24"/>
          <w:szCs w:val="24"/>
        </w:rPr>
        <w:t xml:space="preserve"> fees </w:t>
      </w:r>
      <w:r w:rsidR="00917A75">
        <w:rPr>
          <w:rFonts w:ascii="Times New Roman" w:hAnsi="Times New Roman" w:cs="Times New Roman"/>
          <w:sz w:val="24"/>
          <w:szCs w:val="24"/>
        </w:rPr>
        <w:t xml:space="preserve">as a legitimate compensation structure, </w:t>
      </w:r>
      <w:r w:rsidR="00264C4D">
        <w:rPr>
          <w:rFonts w:ascii="Times New Roman" w:hAnsi="Times New Roman" w:cs="Times New Roman"/>
          <w:sz w:val="24"/>
          <w:szCs w:val="24"/>
        </w:rPr>
        <w:t xml:space="preserve">and an increasing estrangement from the </w:t>
      </w:r>
      <w:r w:rsidR="00C6297B">
        <w:rPr>
          <w:rFonts w:ascii="Times New Roman" w:hAnsi="Times New Roman" w:cs="Times New Roman"/>
          <w:sz w:val="24"/>
          <w:szCs w:val="24"/>
        </w:rPr>
        <w:t xml:space="preserve">primary concern in </w:t>
      </w:r>
      <w:r w:rsidR="00C6297B">
        <w:rPr>
          <w:rFonts w:ascii="Times New Roman" w:hAnsi="Times New Roman" w:cs="Times New Roman"/>
          <w:i/>
          <w:iCs/>
          <w:sz w:val="24"/>
          <w:szCs w:val="24"/>
        </w:rPr>
        <w:t>Providence Tool</w:t>
      </w:r>
      <w:r w:rsidR="00C6297B">
        <w:rPr>
          <w:rFonts w:ascii="Times New Roman" w:hAnsi="Times New Roman" w:cs="Times New Roman"/>
          <w:sz w:val="24"/>
          <w:szCs w:val="24"/>
        </w:rPr>
        <w:t xml:space="preserve"> </w:t>
      </w:r>
      <w:r w:rsidR="00065464">
        <w:rPr>
          <w:rFonts w:ascii="Times New Roman" w:hAnsi="Times New Roman" w:cs="Times New Roman"/>
          <w:sz w:val="24"/>
          <w:szCs w:val="24"/>
        </w:rPr>
        <w:t xml:space="preserve">that influence peddling </w:t>
      </w:r>
      <w:r w:rsidR="00917A75">
        <w:rPr>
          <w:rFonts w:ascii="Times New Roman" w:hAnsi="Times New Roman" w:cs="Times New Roman"/>
          <w:sz w:val="24"/>
          <w:szCs w:val="24"/>
        </w:rPr>
        <w:t>is a threat to</w:t>
      </w:r>
      <w:r w:rsidR="00065464">
        <w:rPr>
          <w:rFonts w:ascii="Times New Roman" w:hAnsi="Times New Roman" w:cs="Times New Roman"/>
          <w:sz w:val="24"/>
          <w:szCs w:val="24"/>
        </w:rPr>
        <w:t xml:space="preserve"> public procurement objectives.</w:t>
      </w:r>
    </w:p>
    <w:p w14:paraId="5F22BE04" w14:textId="24529ABA" w:rsidR="00D403DB" w:rsidRPr="00A3353B" w:rsidRDefault="00743770" w:rsidP="00A3353B">
      <w:pPr>
        <w:pStyle w:val="Heading2"/>
      </w:pPr>
      <w:bookmarkStart w:id="8" w:name="_Toc153485961"/>
      <w:r w:rsidRPr="00A3353B">
        <w:t xml:space="preserve">Toward </w:t>
      </w:r>
      <w:r w:rsidR="00461E1A" w:rsidRPr="00A3353B">
        <w:t>Federal Regulation</w:t>
      </w:r>
      <w:bookmarkEnd w:id="8"/>
    </w:p>
    <w:p w14:paraId="5859A97D" w14:textId="2FC073F6" w:rsidR="00831129" w:rsidRDefault="00384A89" w:rsidP="0042022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C9199D">
        <w:rPr>
          <w:rFonts w:ascii="Times New Roman" w:hAnsi="Times New Roman" w:cs="Times New Roman"/>
          <w:sz w:val="24"/>
          <w:szCs w:val="24"/>
        </w:rPr>
        <w:t xml:space="preserve">e </w:t>
      </w:r>
      <w:r w:rsidR="004F6534">
        <w:rPr>
          <w:rFonts w:ascii="Times New Roman" w:hAnsi="Times New Roman" w:cs="Times New Roman"/>
          <w:sz w:val="24"/>
          <w:szCs w:val="24"/>
        </w:rPr>
        <w:t>ju</w:t>
      </w:r>
      <w:r w:rsidR="005144F7">
        <w:rPr>
          <w:rFonts w:ascii="Times New Roman" w:hAnsi="Times New Roman" w:cs="Times New Roman"/>
          <w:sz w:val="24"/>
          <w:szCs w:val="24"/>
        </w:rPr>
        <w:t>risprudential rejection of</w:t>
      </w:r>
      <w:r w:rsidR="00C9199D">
        <w:rPr>
          <w:rFonts w:ascii="Times New Roman" w:hAnsi="Times New Roman" w:cs="Times New Roman"/>
          <w:sz w:val="24"/>
          <w:szCs w:val="24"/>
        </w:rPr>
        <w:t xml:space="preserve"> contingent fees </w:t>
      </w:r>
      <w:r w:rsidR="00FA028C">
        <w:rPr>
          <w:rFonts w:ascii="Times New Roman" w:hAnsi="Times New Roman" w:cs="Times New Roman"/>
          <w:sz w:val="24"/>
          <w:szCs w:val="24"/>
        </w:rPr>
        <w:t xml:space="preserve">inspired the Covenant Against Contingent Fees </w:t>
      </w:r>
      <w:r w:rsidR="009B49A2">
        <w:rPr>
          <w:rFonts w:ascii="Times New Roman" w:hAnsi="Times New Roman" w:cs="Times New Roman"/>
          <w:sz w:val="24"/>
          <w:szCs w:val="24"/>
        </w:rPr>
        <w:t>in 1918</w:t>
      </w:r>
      <w:r w:rsidR="00C95884">
        <w:rPr>
          <w:rFonts w:ascii="Times New Roman" w:hAnsi="Times New Roman" w:cs="Times New Roman"/>
          <w:sz w:val="24"/>
          <w:szCs w:val="24"/>
        </w:rPr>
        <w:t xml:space="preserve"> when</w:t>
      </w:r>
      <w:r w:rsidR="009B49A2">
        <w:rPr>
          <w:rFonts w:ascii="Times New Roman" w:hAnsi="Times New Roman" w:cs="Times New Roman"/>
          <w:sz w:val="24"/>
          <w:szCs w:val="24"/>
        </w:rPr>
        <w:t xml:space="preserve"> President Wilson’s Attorney General</w:t>
      </w:r>
      <w:r w:rsidR="00130939">
        <w:rPr>
          <w:rFonts w:ascii="Times New Roman" w:hAnsi="Times New Roman" w:cs="Times New Roman"/>
          <w:sz w:val="24"/>
          <w:szCs w:val="24"/>
        </w:rPr>
        <w:t xml:space="preserve">, convinced that </w:t>
      </w:r>
      <w:r w:rsidR="00692058">
        <w:rPr>
          <w:rFonts w:ascii="Times New Roman" w:hAnsi="Times New Roman" w:cs="Times New Roman"/>
          <w:sz w:val="24"/>
          <w:szCs w:val="24"/>
        </w:rPr>
        <w:t>influence peddling</w:t>
      </w:r>
      <w:r w:rsidR="00C95884">
        <w:rPr>
          <w:rFonts w:ascii="Times New Roman" w:hAnsi="Times New Roman" w:cs="Times New Roman"/>
          <w:sz w:val="24"/>
          <w:szCs w:val="24"/>
        </w:rPr>
        <w:t xml:space="preserve"> funded by contingent fees degrades public procurement,</w:t>
      </w:r>
      <w:r w:rsidR="009B49A2">
        <w:rPr>
          <w:rFonts w:ascii="Times New Roman" w:hAnsi="Times New Roman" w:cs="Times New Roman"/>
          <w:sz w:val="24"/>
          <w:szCs w:val="24"/>
        </w:rPr>
        <w:t xml:space="preserve"> directed </w:t>
      </w:r>
      <w:r w:rsidR="00E7518A">
        <w:rPr>
          <w:rFonts w:ascii="Times New Roman" w:hAnsi="Times New Roman" w:cs="Times New Roman"/>
          <w:sz w:val="24"/>
          <w:szCs w:val="24"/>
        </w:rPr>
        <w:t>executive</w:t>
      </w:r>
      <w:r w:rsidR="008A657C">
        <w:rPr>
          <w:rFonts w:ascii="Times New Roman" w:hAnsi="Times New Roman" w:cs="Times New Roman"/>
          <w:sz w:val="24"/>
          <w:szCs w:val="24"/>
        </w:rPr>
        <w:t xml:space="preserve"> agencies to include the Covenant in all government contracts</w:t>
      </w:r>
      <w:r w:rsidR="00C95884">
        <w:rPr>
          <w:rFonts w:ascii="Times New Roman" w:hAnsi="Times New Roman" w:cs="Times New Roman"/>
          <w:sz w:val="24"/>
          <w:szCs w:val="24"/>
        </w:rPr>
        <w:t xml:space="preserve">.  </w:t>
      </w:r>
      <w:r w:rsidR="00EB055E">
        <w:rPr>
          <w:rFonts w:ascii="Times New Roman" w:hAnsi="Times New Roman" w:cs="Times New Roman"/>
          <w:sz w:val="24"/>
          <w:szCs w:val="24"/>
        </w:rPr>
        <w:t xml:space="preserve">The Covenant barred contingent fee </w:t>
      </w:r>
      <w:r w:rsidR="005C6751">
        <w:rPr>
          <w:rFonts w:ascii="Times New Roman" w:hAnsi="Times New Roman" w:cs="Times New Roman"/>
          <w:sz w:val="24"/>
          <w:szCs w:val="24"/>
        </w:rPr>
        <w:t xml:space="preserve">arrangements without </w:t>
      </w:r>
      <w:r w:rsidR="000F5A7D">
        <w:rPr>
          <w:rFonts w:ascii="Times New Roman" w:hAnsi="Times New Roman" w:cs="Times New Roman"/>
          <w:sz w:val="24"/>
          <w:szCs w:val="24"/>
        </w:rPr>
        <w:t>exception and</w:t>
      </w:r>
      <w:r w:rsidR="005C6751">
        <w:rPr>
          <w:rFonts w:ascii="Times New Roman" w:hAnsi="Times New Roman" w:cs="Times New Roman"/>
          <w:sz w:val="24"/>
          <w:szCs w:val="24"/>
        </w:rPr>
        <w:t xml:space="preserve"> required the contractor to </w:t>
      </w:r>
      <w:r w:rsidR="009951CC">
        <w:rPr>
          <w:rFonts w:ascii="Times New Roman" w:hAnsi="Times New Roman" w:cs="Times New Roman"/>
          <w:sz w:val="24"/>
          <w:szCs w:val="24"/>
        </w:rPr>
        <w:t xml:space="preserve">“expressly </w:t>
      </w:r>
      <w:r w:rsidR="005C6751">
        <w:rPr>
          <w:rFonts w:ascii="Times New Roman" w:hAnsi="Times New Roman" w:cs="Times New Roman"/>
          <w:sz w:val="24"/>
          <w:szCs w:val="24"/>
        </w:rPr>
        <w:t>warrant</w:t>
      </w:r>
      <w:r w:rsidR="009951CC">
        <w:rPr>
          <w:rFonts w:ascii="Times New Roman" w:hAnsi="Times New Roman" w:cs="Times New Roman"/>
          <w:sz w:val="24"/>
          <w:szCs w:val="24"/>
        </w:rPr>
        <w:t>”</w:t>
      </w:r>
      <w:r w:rsidR="005C6751">
        <w:rPr>
          <w:rFonts w:ascii="Times New Roman" w:hAnsi="Times New Roman" w:cs="Times New Roman"/>
          <w:sz w:val="24"/>
          <w:szCs w:val="24"/>
        </w:rPr>
        <w:t xml:space="preserve"> that</w:t>
      </w:r>
      <w:r w:rsidR="00720B72">
        <w:rPr>
          <w:rFonts w:ascii="Times New Roman" w:hAnsi="Times New Roman" w:cs="Times New Roman"/>
          <w:sz w:val="24"/>
          <w:szCs w:val="24"/>
        </w:rPr>
        <w:t xml:space="preserve"> no </w:t>
      </w:r>
      <w:r w:rsidR="00255CE0">
        <w:rPr>
          <w:rFonts w:ascii="Times New Roman" w:hAnsi="Times New Roman" w:cs="Times New Roman"/>
          <w:sz w:val="24"/>
          <w:szCs w:val="24"/>
        </w:rPr>
        <w:t>such intermediary was employed</w:t>
      </w:r>
      <w:r w:rsidR="00493EB5">
        <w:rPr>
          <w:rFonts w:ascii="Times New Roman" w:hAnsi="Times New Roman" w:cs="Times New Roman"/>
          <w:sz w:val="24"/>
          <w:szCs w:val="24"/>
        </w:rPr>
        <w:t xml:space="preserve"> “to solicit or obtain [the] contract on his behalf.”  </w:t>
      </w:r>
      <w:r w:rsidR="000F5A7D">
        <w:rPr>
          <w:rFonts w:ascii="Times New Roman" w:hAnsi="Times New Roman" w:cs="Times New Roman"/>
          <w:sz w:val="24"/>
          <w:szCs w:val="24"/>
        </w:rPr>
        <w:t>Violation of the Covenant would void the contract.</w:t>
      </w:r>
      <w:bookmarkStart w:id="9" w:name="_Ref153459102"/>
      <w:r w:rsidR="000F5A7D">
        <w:rPr>
          <w:rStyle w:val="FootnoteReference"/>
          <w:rFonts w:ascii="Times New Roman" w:hAnsi="Times New Roman" w:cs="Times New Roman"/>
          <w:sz w:val="24"/>
          <w:szCs w:val="24"/>
        </w:rPr>
        <w:footnoteReference w:id="29"/>
      </w:r>
      <w:bookmarkEnd w:id="9"/>
    </w:p>
    <w:p w14:paraId="1FA0E556" w14:textId="19F1B7A9" w:rsidR="003D3B3A" w:rsidRDefault="00754485" w:rsidP="004202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911D4A">
        <w:rPr>
          <w:rFonts w:ascii="Times New Roman" w:hAnsi="Times New Roman" w:cs="Times New Roman"/>
          <w:sz w:val="24"/>
          <w:szCs w:val="24"/>
        </w:rPr>
        <w:t>hardline</w:t>
      </w:r>
      <w:r w:rsidR="006412E0">
        <w:rPr>
          <w:rFonts w:ascii="Times New Roman" w:hAnsi="Times New Roman" w:cs="Times New Roman"/>
          <w:sz w:val="24"/>
          <w:szCs w:val="24"/>
        </w:rPr>
        <w:t xml:space="preserve"> prohibition </w:t>
      </w:r>
      <w:r w:rsidR="00EC3C79">
        <w:rPr>
          <w:rFonts w:ascii="Times New Roman" w:hAnsi="Times New Roman" w:cs="Times New Roman"/>
          <w:sz w:val="24"/>
          <w:szCs w:val="24"/>
        </w:rPr>
        <w:t>was consistent</w:t>
      </w:r>
      <w:r w:rsidR="00911D4A">
        <w:rPr>
          <w:rFonts w:ascii="Times New Roman" w:hAnsi="Times New Roman" w:cs="Times New Roman"/>
          <w:sz w:val="24"/>
          <w:szCs w:val="24"/>
        </w:rPr>
        <w:t xml:space="preserve"> with the spirit of </w:t>
      </w:r>
      <w:r w:rsidR="00911D4A">
        <w:rPr>
          <w:rFonts w:ascii="Times New Roman" w:hAnsi="Times New Roman" w:cs="Times New Roman"/>
          <w:i/>
          <w:iCs/>
          <w:sz w:val="24"/>
          <w:szCs w:val="24"/>
        </w:rPr>
        <w:t>Providence Tool</w:t>
      </w:r>
      <w:r w:rsidR="00911D4A">
        <w:rPr>
          <w:rFonts w:ascii="Times New Roman" w:hAnsi="Times New Roman" w:cs="Times New Roman"/>
          <w:sz w:val="24"/>
          <w:szCs w:val="24"/>
        </w:rPr>
        <w:t xml:space="preserve"> and </w:t>
      </w:r>
      <w:r w:rsidR="00911D4A">
        <w:rPr>
          <w:rFonts w:ascii="Times New Roman" w:hAnsi="Times New Roman" w:cs="Times New Roman"/>
          <w:i/>
          <w:iCs/>
          <w:sz w:val="24"/>
          <w:szCs w:val="24"/>
        </w:rPr>
        <w:t>Trist</w:t>
      </w:r>
      <w:r w:rsidR="00911D4A">
        <w:rPr>
          <w:rFonts w:ascii="Times New Roman" w:hAnsi="Times New Roman" w:cs="Times New Roman"/>
          <w:sz w:val="24"/>
          <w:szCs w:val="24"/>
        </w:rPr>
        <w:t xml:space="preserve">, even if the </w:t>
      </w:r>
      <w:r w:rsidR="00F97166">
        <w:rPr>
          <w:rFonts w:ascii="Times New Roman" w:hAnsi="Times New Roman" w:cs="Times New Roman"/>
          <w:sz w:val="24"/>
          <w:szCs w:val="24"/>
        </w:rPr>
        <w:t xml:space="preserve">emphasis on contingent fees </w:t>
      </w:r>
      <w:r w:rsidR="00E87A0D">
        <w:rPr>
          <w:rFonts w:ascii="Times New Roman" w:hAnsi="Times New Roman" w:cs="Times New Roman"/>
          <w:sz w:val="24"/>
          <w:szCs w:val="24"/>
        </w:rPr>
        <w:t>detracted from</w:t>
      </w:r>
      <w:r w:rsidR="00BD2604">
        <w:rPr>
          <w:rFonts w:ascii="Times New Roman" w:hAnsi="Times New Roman" w:cs="Times New Roman"/>
          <w:sz w:val="24"/>
          <w:szCs w:val="24"/>
        </w:rPr>
        <w:t xml:space="preserve"> </w:t>
      </w:r>
      <w:r w:rsidR="00CA33D6">
        <w:rPr>
          <w:rFonts w:ascii="Times New Roman" w:hAnsi="Times New Roman" w:cs="Times New Roman"/>
          <w:sz w:val="24"/>
          <w:szCs w:val="24"/>
        </w:rPr>
        <w:t xml:space="preserve">the </w:t>
      </w:r>
      <w:r w:rsidR="00BD2604">
        <w:rPr>
          <w:rFonts w:ascii="Times New Roman" w:hAnsi="Times New Roman" w:cs="Times New Roman"/>
          <w:sz w:val="24"/>
          <w:szCs w:val="24"/>
        </w:rPr>
        <w:t>primary ‘evil’ of influence peddling.  Yet</w:t>
      </w:r>
      <w:r w:rsidR="00EC3C79">
        <w:rPr>
          <w:rFonts w:ascii="Times New Roman" w:hAnsi="Times New Roman" w:cs="Times New Roman"/>
          <w:sz w:val="24"/>
          <w:szCs w:val="24"/>
        </w:rPr>
        <w:t xml:space="preserve"> the 187</w:t>
      </w:r>
      <w:r w:rsidR="00424709">
        <w:rPr>
          <w:rFonts w:ascii="Times New Roman" w:hAnsi="Times New Roman" w:cs="Times New Roman"/>
          <w:sz w:val="24"/>
          <w:szCs w:val="24"/>
        </w:rPr>
        <w:t>4</w:t>
      </w:r>
      <w:r w:rsidR="00EC3C79">
        <w:rPr>
          <w:rFonts w:ascii="Times New Roman" w:hAnsi="Times New Roman" w:cs="Times New Roman"/>
          <w:sz w:val="24"/>
          <w:szCs w:val="24"/>
        </w:rPr>
        <w:t xml:space="preserve"> </w:t>
      </w:r>
      <w:r w:rsidR="00EC3C79">
        <w:rPr>
          <w:rFonts w:ascii="Times New Roman" w:hAnsi="Times New Roman" w:cs="Times New Roman"/>
          <w:i/>
          <w:iCs/>
          <w:sz w:val="24"/>
          <w:szCs w:val="24"/>
        </w:rPr>
        <w:t>Trist</w:t>
      </w:r>
      <w:r w:rsidR="00EC3C79">
        <w:rPr>
          <w:rFonts w:ascii="Times New Roman" w:hAnsi="Times New Roman" w:cs="Times New Roman"/>
          <w:sz w:val="24"/>
          <w:szCs w:val="24"/>
        </w:rPr>
        <w:t xml:space="preserve"> holding </w:t>
      </w:r>
      <w:r w:rsidR="00CB5E24">
        <w:rPr>
          <w:rFonts w:ascii="Times New Roman" w:hAnsi="Times New Roman" w:cs="Times New Roman"/>
          <w:sz w:val="24"/>
          <w:szCs w:val="24"/>
        </w:rPr>
        <w:t xml:space="preserve">planted a seed which had </w:t>
      </w:r>
      <w:r w:rsidR="00A07E96">
        <w:rPr>
          <w:rFonts w:ascii="Times New Roman" w:hAnsi="Times New Roman" w:cs="Times New Roman"/>
          <w:sz w:val="24"/>
          <w:szCs w:val="24"/>
        </w:rPr>
        <w:t xml:space="preserve">slowly taken root by distinguishing </w:t>
      </w:r>
      <w:r w:rsidR="00C82EF1">
        <w:rPr>
          <w:rFonts w:ascii="Times New Roman" w:hAnsi="Times New Roman" w:cs="Times New Roman"/>
          <w:sz w:val="24"/>
          <w:szCs w:val="24"/>
        </w:rPr>
        <w:t xml:space="preserve">influence peddling </w:t>
      </w:r>
      <w:r w:rsidR="00CA33D6">
        <w:rPr>
          <w:rFonts w:ascii="Times New Roman" w:hAnsi="Times New Roman" w:cs="Times New Roman"/>
          <w:sz w:val="24"/>
          <w:szCs w:val="24"/>
        </w:rPr>
        <w:t xml:space="preserve">arrangements </w:t>
      </w:r>
      <w:r w:rsidR="00C82EF1">
        <w:rPr>
          <w:rFonts w:ascii="Times New Roman" w:hAnsi="Times New Roman" w:cs="Times New Roman"/>
          <w:sz w:val="24"/>
          <w:szCs w:val="24"/>
        </w:rPr>
        <w:t xml:space="preserve">from </w:t>
      </w:r>
      <w:r w:rsidR="00BB2D0B">
        <w:rPr>
          <w:rFonts w:ascii="Times New Roman" w:hAnsi="Times New Roman" w:cs="Times New Roman"/>
          <w:sz w:val="24"/>
          <w:szCs w:val="24"/>
        </w:rPr>
        <w:t>“an agreement</w:t>
      </w:r>
      <w:r w:rsidR="00676E7D">
        <w:rPr>
          <w:rFonts w:ascii="Times New Roman" w:hAnsi="Times New Roman" w:cs="Times New Roman"/>
          <w:sz w:val="24"/>
          <w:szCs w:val="24"/>
        </w:rPr>
        <w:t>…for purely professional services.”</w:t>
      </w:r>
      <w:r w:rsidR="00676E7D">
        <w:rPr>
          <w:rStyle w:val="FootnoteReference"/>
          <w:rFonts w:ascii="Times New Roman" w:hAnsi="Times New Roman" w:cs="Times New Roman"/>
          <w:sz w:val="24"/>
          <w:szCs w:val="24"/>
        </w:rPr>
        <w:footnoteReference w:id="30"/>
      </w:r>
      <w:r w:rsidR="00F773B1">
        <w:rPr>
          <w:rFonts w:ascii="Times New Roman" w:hAnsi="Times New Roman" w:cs="Times New Roman"/>
          <w:sz w:val="24"/>
          <w:szCs w:val="24"/>
        </w:rPr>
        <w:t xml:space="preserve">  </w:t>
      </w:r>
      <w:r w:rsidR="009F1B74">
        <w:rPr>
          <w:rFonts w:ascii="Times New Roman" w:hAnsi="Times New Roman" w:cs="Times New Roman"/>
          <w:sz w:val="24"/>
          <w:szCs w:val="24"/>
        </w:rPr>
        <w:t>Th</w:t>
      </w:r>
      <w:r w:rsidR="0057308A">
        <w:rPr>
          <w:rFonts w:ascii="Times New Roman" w:hAnsi="Times New Roman" w:cs="Times New Roman"/>
          <w:sz w:val="24"/>
          <w:szCs w:val="24"/>
        </w:rPr>
        <w:t xml:space="preserve">us, </w:t>
      </w:r>
      <w:r w:rsidR="003E6803">
        <w:rPr>
          <w:rFonts w:ascii="Times New Roman" w:hAnsi="Times New Roman" w:cs="Times New Roman"/>
          <w:sz w:val="24"/>
          <w:szCs w:val="24"/>
        </w:rPr>
        <w:t xml:space="preserve">when </w:t>
      </w:r>
      <w:r w:rsidR="00B8666E">
        <w:rPr>
          <w:rFonts w:ascii="Times New Roman" w:hAnsi="Times New Roman" w:cs="Times New Roman"/>
          <w:sz w:val="24"/>
          <w:szCs w:val="24"/>
        </w:rPr>
        <w:t xml:space="preserve">news of </w:t>
      </w:r>
      <w:r w:rsidR="003E6803">
        <w:rPr>
          <w:rFonts w:ascii="Times New Roman" w:hAnsi="Times New Roman" w:cs="Times New Roman"/>
          <w:sz w:val="24"/>
          <w:szCs w:val="24"/>
        </w:rPr>
        <w:t>the Attorney General</w:t>
      </w:r>
      <w:r w:rsidR="00234299">
        <w:rPr>
          <w:rFonts w:ascii="Times New Roman" w:hAnsi="Times New Roman" w:cs="Times New Roman"/>
          <w:sz w:val="24"/>
          <w:szCs w:val="24"/>
        </w:rPr>
        <w:t xml:space="preserve"> </w:t>
      </w:r>
      <w:r w:rsidR="003E76B4">
        <w:rPr>
          <w:rFonts w:ascii="Times New Roman" w:hAnsi="Times New Roman" w:cs="Times New Roman"/>
          <w:sz w:val="24"/>
          <w:szCs w:val="24"/>
        </w:rPr>
        <w:t>Gregory’s</w:t>
      </w:r>
      <w:r w:rsidR="003E6803">
        <w:rPr>
          <w:rFonts w:ascii="Times New Roman" w:hAnsi="Times New Roman" w:cs="Times New Roman"/>
          <w:sz w:val="24"/>
          <w:szCs w:val="24"/>
        </w:rPr>
        <w:t xml:space="preserve"> </w:t>
      </w:r>
      <w:r w:rsidR="00CE2A21">
        <w:rPr>
          <w:rFonts w:ascii="Times New Roman" w:hAnsi="Times New Roman" w:cs="Times New Roman"/>
          <w:sz w:val="24"/>
          <w:szCs w:val="24"/>
        </w:rPr>
        <w:t>outright prohibition on contingent fees</w:t>
      </w:r>
      <w:r w:rsidR="00F727D3">
        <w:rPr>
          <w:rFonts w:ascii="Times New Roman" w:hAnsi="Times New Roman" w:cs="Times New Roman"/>
          <w:sz w:val="24"/>
          <w:szCs w:val="24"/>
        </w:rPr>
        <w:t xml:space="preserve"> </w:t>
      </w:r>
      <w:r w:rsidR="00B8666E">
        <w:rPr>
          <w:rFonts w:ascii="Times New Roman" w:hAnsi="Times New Roman" w:cs="Times New Roman"/>
          <w:sz w:val="24"/>
          <w:szCs w:val="24"/>
        </w:rPr>
        <w:t xml:space="preserve">reached the </w:t>
      </w:r>
      <w:r w:rsidR="00B557C8">
        <w:rPr>
          <w:rFonts w:ascii="Times New Roman" w:hAnsi="Times New Roman" w:cs="Times New Roman"/>
          <w:sz w:val="24"/>
          <w:szCs w:val="24"/>
        </w:rPr>
        <w:t>public,</w:t>
      </w:r>
      <w:r w:rsidR="00B8666E">
        <w:rPr>
          <w:rFonts w:ascii="Times New Roman" w:hAnsi="Times New Roman" w:cs="Times New Roman"/>
          <w:sz w:val="24"/>
          <w:szCs w:val="24"/>
        </w:rPr>
        <w:t xml:space="preserve"> it was met with vocal protest from industry, sales</w:t>
      </w:r>
      <w:r w:rsidR="005A3F42">
        <w:rPr>
          <w:rFonts w:ascii="Times New Roman" w:hAnsi="Times New Roman" w:cs="Times New Roman"/>
          <w:sz w:val="24"/>
          <w:szCs w:val="24"/>
        </w:rPr>
        <w:t xml:space="preserve"> representatives, and lobbyists.  Responding to the criticism</w:t>
      </w:r>
      <w:r w:rsidR="00CA33D6">
        <w:rPr>
          <w:rFonts w:ascii="Times New Roman" w:hAnsi="Times New Roman" w:cs="Times New Roman"/>
          <w:sz w:val="24"/>
          <w:szCs w:val="24"/>
        </w:rPr>
        <w:t>,</w:t>
      </w:r>
      <w:r w:rsidR="005A3F42">
        <w:rPr>
          <w:rFonts w:ascii="Times New Roman" w:hAnsi="Times New Roman" w:cs="Times New Roman"/>
          <w:sz w:val="24"/>
          <w:szCs w:val="24"/>
        </w:rPr>
        <w:t xml:space="preserve"> President Wilson intervened, declaring that “</w:t>
      </w:r>
      <w:r w:rsidR="004F713F">
        <w:rPr>
          <w:rFonts w:ascii="Times New Roman" w:hAnsi="Times New Roman" w:cs="Times New Roman"/>
          <w:sz w:val="24"/>
          <w:szCs w:val="24"/>
        </w:rPr>
        <w:t xml:space="preserve">our single object [in proposing the Covenant] was to prevent the contingent fee based upon no real service whatever” and </w:t>
      </w:r>
      <w:r w:rsidR="00BC73D0">
        <w:rPr>
          <w:rFonts w:ascii="Times New Roman" w:hAnsi="Times New Roman" w:cs="Times New Roman"/>
          <w:sz w:val="24"/>
          <w:szCs w:val="24"/>
        </w:rPr>
        <w:t xml:space="preserve">thereafter </w:t>
      </w:r>
      <w:r w:rsidR="004F713F">
        <w:rPr>
          <w:rFonts w:ascii="Times New Roman" w:hAnsi="Times New Roman" w:cs="Times New Roman"/>
          <w:sz w:val="24"/>
          <w:szCs w:val="24"/>
        </w:rPr>
        <w:t xml:space="preserve">expressly </w:t>
      </w:r>
      <w:r w:rsidR="005B1BE8">
        <w:rPr>
          <w:rFonts w:ascii="Times New Roman" w:hAnsi="Times New Roman" w:cs="Times New Roman"/>
          <w:sz w:val="24"/>
          <w:szCs w:val="24"/>
        </w:rPr>
        <w:t>exempted “bona fide commercial representatives employed by the contractor</w:t>
      </w:r>
      <w:r w:rsidR="00F358B0">
        <w:rPr>
          <w:rFonts w:ascii="Times New Roman" w:hAnsi="Times New Roman" w:cs="Times New Roman"/>
          <w:sz w:val="24"/>
          <w:szCs w:val="24"/>
        </w:rPr>
        <w:t>.”</w:t>
      </w:r>
      <w:bookmarkStart w:id="10" w:name="_Ref153474203"/>
      <w:r w:rsidR="00F358B0">
        <w:rPr>
          <w:rStyle w:val="FootnoteReference"/>
          <w:rFonts w:ascii="Times New Roman" w:hAnsi="Times New Roman" w:cs="Times New Roman"/>
          <w:sz w:val="24"/>
          <w:szCs w:val="24"/>
        </w:rPr>
        <w:footnoteReference w:id="31"/>
      </w:r>
      <w:bookmarkEnd w:id="10"/>
    </w:p>
    <w:p w14:paraId="1FBB1FBE" w14:textId="5AD01A47" w:rsidR="004517B3" w:rsidRDefault="004517B3" w:rsidP="0042022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President Wilson’s intervention </w:t>
      </w:r>
      <w:r w:rsidR="00CD0EFC">
        <w:rPr>
          <w:rFonts w:ascii="Times New Roman" w:hAnsi="Times New Roman" w:cs="Times New Roman"/>
          <w:sz w:val="24"/>
          <w:szCs w:val="24"/>
        </w:rPr>
        <w:t xml:space="preserve">represented a philosophical </w:t>
      </w:r>
      <w:r w:rsidR="00D86EE5">
        <w:rPr>
          <w:rFonts w:ascii="Times New Roman" w:hAnsi="Times New Roman" w:cs="Times New Roman"/>
          <w:sz w:val="24"/>
          <w:szCs w:val="24"/>
        </w:rPr>
        <w:t>shift in the evolution of the Covenant Against Contingent Fees</w:t>
      </w:r>
      <w:r w:rsidR="007F087F">
        <w:rPr>
          <w:rFonts w:ascii="Times New Roman" w:hAnsi="Times New Roman" w:cs="Times New Roman"/>
          <w:sz w:val="24"/>
          <w:szCs w:val="24"/>
        </w:rPr>
        <w:t xml:space="preserve"> whereby lobbying </w:t>
      </w:r>
      <w:r w:rsidR="00863B05">
        <w:rPr>
          <w:rFonts w:ascii="Times New Roman" w:hAnsi="Times New Roman" w:cs="Times New Roman"/>
          <w:sz w:val="24"/>
          <w:szCs w:val="24"/>
        </w:rPr>
        <w:t xml:space="preserve">was increasingly recognized as a legitimate professional service as opposed to a </w:t>
      </w:r>
      <w:r w:rsidR="006D3240">
        <w:rPr>
          <w:rFonts w:ascii="Times New Roman" w:hAnsi="Times New Roman" w:cs="Times New Roman"/>
          <w:sz w:val="24"/>
          <w:szCs w:val="24"/>
        </w:rPr>
        <w:t>‘</w:t>
      </w:r>
      <w:r w:rsidR="00863B05">
        <w:rPr>
          <w:rFonts w:ascii="Times New Roman" w:hAnsi="Times New Roman" w:cs="Times New Roman"/>
          <w:sz w:val="24"/>
          <w:szCs w:val="24"/>
        </w:rPr>
        <w:t>sinister</w:t>
      </w:r>
      <w:r w:rsidR="006D3240">
        <w:rPr>
          <w:rFonts w:ascii="Times New Roman" w:hAnsi="Times New Roman" w:cs="Times New Roman"/>
          <w:sz w:val="24"/>
          <w:szCs w:val="24"/>
        </w:rPr>
        <w:t xml:space="preserve">’ and corrupting practice.  </w:t>
      </w:r>
      <w:r w:rsidR="00497123">
        <w:rPr>
          <w:rFonts w:ascii="Times New Roman" w:hAnsi="Times New Roman" w:cs="Times New Roman"/>
          <w:sz w:val="24"/>
          <w:szCs w:val="24"/>
        </w:rPr>
        <w:t xml:space="preserve">Indeed, when the House of Representatives </w:t>
      </w:r>
      <w:r w:rsidR="00895346">
        <w:rPr>
          <w:rFonts w:ascii="Times New Roman" w:hAnsi="Times New Roman" w:cs="Times New Roman"/>
          <w:sz w:val="24"/>
          <w:szCs w:val="24"/>
        </w:rPr>
        <w:t>passed H.R. 7304</w:t>
      </w:r>
      <w:r w:rsidR="007B33DE">
        <w:rPr>
          <w:rFonts w:ascii="Times New Roman" w:hAnsi="Times New Roman" w:cs="Times New Roman"/>
          <w:sz w:val="24"/>
          <w:szCs w:val="24"/>
        </w:rPr>
        <w:t xml:space="preserve"> to prohibit the use</w:t>
      </w:r>
      <w:r w:rsidR="00497123">
        <w:rPr>
          <w:rFonts w:ascii="Times New Roman" w:hAnsi="Times New Roman" w:cs="Times New Roman"/>
          <w:sz w:val="24"/>
          <w:szCs w:val="24"/>
        </w:rPr>
        <w:t xml:space="preserve"> </w:t>
      </w:r>
      <w:r w:rsidR="00DE0ED6">
        <w:rPr>
          <w:rFonts w:ascii="Times New Roman" w:hAnsi="Times New Roman" w:cs="Times New Roman"/>
          <w:sz w:val="24"/>
          <w:szCs w:val="24"/>
        </w:rPr>
        <w:t xml:space="preserve">of contingent fees in </w:t>
      </w:r>
      <w:r w:rsidR="00C7251D">
        <w:rPr>
          <w:rFonts w:ascii="Times New Roman" w:hAnsi="Times New Roman" w:cs="Times New Roman"/>
          <w:sz w:val="24"/>
          <w:szCs w:val="24"/>
        </w:rPr>
        <w:t xml:space="preserve">1942, the </w:t>
      </w:r>
      <w:r w:rsidR="007B33DE">
        <w:rPr>
          <w:rFonts w:ascii="Times New Roman" w:hAnsi="Times New Roman" w:cs="Times New Roman"/>
          <w:sz w:val="24"/>
          <w:szCs w:val="24"/>
        </w:rPr>
        <w:t xml:space="preserve">Senate was inundated </w:t>
      </w:r>
      <w:r w:rsidR="00D8682D">
        <w:rPr>
          <w:rFonts w:ascii="Times New Roman" w:hAnsi="Times New Roman" w:cs="Times New Roman"/>
          <w:sz w:val="24"/>
          <w:szCs w:val="24"/>
        </w:rPr>
        <w:t>with protests</w:t>
      </w:r>
      <w:r w:rsidR="00A45B85">
        <w:rPr>
          <w:rFonts w:ascii="Times New Roman" w:hAnsi="Times New Roman" w:cs="Times New Roman"/>
          <w:sz w:val="24"/>
          <w:szCs w:val="24"/>
        </w:rPr>
        <w:t xml:space="preserve"> </w:t>
      </w:r>
      <w:proofErr w:type="gramStart"/>
      <w:r w:rsidR="00A45B85">
        <w:rPr>
          <w:rFonts w:ascii="Times New Roman" w:hAnsi="Times New Roman" w:cs="Times New Roman"/>
          <w:sz w:val="24"/>
          <w:szCs w:val="24"/>
        </w:rPr>
        <w:t>similar to</w:t>
      </w:r>
      <w:proofErr w:type="gramEnd"/>
      <w:r w:rsidR="00A45B85">
        <w:rPr>
          <w:rFonts w:ascii="Times New Roman" w:hAnsi="Times New Roman" w:cs="Times New Roman"/>
          <w:sz w:val="24"/>
          <w:szCs w:val="24"/>
        </w:rPr>
        <w:t xml:space="preserve"> those faced by President Wilson</w:t>
      </w:r>
      <w:r w:rsidR="00CA33D6">
        <w:rPr>
          <w:rFonts w:ascii="Times New Roman" w:hAnsi="Times New Roman" w:cs="Times New Roman"/>
          <w:sz w:val="24"/>
          <w:szCs w:val="24"/>
        </w:rPr>
        <w:t xml:space="preserve"> years prior</w:t>
      </w:r>
      <w:r w:rsidR="00FB255F">
        <w:rPr>
          <w:rFonts w:ascii="Times New Roman" w:hAnsi="Times New Roman" w:cs="Times New Roman"/>
          <w:sz w:val="24"/>
          <w:szCs w:val="24"/>
        </w:rPr>
        <w:t xml:space="preserve">, </w:t>
      </w:r>
      <w:r w:rsidR="00AE78AC">
        <w:rPr>
          <w:rFonts w:ascii="Times New Roman" w:hAnsi="Times New Roman" w:cs="Times New Roman"/>
          <w:sz w:val="24"/>
          <w:szCs w:val="24"/>
        </w:rPr>
        <w:t>and the bill failed</w:t>
      </w:r>
      <w:r w:rsidR="00A45B85">
        <w:rPr>
          <w:rFonts w:ascii="Times New Roman" w:hAnsi="Times New Roman" w:cs="Times New Roman"/>
          <w:sz w:val="24"/>
          <w:szCs w:val="24"/>
        </w:rPr>
        <w:t>.</w:t>
      </w:r>
      <w:r w:rsidR="001F2BD1">
        <w:rPr>
          <w:rFonts w:ascii="Times New Roman" w:hAnsi="Times New Roman" w:cs="Times New Roman"/>
          <w:sz w:val="24"/>
          <w:szCs w:val="24"/>
        </w:rPr>
        <w:t xml:space="preserve">  “Thus, the attempt to ban unconditionally such contingent fee contracts</w:t>
      </w:r>
      <w:r w:rsidR="00DE67C1">
        <w:rPr>
          <w:rFonts w:ascii="Times New Roman" w:hAnsi="Times New Roman" w:cs="Times New Roman"/>
          <w:sz w:val="24"/>
          <w:szCs w:val="24"/>
        </w:rPr>
        <w:t>, as a panacea for the problem of the unscrupulous agent, met with the same fate in Congress as it did in the Executive Branch.</w:t>
      </w:r>
      <w:r w:rsidR="00DC1E82">
        <w:rPr>
          <w:rFonts w:ascii="Times New Roman" w:hAnsi="Times New Roman" w:cs="Times New Roman"/>
          <w:sz w:val="24"/>
          <w:szCs w:val="24"/>
        </w:rPr>
        <w:t>”</w:t>
      </w:r>
      <w:r w:rsidR="00AE78AC">
        <w:rPr>
          <w:rStyle w:val="FootnoteReference"/>
          <w:rFonts w:ascii="Times New Roman" w:hAnsi="Times New Roman" w:cs="Times New Roman"/>
          <w:sz w:val="24"/>
          <w:szCs w:val="24"/>
        </w:rPr>
        <w:footnoteReference w:id="32"/>
      </w:r>
      <w:r w:rsidR="00CA33D6">
        <w:rPr>
          <w:rFonts w:ascii="Times New Roman" w:hAnsi="Times New Roman" w:cs="Times New Roman"/>
          <w:sz w:val="24"/>
          <w:szCs w:val="24"/>
        </w:rPr>
        <w:t xml:space="preserve">  </w:t>
      </w:r>
    </w:p>
    <w:p w14:paraId="5EB47649" w14:textId="171EADF4" w:rsidR="0042022C" w:rsidRDefault="00554CAE" w:rsidP="004202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federal requirement that public procurement contracts include the Covenant Against Contingent Fees was </w:t>
      </w:r>
      <w:r w:rsidR="00C63167">
        <w:rPr>
          <w:rFonts w:ascii="Times New Roman" w:hAnsi="Times New Roman" w:cs="Times New Roman"/>
          <w:sz w:val="24"/>
          <w:szCs w:val="24"/>
        </w:rPr>
        <w:t>finally codified through the Armed Services Procurement Act of 1947 and the Federal Property and Administrative Services Act of 1949.</w:t>
      </w:r>
      <w:r w:rsidR="00855AF2">
        <w:rPr>
          <w:rStyle w:val="FootnoteReference"/>
          <w:rFonts w:ascii="Times New Roman" w:hAnsi="Times New Roman" w:cs="Times New Roman"/>
          <w:sz w:val="24"/>
          <w:szCs w:val="24"/>
        </w:rPr>
        <w:footnoteReference w:id="33"/>
      </w:r>
      <w:r w:rsidR="00855AF2">
        <w:rPr>
          <w:rFonts w:ascii="Times New Roman" w:hAnsi="Times New Roman" w:cs="Times New Roman"/>
          <w:sz w:val="24"/>
          <w:szCs w:val="24"/>
        </w:rPr>
        <w:t xml:space="preserve">  Both </w:t>
      </w:r>
      <w:r w:rsidR="007529AC">
        <w:rPr>
          <w:rFonts w:ascii="Times New Roman" w:hAnsi="Times New Roman" w:cs="Times New Roman"/>
          <w:sz w:val="24"/>
          <w:szCs w:val="24"/>
        </w:rPr>
        <w:t xml:space="preserve">statutes </w:t>
      </w:r>
      <w:r w:rsidR="00855AF2">
        <w:rPr>
          <w:rFonts w:ascii="Times New Roman" w:hAnsi="Times New Roman" w:cs="Times New Roman"/>
          <w:sz w:val="24"/>
          <w:szCs w:val="24"/>
        </w:rPr>
        <w:t>contained the “bon</w:t>
      </w:r>
      <w:r w:rsidR="00CA33D6">
        <w:rPr>
          <w:rFonts w:ascii="Times New Roman" w:hAnsi="Times New Roman" w:cs="Times New Roman"/>
          <w:sz w:val="24"/>
          <w:szCs w:val="24"/>
        </w:rPr>
        <w:t>a</w:t>
      </w:r>
      <w:r w:rsidR="00855AF2">
        <w:rPr>
          <w:rFonts w:ascii="Times New Roman" w:hAnsi="Times New Roman" w:cs="Times New Roman"/>
          <w:sz w:val="24"/>
          <w:szCs w:val="24"/>
        </w:rPr>
        <w:t xml:space="preserve"> fide employees” exception</w:t>
      </w:r>
      <w:r w:rsidR="00725116">
        <w:rPr>
          <w:rFonts w:ascii="Times New Roman" w:hAnsi="Times New Roman" w:cs="Times New Roman"/>
          <w:sz w:val="24"/>
          <w:szCs w:val="24"/>
        </w:rPr>
        <w:t>.</w:t>
      </w:r>
      <w:r w:rsidR="00EA6261">
        <w:rPr>
          <w:rFonts w:ascii="Times New Roman" w:hAnsi="Times New Roman" w:cs="Times New Roman"/>
          <w:sz w:val="24"/>
          <w:szCs w:val="24"/>
        </w:rPr>
        <w:t xml:space="preserve">  T</w:t>
      </w:r>
      <w:r w:rsidR="0093417A">
        <w:rPr>
          <w:rFonts w:ascii="Times New Roman" w:hAnsi="Times New Roman" w:cs="Times New Roman"/>
          <w:sz w:val="24"/>
          <w:szCs w:val="24"/>
        </w:rPr>
        <w:t>oday the Covenant endures in the Federal Acquisition Regulation (</w:t>
      </w:r>
      <w:r w:rsidR="00DE07BD">
        <w:rPr>
          <w:rFonts w:ascii="Times New Roman" w:hAnsi="Times New Roman" w:cs="Times New Roman"/>
          <w:sz w:val="24"/>
          <w:szCs w:val="24"/>
        </w:rPr>
        <w:t>‘</w:t>
      </w:r>
      <w:r w:rsidR="0093417A">
        <w:rPr>
          <w:rFonts w:ascii="Times New Roman" w:hAnsi="Times New Roman" w:cs="Times New Roman"/>
          <w:sz w:val="24"/>
          <w:szCs w:val="24"/>
        </w:rPr>
        <w:t>FAR</w:t>
      </w:r>
      <w:r w:rsidR="00DE07BD">
        <w:rPr>
          <w:rFonts w:ascii="Times New Roman" w:hAnsi="Times New Roman" w:cs="Times New Roman"/>
          <w:sz w:val="24"/>
          <w:szCs w:val="24"/>
        </w:rPr>
        <w:t>’</w:t>
      </w:r>
      <w:r w:rsidR="0093417A">
        <w:rPr>
          <w:rFonts w:ascii="Times New Roman" w:hAnsi="Times New Roman" w:cs="Times New Roman"/>
          <w:sz w:val="24"/>
          <w:szCs w:val="24"/>
        </w:rPr>
        <w:t>)</w:t>
      </w:r>
      <w:r w:rsidR="00D16262">
        <w:rPr>
          <w:rFonts w:ascii="Times New Roman" w:hAnsi="Times New Roman" w:cs="Times New Roman"/>
          <w:sz w:val="24"/>
          <w:szCs w:val="24"/>
        </w:rPr>
        <w:t xml:space="preserve"> virtually unchanged in substance.</w:t>
      </w:r>
      <w:r w:rsidR="00D16262">
        <w:rPr>
          <w:rStyle w:val="FootnoteReference"/>
          <w:rFonts w:ascii="Times New Roman" w:hAnsi="Times New Roman" w:cs="Times New Roman"/>
          <w:sz w:val="24"/>
          <w:szCs w:val="24"/>
        </w:rPr>
        <w:footnoteReference w:id="34"/>
      </w:r>
    </w:p>
    <w:p w14:paraId="2CA9F064" w14:textId="41A7C1FC" w:rsidR="00CA33D6" w:rsidRDefault="00CA33D6" w:rsidP="0042022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FAR recognizes contingent fee arrangements as “contrary</w:t>
      </w:r>
      <w:r>
        <w:rPr>
          <w:rFonts w:ascii="Times New Roman" w:hAnsi="Times New Roman" w:cs="Times New Roman"/>
          <w:sz w:val="24"/>
          <w:szCs w:val="24"/>
        </w:rPr>
        <w:t xml:space="preserve"> to public policy because such arrangements may lead to [the] attempted or actual exercise of improper influence.”  This sentence echoes </w:t>
      </w:r>
      <w:r>
        <w:rPr>
          <w:rFonts w:ascii="Times New Roman" w:hAnsi="Times New Roman" w:cs="Times New Roman"/>
          <w:i/>
          <w:iCs/>
          <w:sz w:val="24"/>
          <w:szCs w:val="24"/>
        </w:rPr>
        <w:t xml:space="preserve">Providence </w:t>
      </w:r>
      <w:r w:rsidRPr="00CA33D6">
        <w:rPr>
          <w:rFonts w:ascii="Times New Roman" w:hAnsi="Times New Roman" w:cs="Times New Roman"/>
          <w:i/>
          <w:iCs/>
          <w:sz w:val="24"/>
          <w:szCs w:val="24"/>
        </w:rPr>
        <w:t>Tool</w:t>
      </w:r>
      <w:r>
        <w:rPr>
          <w:rFonts w:ascii="Times New Roman" w:hAnsi="Times New Roman" w:cs="Times New Roman"/>
          <w:sz w:val="24"/>
          <w:szCs w:val="24"/>
        </w:rPr>
        <w:t xml:space="preserve"> but concedes in the next sentence that “C</w:t>
      </w:r>
      <w:r w:rsidRPr="00CA33D6">
        <w:rPr>
          <w:rFonts w:ascii="Times New Roman" w:hAnsi="Times New Roman" w:cs="Times New Roman"/>
          <w:sz w:val="24"/>
          <w:szCs w:val="24"/>
        </w:rPr>
        <w:t>ongress</w:t>
      </w:r>
      <w:r>
        <w:rPr>
          <w:rFonts w:ascii="Times New Roman" w:hAnsi="Times New Roman" w:cs="Times New Roman"/>
          <w:sz w:val="24"/>
          <w:szCs w:val="24"/>
        </w:rPr>
        <w:t xml:space="preserve"> affirmed this </w:t>
      </w:r>
      <w:proofErr w:type="gramStart"/>
      <w:r>
        <w:rPr>
          <w:rFonts w:ascii="Times New Roman" w:hAnsi="Times New Roman" w:cs="Times New Roman"/>
          <w:sz w:val="24"/>
          <w:szCs w:val="24"/>
        </w:rPr>
        <w:t>policy, but</w:t>
      </w:r>
      <w:proofErr w:type="gramEnd"/>
      <w:r>
        <w:rPr>
          <w:rFonts w:ascii="Times New Roman" w:hAnsi="Times New Roman" w:cs="Times New Roman"/>
          <w:sz w:val="24"/>
          <w:szCs w:val="24"/>
        </w:rPr>
        <w:t xml:space="preserve"> permitted certain exceptions.”</w:t>
      </w:r>
      <w:r>
        <w:rPr>
          <w:rStyle w:val="FootnoteReference"/>
          <w:rFonts w:ascii="Times New Roman" w:hAnsi="Times New Roman" w:cs="Times New Roman"/>
          <w:sz w:val="24"/>
          <w:szCs w:val="24"/>
        </w:rPr>
        <w:footnoteReference w:id="35"/>
      </w:r>
      <w:r w:rsidR="00113C06">
        <w:rPr>
          <w:rFonts w:ascii="Times New Roman" w:hAnsi="Times New Roman" w:cs="Times New Roman"/>
          <w:sz w:val="24"/>
          <w:szCs w:val="24"/>
        </w:rPr>
        <w:t xml:space="preserve">  The FAR provides a list of sanctions for violations, including rejection of a bid (if knowledge is received prior to award), annulment of the contract or recovery of the value of the contingent fee, suspension or debarment, or a criminal referral in the case of fraud.</w:t>
      </w:r>
      <w:r w:rsidR="00113C06">
        <w:rPr>
          <w:rStyle w:val="FootnoteReference"/>
          <w:rFonts w:ascii="Times New Roman" w:hAnsi="Times New Roman" w:cs="Times New Roman"/>
          <w:sz w:val="24"/>
          <w:szCs w:val="24"/>
        </w:rPr>
        <w:footnoteReference w:id="36"/>
      </w:r>
      <w:r w:rsidR="005D3C3B" w:rsidRPr="005D3C3B">
        <w:rPr>
          <w:rFonts w:ascii="Times New Roman" w:hAnsi="Times New Roman" w:cs="Times New Roman"/>
          <w:sz w:val="24"/>
          <w:szCs w:val="24"/>
        </w:rPr>
        <w:t xml:space="preserve"> </w:t>
      </w:r>
      <w:r w:rsidR="005D3C3B">
        <w:rPr>
          <w:rFonts w:ascii="Times New Roman" w:hAnsi="Times New Roman" w:cs="Times New Roman"/>
          <w:sz w:val="24"/>
          <w:szCs w:val="24"/>
        </w:rPr>
        <w:t xml:space="preserve"> Though the regulation </w:t>
      </w:r>
      <w:r w:rsidR="005D3C3B">
        <w:rPr>
          <w:rFonts w:ascii="Times New Roman" w:hAnsi="Times New Roman" w:cs="Times New Roman"/>
          <w:sz w:val="24"/>
          <w:szCs w:val="24"/>
        </w:rPr>
        <w:t xml:space="preserve">directs a government personnel who suspect or receive evidence of such an arrangement to notify the contracting officer, </w:t>
      </w:r>
      <w:r w:rsidR="005D3C3B">
        <w:rPr>
          <w:rFonts w:ascii="Times New Roman" w:hAnsi="Times New Roman" w:cs="Times New Roman"/>
          <w:sz w:val="24"/>
          <w:szCs w:val="24"/>
        </w:rPr>
        <w:t>it</w:t>
      </w:r>
      <w:r w:rsidR="005D3C3B">
        <w:rPr>
          <w:rFonts w:ascii="Times New Roman" w:hAnsi="Times New Roman" w:cs="Times New Roman"/>
          <w:sz w:val="24"/>
          <w:szCs w:val="24"/>
        </w:rPr>
        <w:t xml:space="preserve"> imposes no monitoring mechanism on either the contractor or the contracting officer.</w:t>
      </w:r>
      <w:r w:rsidR="005D3C3B">
        <w:rPr>
          <w:rStyle w:val="FootnoteReference"/>
          <w:rFonts w:ascii="Times New Roman" w:hAnsi="Times New Roman" w:cs="Times New Roman"/>
          <w:sz w:val="24"/>
          <w:szCs w:val="24"/>
        </w:rPr>
        <w:footnoteReference w:id="37"/>
      </w:r>
    </w:p>
    <w:p w14:paraId="1295544F" w14:textId="0115FBB5" w:rsidR="0053474C" w:rsidRPr="00DE07BD" w:rsidRDefault="00113C06" w:rsidP="0042022C">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summary, t</w:t>
      </w:r>
      <w:r w:rsidR="00DE07BD">
        <w:rPr>
          <w:rFonts w:ascii="Times New Roman" w:hAnsi="Times New Roman" w:cs="Times New Roman"/>
          <w:sz w:val="24"/>
          <w:szCs w:val="24"/>
        </w:rPr>
        <w:t xml:space="preserve">he journey from </w:t>
      </w:r>
      <w:r w:rsidR="00DE07BD">
        <w:rPr>
          <w:rFonts w:ascii="Times New Roman" w:hAnsi="Times New Roman" w:cs="Times New Roman"/>
          <w:i/>
          <w:iCs/>
          <w:sz w:val="24"/>
          <w:szCs w:val="24"/>
        </w:rPr>
        <w:t>Providence Tool</w:t>
      </w:r>
      <w:r w:rsidR="00DE07BD">
        <w:rPr>
          <w:rFonts w:ascii="Times New Roman" w:hAnsi="Times New Roman" w:cs="Times New Roman"/>
          <w:sz w:val="24"/>
          <w:szCs w:val="24"/>
        </w:rPr>
        <w:t xml:space="preserve"> to </w:t>
      </w:r>
      <w:r w:rsidR="00513189">
        <w:rPr>
          <w:rFonts w:ascii="Times New Roman" w:hAnsi="Times New Roman" w:cs="Times New Roman"/>
          <w:sz w:val="24"/>
          <w:szCs w:val="24"/>
        </w:rPr>
        <w:t>today’s</w:t>
      </w:r>
      <w:r w:rsidR="00BA3625">
        <w:rPr>
          <w:rFonts w:ascii="Times New Roman" w:hAnsi="Times New Roman" w:cs="Times New Roman"/>
          <w:sz w:val="24"/>
          <w:szCs w:val="24"/>
        </w:rPr>
        <w:t xml:space="preserve"> FAR</w:t>
      </w:r>
      <w:r w:rsidR="00750A2A">
        <w:rPr>
          <w:rFonts w:ascii="Times New Roman" w:hAnsi="Times New Roman" w:cs="Times New Roman"/>
          <w:sz w:val="24"/>
          <w:szCs w:val="24"/>
        </w:rPr>
        <w:t xml:space="preserve"> </w:t>
      </w:r>
      <w:r w:rsidR="005D3C3B">
        <w:rPr>
          <w:rFonts w:ascii="Times New Roman" w:hAnsi="Times New Roman" w:cs="Times New Roman"/>
          <w:sz w:val="24"/>
          <w:szCs w:val="24"/>
        </w:rPr>
        <w:t xml:space="preserve">has </w:t>
      </w:r>
      <w:r w:rsidR="002C3C27">
        <w:rPr>
          <w:rFonts w:ascii="Times New Roman" w:hAnsi="Times New Roman" w:cs="Times New Roman"/>
          <w:sz w:val="24"/>
          <w:szCs w:val="24"/>
        </w:rPr>
        <w:t xml:space="preserve">deviated from the concerns that animated the </w:t>
      </w:r>
      <w:r w:rsidR="005D3C3B">
        <w:rPr>
          <w:rFonts w:ascii="Times New Roman" w:hAnsi="Times New Roman" w:cs="Times New Roman"/>
          <w:sz w:val="24"/>
          <w:szCs w:val="24"/>
        </w:rPr>
        <w:t>Supreme Court</w:t>
      </w:r>
      <w:r w:rsidR="002C3C27">
        <w:rPr>
          <w:rFonts w:ascii="Times New Roman" w:hAnsi="Times New Roman" w:cs="Times New Roman"/>
          <w:sz w:val="24"/>
          <w:szCs w:val="24"/>
        </w:rPr>
        <w:t xml:space="preserve"> in 1865</w:t>
      </w:r>
      <w:r w:rsidR="00513189">
        <w:rPr>
          <w:rFonts w:ascii="Times New Roman" w:hAnsi="Times New Roman" w:cs="Times New Roman"/>
          <w:sz w:val="24"/>
          <w:szCs w:val="24"/>
        </w:rPr>
        <w:t xml:space="preserve">.  </w:t>
      </w:r>
      <w:r w:rsidR="00594327">
        <w:rPr>
          <w:rFonts w:ascii="Times New Roman" w:hAnsi="Times New Roman" w:cs="Times New Roman"/>
          <w:sz w:val="24"/>
          <w:szCs w:val="24"/>
        </w:rPr>
        <w:t>A</w:t>
      </w:r>
      <w:r w:rsidR="0097276E">
        <w:rPr>
          <w:rFonts w:ascii="Times New Roman" w:hAnsi="Times New Roman" w:cs="Times New Roman"/>
          <w:sz w:val="24"/>
          <w:szCs w:val="24"/>
        </w:rPr>
        <w:t xml:space="preserve"> </w:t>
      </w:r>
      <w:r>
        <w:rPr>
          <w:rFonts w:ascii="Times New Roman" w:hAnsi="Times New Roman" w:cs="Times New Roman"/>
          <w:sz w:val="24"/>
          <w:szCs w:val="24"/>
        </w:rPr>
        <w:t>casual</w:t>
      </w:r>
      <w:r w:rsidR="0097276E">
        <w:rPr>
          <w:rFonts w:ascii="Times New Roman" w:hAnsi="Times New Roman" w:cs="Times New Roman"/>
          <w:sz w:val="24"/>
          <w:szCs w:val="24"/>
        </w:rPr>
        <w:t xml:space="preserve"> reader </w:t>
      </w:r>
      <w:r w:rsidR="00594327">
        <w:rPr>
          <w:rFonts w:ascii="Times New Roman" w:hAnsi="Times New Roman" w:cs="Times New Roman"/>
          <w:sz w:val="24"/>
          <w:szCs w:val="24"/>
        </w:rPr>
        <w:t xml:space="preserve">of </w:t>
      </w:r>
      <w:r w:rsidR="008F5909">
        <w:rPr>
          <w:rFonts w:ascii="Times New Roman" w:hAnsi="Times New Roman" w:cs="Times New Roman"/>
          <w:sz w:val="24"/>
          <w:szCs w:val="24"/>
        </w:rPr>
        <w:t xml:space="preserve">the Covenant Against Contingent Fees as it now exists </w:t>
      </w:r>
      <w:r w:rsidR="0097276E">
        <w:rPr>
          <w:rFonts w:ascii="Times New Roman" w:hAnsi="Times New Roman" w:cs="Times New Roman"/>
          <w:sz w:val="24"/>
          <w:szCs w:val="24"/>
        </w:rPr>
        <w:t xml:space="preserve">could be forgiven for failing to </w:t>
      </w:r>
      <w:r w:rsidR="00231264">
        <w:rPr>
          <w:rFonts w:ascii="Times New Roman" w:hAnsi="Times New Roman" w:cs="Times New Roman"/>
          <w:sz w:val="24"/>
          <w:szCs w:val="24"/>
        </w:rPr>
        <w:t>connect the regulation with the</w:t>
      </w:r>
      <w:r w:rsidR="005D3C3B">
        <w:rPr>
          <w:rFonts w:ascii="Times New Roman" w:hAnsi="Times New Roman" w:cs="Times New Roman"/>
          <w:sz w:val="24"/>
          <w:szCs w:val="24"/>
        </w:rPr>
        <w:t xml:space="preserve"> policy concerns </w:t>
      </w:r>
      <w:r w:rsidR="00FF6F46">
        <w:rPr>
          <w:rFonts w:ascii="Times New Roman" w:hAnsi="Times New Roman" w:cs="Times New Roman"/>
          <w:sz w:val="24"/>
          <w:szCs w:val="24"/>
        </w:rPr>
        <w:t>which inspired</w:t>
      </w:r>
      <w:r w:rsidR="005D3C3B">
        <w:rPr>
          <w:rFonts w:ascii="Times New Roman" w:hAnsi="Times New Roman" w:cs="Times New Roman"/>
          <w:sz w:val="24"/>
          <w:szCs w:val="24"/>
        </w:rPr>
        <w:t xml:space="preserve"> it: the</w:t>
      </w:r>
      <w:r w:rsidR="00231264">
        <w:rPr>
          <w:rFonts w:ascii="Times New Roman" w:hAnsi="Times New Roman" w:cs="Times New Roman"/>
          <w:sz w:val="24"/>
          <w:szCs w:val="24"/>
        </w:rPr>
        <w:t xml:space="preserve"> “evils” and “sinister</w:t>
      </w:r>
      <w:r w:rsidR="00241B0F">
        <w:rPr>
          <w:rFonts w:ascii="Times New Roman" w:hAnsi="Times New Roman" w:cs="Times New Roman"/>
          <w:sz w:val="24"/>
          <w:szCs w:val="24"/>
        </w:rPr>
        <w:t>”</w:t>
      </w:r>
      <w:r w:rsidR="0083492E">
        <w:rPr>
          <w:rFonts w:ascii="Times New Roman" w:hAnsi="Times New Roman" w:cs="Times New Roman"/>
          <w:sz w:val="24"/>
          <w:szCs w:val="24"/>
        </w:rPr>
        <w:t xml:space="preserve"> intentions of influence peddlers </w:t>
      </w:r>
      <w:r w:rsidR="00A405E5">
        <w:rPr>
          <w:rFonts w:ascii="Times New Roman" w:hAnsi="Times New Roman" w:cs="Times New Roman"/>
          <w:sz w:val="24"/>
          <w:szCs w:val="24"/>
        </w:rPr>
        <w:t xml:space="preserve">securing government contracts </w:t>
      </w:r>
      <w:r w:rsidR="005D1475">
        <w:rPr>
          <w:rFonts w:ascii="Times New Roman" w:hAnsi="Times New Roman" w:cs="Times New Roman"/>
          <w:sz w:val="24"/>
          <w:szCs w:val="24"/>
        </w:rPr>
        <w:t xml:space="preserve">through personal relationships as opposed to </w:t>
      </w:r>
      <w:r w:rsidR="006C2C0A">
        <w:rPr>
          <w:rFonts w:ascii="Times New Roman" w:hAnsi="Times New Roman" w:cs="Times New Roman"/>
          <w:sz w:val="24"/>
          <w:szCs w:val="24"/>
        </w:rPr>
        <w:t xml:space="preserve">the merits of their </w:t>
      </w:r>
      <w:r w:rsidR="00FF6F46">
        <w:rPr>
          <w:rFonts w:ascii="Times New Roman" w:hAnsi="Times New Roman" w:cs="Times New Roman"/>
          <w:sz w:val="24"/>
          <w:szCs w:val="24"/>
        </w:rPr>
        <w:t>offer</w:t>
      </w:r>
      <w:r w:rsidR="002505DB">
        <w:rPr>
          <w:rFonts w:ascii="Times New Roman" w:hAnsi="Times New Roman" w:cs="Times New Roman"/>
          <w:sz w:val="24"/>
          <w:szCs w:val="24"/>
        </w:rPr>
        <w:t xml:space="preserve">.  </w:t>
      </w:r>
      <w:r w:rsidR="001A4EBC">
        <w:rPr>
          <w:rFonts w:ascii="Times New Roman" w:hAnsi="Times New Roman" w:cs="Times New Roman"/>
          <w:sz w:val="24"/>
          <w:szCs w:val="24"/>
        </w:rPr>
        <w:t xml:space="preserve">Nevertheless, the Covenant </w:t>
      </w:r>
      <w:r w:rsidR="00656AC6">
        <w:rPr>
          <w:rFonts w:ascii="Times New Roman" w:hAnsi="Times New Roman" w:cs="Times New Roman"/>
          <w:sz w:val="24"/>
          <w:szCs w:val="24"/>
        </w:rPr>
        <w:t>persists in every</w:t>
      </w:r>
      <w:r w:rsidR="00771DD4">
        <w:rPr>
          <w:rFonts w:ascii="Times New Roman" w:hAnsi="Times New Roman" w:cs="Times New Roman"/>
          <w:sz w:val="24"/>
          <w:szCs w:val="24"/>
        </w:rPr>
        <w:t xml:space="preserve"> federal public contract</w:t>
      </w:r>
      <w:r w:rsidR="00F01D12">
        <w:rPr>
          <w:rFonts w:ascii="Times New Roman" w:hAnsi="Times New Roman" w:cs="Times New Roman"/>
          <w:sz w:val="24"/>
          <w:szCs w:val="24"/>
        </w:rPr>
        <w:t xml:space="preserve"> ostensibly to </w:t>
      </w:r>
      <w:r w:rsidR="00E816A5">
        <w:rPr>
          <w:rFonts w:ascii="Times New Roman" w:hAnsi="Times New Roman" w:cs="Times New Roman"/>
          <w:sz w:val="24"/>
          <w:szCs w:val="24"/>
        </w:rPr>
        <w:t>safeguard the procurement system from the improper influence of the</w:t>
      </w:r>
      <w:r w:rsidR="00872CE5">
        <w:rPr>
          <w:rFonts w:ascii="Times New Roman" w:hAnsi="Times New Roman" w:cs="Times New Roman"/>
          <w:sz w:val="24"/>
          <w:szCs w:val="24"/>
        </w:rPr>
        <w:t>se agents.</w:t>
      </w:r>
    </w:p>
    <w:p w14:paraId="051CBD83" w14:textId="65766AF6" w:rsidR="00461E1A" w:rsidRPr="00A3353B" w:rsidRDefault="00461E1A" w:rsidP="00A3353B">
      <w:pPr>
        <w:pStyle w:val="Heading2"/>
      </w:pPr>
      <w:bookmarkStart w:id="11" w:name="_Toc153485962"/>
      <w:r w:rsidRPr="00A3353B">
        <w:lastRenderedPageBreak/>
        <w:t>State and Local Regulation</w:t>
      </w:r>
      <w:bookmarkEnd w:id="11"/>
    </w:p>
    <w:p w14:paraId="3A11B5F3" w14:textId="19F78DD1" w:rsidR="00C9647A" w:rsidRDefault="00C9647A" w:rsidP="00C9647A">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is often the case</w:t>
      </w:r>
      <w:r w:rsidR="00100B20">
        <w:rPr>
          <w:rFonts w:ascii="Times New Roman" w:hAnsi="Times New Roman" w:cs="Times New Roman"/>
          <w:sz w:val="24"/>
          <w:szCs w:val="24"/>
        </w:rPr>
        <w:t xml:space="preserve"> in public procurement law</w:t>
      </w:r>
      <w:r>
        <w:rPr>
          <w:rFonts w:ascii="Times New Roman" w:hAnsi="Times New Roman" w:cs="Times New Roman"/>
          <w:sz w:val="24"/>
          <w:szCs w:val="24"/>
        </w:rPr>
        <w:t xml:space="preserve">, state and local systems </w:t>
      </w:r>
      <w:r w:rsidR="006079EF">
        <w:rPr>
          <w:rFonts w:ascii="Times New Roman" w:hAnsi="Times New Roman" w:cs="Times New Roman"/>
          <w:sz w:val="24"/>
          <w:szCs w:val="24"/>
        </w:rPr>
        <w:t xml:space="preserve">look to federal law </w:t>
      </w:r>
      <w:r w:rsidR="00100B20">
        <w:rPr>
          <w:rFonts w:ascii="Times New Roman" w:hAnsi="Times New Roman" w:cs="Times New Roman"/>
          <w:sz w:val="24"/>
          <w:szCs w:val="24"/>
        </w:rPr>
        <w:t>for guidance in</w:t>
      </w:r>
      <w:r w:rsidR="00D92232">
        <w:rPr>
          <w:rFonts w:ascii="Times New Roman" w:hAnsi="Times New Roman" w:cs="Times New Roman"/>
          <w:sz w:val="24"/>
          <w:szCs w:val="24"/>
        </w:rPr>
        <w:t xml:space="preserve"> setting policy</w:t>
      </w:r>
      <w:r w:rsidR="000A70A0">
        <w:rPr>
          <w:rFonts w:ascii="Times New Roman" w:hAnsi="Times New Roman" w:cs="Times New Roman"/>
          <w:sz w:val="24"/>
          <w:szCs w:val="24"/>
        </w:rPr>
        <w:t xml:space="preserve"> regarding contingen</w:t>
      </w:r>
      <w:r w:rsidR="008A617B">
        <w:rPr>
          <w:rFonts w:ascii="Times New Roman" w:hAnsi="Times New Roman" w:cs="Times New Roman"/>
          <w:sz w:val="24"/>
          <w:szCs w:val="24"/>
        </w:rPr>
        <w:t>cy</w:t>
      </w:r>
      <w:r w:rsidR="000A70A0">
        <w:rPr>
          <w:rFonts w:ascii="Times New Roman" w:hAnsi="Times New Roman" w:cs="Times New Roman"/>
          <w:sz w:val="24"/>
          <w:szCs w:val="24"/>
        </w:rPr>
        <w:t xml:space="preserve"> fees.</w:t>
      </w:r>
      <w:r w:rsidR="007630EC">
        <w:rPr>
          <w:rFonts w:ascii="Times New Roman" w:hAnsi="Times New Roman" w:cs="Times New Roman"/>
          <w:sz w:val="24"/>
          <w:szCs w:val="24"/>
        </w:rPr>
        <w:t xml:space="preserve">  An “overwhelming majority” of state and local governments </w:t>
      </w:r>
      <w:r w:rsidR="006473E4">
        <w:rPr>
          <w:rFonts w:ascii="Times New Roman" w:hAnsi="Times New Roman" w:cs="Times New Roman"/>
          <w:sz w:val="24"/>
          <w:szCs w:val="24"/>
        </w:rPr>
        <w:t xml:space="preserve">incorporate </w:t>
      </w:r>
      <w:r w:rsidR="008A617B">
        <w:rPr>
          <w:rFonts w:ascii="Times New Roman" w:hAnsi="Times New Roman" w:cs="Times New Roman"/>
          <w:sz w:val="24"/>
          <w:szCs w:val="24"/>
        </w:rPr>
        <w:t xml:space="preserve">a version of </w:t>
      </w:r>
      <w:r w:rsidR="00C71706">
        <w:rPr>
          <w:rFonts w:ascii="Times New Roman" w:hAnsi="Times New Roman" w:cs="Times New Roman"/>
          <w:sz w:val="24"/>
          <w:szCs w:val="24"/>
        </w:rPr>
        <w:t xml:space="preserve">the </w:t>
      </w:r>
      <w:r w:rsidR="008A617B">
        <w:rPr>
          <w:rFonts w:ascii="Times New Roman" w:hAnsi="Times New Roman" w:cs="Times New Roman"/>
          <w:sz w:val="24"/>
          <w:szCs w:val="24"/>
        </w:rPr>
        <w:t xml:space="preserve">FAR’s </w:t>
      </w:r>
      <w:r w:rsidR="0055455D">
        <w:rPr>
          <w:rFonts w:ascii="Times New Roman" w:hAnsi="Times New Roman" w:cs="Times New Roman"/>
          <w:sz w:val="24"/>
          <w:szCs w:val="24"/>
        </w:rPr>
        <w:t>contingen</w:t>
      </w:r>
      <w:r w:rsidR="008A617B">
        <w:rPr>
          <w:rFonts w:ascii="Times New Roman" w:hAnsi="Times New Roman" w:cs="Times New Roman"/>
          <w:sz w:val="24"/>
          <w:szCs w:val="24"/>
        </w:rPr>
        <w:t xml:space="preserve">cy </w:t>
      </w:r>
      <w:r w:rsidR="0055455D">
        <w:rPr>
          <w:rFonts w:ascii="Times New Roman" w:hAnsi="Times New Roman" w:cs="Times New Roman"/>
          <w:sz w:val="24"/>
          <w:szCs w:val="24"/>
        </w:rPr>
        <w:t>fee</w:t>
      </w:r>
      <w:r w:rsidR="008A617B">
        <w:rPr>
          <w:rFonts w:ascii="Times New Roman" w:hAnsi="Times New Roman" w:cs="Times New Roman"/>
          <w:sz w:val="24"/>
          <w:szCs w:val="24"/>
        </w:rPr>
        <w:t xml:space="preserve"> regulation</w:t>
      </w:r>
      <w:r w:rsidR="00460188">
        <w:rPr>
          <w:rFonts w:ascii="Times New Roman" w:hAnsi="Times New Roman" w:cs="Times New Roman"/>
          <w:sz w:val="24"/>
          <w:szCs w:val="24"/>
        </w:rPr>
        <w:t xml:space="preserve"> in </w:t>
      </w:r>
      <w:r w:rsidR="008A617B">
        <w:rPr>
          <w:rFonts w:ascii="Times New Roman" w:hAnsi="Times New Roman" w:cs="Times New Roman"/>
          <w:sz w:val="24"/>
          <w:szCs w:val="24"/>
        </w:rPr>
        <w:t>their procurement codes</w:t>
      </w:r>
      <w:r w:rsidR="00460188">
        <w:rPr>
          <w:rFonts w:ascii="Times New Roman" w:hAnsi="Times New Roman" w:cs="Times New Roman"/>
          <w:sz w:val="24"/>
          <w:szCs w:val="24"/>
        </w:rPr>
        <w:t>.</w:t>
      </w:r>
      <w:bookmarkStart w:id="12" w:name="_Ref153477717"/>
      <w:r w:rsidR="008A617B">
        <w:rPr>
          <w:rStyle w:val="FootnoteReference"/>
          <w:rFonts w:ascii="Times New Roman" w:hAnsi="Times New Roman" w:cs="Times New Roman"/>
          <w:sz w:val="24"/>
          <w:szCs w:val="24"/>
        </w:rPr>
        <w:footnoteReference w:id="38"/>
      </w:r>
      <w:bookmarkEnd w:id="12"/>
    </w:p>
    <w:p w14:paraId="19247122" w14:textId="352F8F07" w:rsidR="00460188" w:rsidRDefault="00CC4A3C" w:rsidP="00C964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the </w:t>
      </w:r>
      <w:r w:rsidR="006F1815">
        <w:rPr>
          <w:rFonts w:ascii="Times New Roman" w:hAnsi="Times New Roman" w:cs="Times New Roman"/>
          <w:sz w:val="24"/>
          <w:szCs w:val="24"/>
        </w:rPr>
        <w:t>American Bar Association’s Model Procurement Code</w:t>
      </w:r>
      <w:r w:rsidR="00613CA9">
        <w:rPr>
          <w:rFonts w:ascii="Times New Roman" w:hAnsi="Times New Roman" w:cs="Times New Roman"/>
          <w:sz w:val="24"/>
          <w:szCs w:val="24"/>
        </w:rPr>
        <w:t xml:space="preserve">, </w:t>
      </w:r>
      <w:r w:rsidR="003B0B57">
        <w:rPr>
          <w:rFonts w:ascii="Times New Roman" w:hAnsi="Times New Roman" w:cs="Times New Roman"/>
          <w:sz w:val="24"/>
          <w:szCs w:val="24"/>
        </w:rPr>
        <w:t>which is drafted to guide state and local governments in</w:t>
      </w:r>
      <w:r w:rsidR="00EA6B26">
        <w:rPr>
          <w:rFonts w:ascii="Times New Roman" w:hAnsi="Times New Roman" w:cs="Times New Roman"/>
          <w:sz w:val="24"/>
          <w:szCs w:val="24"/>
        </w:rPr>
        <w:t xml:space="preserve"> developing </w:t>
      </w:r>
      <w:r w:rsidR="00244CB6">
        <w:rPr>
          <w:rFonts w:ascii="Times New Roman" w:hAnsi="Times New Roman" w:cs="Times New Roman"/>
          <w:sz w:val="24"/>
          <w:szCs w:val="24"/>
        </w:rPr>
        <w:t xml:space="preserve">public procurement laws, </w:t>
      </w:r>
      <w:r w:rsidR="00365D2A">
        <w:rPr>
          <w:rFonts w:ascii="Times New Roman" w:hAnsi="Times New Roman" w:cs="Times New Roman"/>
          <w:sz w:val="24"/>
          <w:szCs w:val="24"/>
        </w:rPr>
        <w:t>addresses contingen</w:t>
      </w:r>
      <w:r w:rsidR="00F536FE">
        <w:rPr>
          <w:rFonts w:ascii="Times New Roman" w:hAnsi="Times New Roman" w:cs="Times New Roman"/>
          <w:sz w:val="24"/>
          <w:szCs w:val="24"/>
        </w:rPr>
        <w:t>cy</w:t>
      </w:r>
      <w:r w:rsidR="00365D2A">
        <w:rPr>
          <w:rFonts w:ascii="Times New Roman" w:hAnsi="Times New Roman" w:cs="Times New Roman"/>
          <w:sz w:val="24"/>
          <w:szCs w:val="24"/>
        </w:rPr>
        <w:t xml:space="preserve"> fees in </w:t>
      </w:r>
      <w:r w:rsidR="004961A9">
        <w:rPr>
          <w:rFonts w:ascii="Times New Roman" w:hAnsi="Times New Roman" w:cs="Times New Roman"/>
          <w:sz w:val="24"/>
          <w:szCs w:val="24"/>
        </w:rPr>
        <w:t xml:space="preserve">Article 12 </w:t>
      </w:r>
      <w:r w:rsidR="00F536FE">
        <w:rPr>
          <w:rFonts w:ascii="Times New Roman" w:hAnsi="Times New Roman" w:cs="Times New Roman"/>
          <w:sz w:val="24"/>
          <w:szCs w:val="24"/>
        </w:rPr>
        <w:t>concerning</w:t>
      </w:r>
      <w:r w:rsidR="004961A9">
        <w:rPr>
          <w:rFonts w:ascii="Times New Roman" w:hAnsi="Times New Roman" w:cs="Times New Roman"/>
          <w:sz w:val="24"/>
          <w:szCs w:val="24"/>
        </w:rPr>
        <w:t xml:space="preserve"> ethics in public contracting.</w:t>
      </w:r>
      <w:r w:rsidR="0005443A">
        <w:rPr>
          <w:rFonts w:ascii="Times New Roman" w:hAnsi="Times New Roman" w:cs="Times New Roman"/>
          <w:sz w:val="24"/>
          <w:szCs w:val="24"/>
        </w:rPr>
        <w:t xml:space="preserve"> </w:t>
      </w:r>
      <w:r w:rsidR="004A5DFC">
        <w:rPr>
          <w:rFonts w:ascii="Times New Roman" w:hAnsi="Times New Roman" w:cs="Times New Roman"/>
          <w:sz w:val="24"/>
          <w:szCs w:val="24"/>
        </w:rPr>
        <w:t xml:space="preserve"> Section 207 stat</w:t>
      </w:r>
      <w:r w:rsidR="005D2BBD">
        <w:rPr>
          <w:rFonts w:ascii="Times New Roman" w:hAnsi="Times New Roman" w:cs="Times New Roman"/>
          <w:sz w:val="24"/>
          <w:szCs w:val="24"/>
        </w:rPr>
        <w:t>e</w:t>
      </w:r>
      <w:r w:rsidR="004A5DFC">
        <w:rPr>
          <w:rFonts w:ascii="Times New Roman" w:hAnsi="Times New Roman" w:cs="Times New Roman"/>
          <w:sz w:val="24"/>
          <w:szCs w:val="24"/>
        </w:rPr>
        <w:t>s that it is a “breach of ethical standards</w:t>
      </w:r>
      <w:r w:rsidR="00393F52">
        <w:rPr>
          <w:rFonts w:ascii="Times New Roman" w:hAnsi="Times New Roman" w:cs="Times New Roman"/>
          <w:sz w:val="24"/>
          <w:szCs w:val="24"/>
        </w:rPr>
        <w:t>” to “solicit or secure a State contract</w:t>
      </w:r>
      <w:r w:rsidR="00FB5084">
        <w:rPr>
          <w:rFonts w:ascii="Times New Roman" w:hAnsi="Times New Roman" w:cs="Times New Roman"/>
          <w:sz w:val="24"/>
          <w:szCs w:val="24"/>
        </w:rPr>
        <w:t xml:space="preserve">” </w:t>
      </w:r>
      <w:r w:rsidR="008B0938">
        <w:rPr>
          <w:rFonts w:ascii="Times New Roman" w:hAnsi="Times New Roman" w:cs="Times New Roman"/>
          <w:sz w:val="24"/>
          <w:szCs w:val="24"/>
        </w:rPr>
        <w:t>on the basis of a contingent fee.  Like the FAR, the Model Code’s ‘prohibition’ against contingent fees is</w:t>
      </w:r>
      <w:proofErr w:type="gramStart"/>
      <w:r w:rsidR="00E53B51">
        <w:rPr>
          <w:rFonts w:ascii="Times New Roman" w:hAnsi="Times New Roman" w:cs="Times New Roman"/>
          <w:sz w:val="24"/>
          <w:szCs w:val="24"/>
        </w:rPr>
        <w:t>,</w:t>
      </w:r>
      <w:r w:rsidR="008B0938">
        <w:rPr>
          <w:rFonts w:ascii="Times New Roman" w:hAnsi="Times New Roman" w:cs="Times New Roman"/>
          <w:sz w:val="24"/>
          <w:szCs w:val="24"/>
        </w:rPr>
        <w:t xml:space="preserve"> in reality</w:t>
      </w:r>
      <w:r w:rsidR="00E53B51">
        <w:rPr>
          <w:rFonts w:ascii="Times New Roman" w:hAnsi="Times New Roman" w:cs="Times New Roman"/>
          <w:sz w:val="24"/>
          <w:szCs w:val="24"/>
        </w:rPr>
        <w:t>,</w:t>
      </w:r>
      <w:r w:rsidR="008B0938">
        <w:rPr>
          <w:rFonts w:ascii="Times New Roman" w:hAnsi="Times New Roman" w:cs="Times New Roman"/>
          <w:sz w:val="24"/>
          <w:szCs w:val="24"/>
        </w:rPr>
        <w:t xml:space="preserve"> a</w:t>
      </w:r>
      <w:proofErr w:type="gramEnd"/>
      <w:r w:rsidR="008B0938">
        <w:rPr>
          <w:rFonts w:ascii="Times New Roman" w:hAnsi="Times New Roman" w:cs="Times New Roman"/>
          <w:sz w:val="24"/>
          <w:szCs w:val="24"/>
        </w:rPr>
        <w:t xml:space="preserve"> ‘restriction,’ as “</w:t>
      </w:r>
      <w:r w:rsidR="008B0938">
        <w:rPr>
          <w:rFonts w:ascii="Times New Roman" w:hAnsi="Times New Roman" w:cs="Times New Roman"/>
          <w:i/>
          <w:iCs/>
          <w:sz w:val="24"/>
          <w:szCs w:val="24"/>
        </w:rPr>
        <w:t>bona fide</w:t>
      </w:r>
      <w:r w:rsidR="008B0938">
        <w:rPr>
          <w:rFonts w:ascii="Times New Roman" w:hAnsi="Times New Roman" w:cs="Times New Roman"/>
          <w:sz w:val="24"/>
          <w:szCs w:val="24"/>
        </w:rPr>
        <w:t xml:space="preserve"> employees” or </w:t>
      </w:r>
      <w:r w:rsidR="00286E6B">
        <w:rPr>
          <w:rFonts w:ascii="Times New Roman" w:hAnsi="Times New Roman" w:cs="Times New Roman"/>
          <w:sz w:val="24"/>
          <w:szCs w:val="24"/>
        </w:rPr>
        <w:t>“commercial selling agencies for the purpose of securing business” are excepted.</w:t>
      </w:r>
      <w:r w:rsidR="00005E66">
        <w:rPr>
          <w:rStyle w:val="FootnoteReference"/>
          <w:rFonts w:ascii="Times New Roman" w:hAnsi="Times New Roman" w:cs="Times New Roman"/>
          <w:sz w:val="24"/>
          <w:szCs w:val="24"/>
        </w:rPr>
        <w:footnoteReference w:id="39"/>
      </w:r>
      <w:r w:rsidR="00B74BB7">
        <w:rPr>
          <w:rFonts w:ascii="Times New Roman" w:hAnsi="Times New Roman" w:cs="Times New Roman"/>
          <w:sz w:val="24"/>
          <w:szCs w:val="24"/>
        </w:rPr>
        <w:t xml:space="preserve">  </w:t>
      </w:r>
      <w:r w:rsidR="00FB7974">
        <w:rPr>
          <w:rFonts w:ascii="Times New Roman" w:hAnsi="Times New Roman" w:cs="Times New Roman"/>
          <w:sz w:val="24"/>
          <w:szCs w:val="24"/>
        </w:rPr>
        <w:t>Like the FAR, the</w:t>
      </w:r>
      <w:r w:rsidR="00B74BB7">
        <w:rPr>
          <w:rFonts w:ascii="Times New Roman" w:hAnsi="Times New Roman" w:cs="Times New Roman"/>
          <w:sz w:val="24"/>
          <w:szCs w:val="24"/>
        </w:rPr>
        <w:t xml:space="preserve"> Model Code</w:t>
      </w:r>
      <w:r w:rsidR="00FB7974">
        <w:rPr>
          <w:rFonts w:ascii="Times New Roman" w:hAnsi="Times New Roman" w:cs="Times New Roman"/>
          <w:sz w:val="24"/>
          <w:szCs w:val="24"/>
        </w:rPr>
        <w:t>’s restriction</w:t>
      </w:r>
      <w:r w:rsidR="008A12D3">
        <w:rPr>
          <w:rFonts w:ascii="Times New Roman" w:hAnsi="Times New Roman" w:cs="Times New Roman"/>
          <w:sz w:val="24"/>
          <w:szCs w:val="24"/>
        </w:rPr>
        <w:t xml:space="preserve"> on contingent fees</w:t>
      </w:r>
      <w:r w:rsidR="00FB7974">
        <w:rPr>
          <w:rFonts w:ascii="Times New Roman" w:hAnsi="Times New Roman" w:cs="Times New Roman"/>
          <w:sz w:val="24"/>
          <w:szCs w:val="24"/>
        </w:rPr>
        <w:t xml:space="preserve"> </w:t>
      </w:r>
      <w:r w:rsidR="00F536FE">
        <w:rPr>
          <w:rFonts w:ascii="Times New Roman" w:hAnsi="Times New Roman" w:cs="Times New Roman"/>
          <w:sz w:val="24"/>
          <w:szCs w:val="24"/>
        </w:rPr>
        <w:t>is intended to</w:t>
      </w:r>
      <w:r w:rsidR="00FB7974">
        <w:rPr>
          <w:rFonts w:ascii="Times New Roman" w:hAnsi="Times New Roman" w:cs="Times New Roman"/>
          <w:sz w:val="24"/>
          <w:szCs w:val="24"/>
        </w:rPr>
        <w:t xml:space="preserve"> be incorporated </w:t>
      </w:r>
      <w:r w:rsidR="008A12D3">
        <w:rPr>
          <w:rFonts w:ascii="Times New Roman" w:hAnsi="Times New Roman" w:cs="Times New Roman"/>
          <w:sz w:val="24"/>
          <w:szCs w:val="24"/>
        </w:rPr>
        <w:t>in</w:t>
      </w:r>
      <w:r w:rsidR="00DF2F1E">
        <w:rPr>
          <w:rFonts w:ascii="Times New Roman" w:hAnsi="Times New Roman" w:cs="Times New Roman"/>
          <w:sz w:val="24"/>
          <w:szCs w:val="24"/>
        </w:rPr>
        <w:t>to</w:t>
      </w:r>
      <w:r w:rsidR="008A12D3">
        <w:rPr>
          <w:rFonts w:ascii="Times New Roman" w:hAnsi="Times New Roman" w:cs="Times New Roman"/>
          <w:sz w:val="24"/>
          <w:szCs w:val="24"/>
        </w:rPr>
        <w:t xml:space="preserve"> every government contract.</w:t>
      </w:r>
    </w:p>
    <w:p w14:paraId="2B766F26" w14:textId="696D0B12" w:rsidR="00A603C2" w:rsidRDefault="009C4398" w:rsidP="00C964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 Model Code is highly influential,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and local procurement laws are not a monolith, </w:t>
      </w:r>
      <w:r w:rsidR="002A7910">
        <w:rPr>
          <w:rFonts w:ascii="Times New Roman" w:hAnsi="Times New Roman" w:cs="Times New Roman"/>
          <w:sz w:val="24"/>
          <w:szCs w:val="24"/>
        </w:rPr>
        <w:t xml:space="preserve">and there exists </w:t>
      </w:r>
      <w:r w:rsidR="00097401">
        <w:rPr>
          <w:rFonts w:ascii="Times New Roman" w:hAnsi="Times New Roman" w:cs="Times New Roman"/>
          <w:sz w:val="24"/>
          <w:szCs w:val="24"/>
        </w:rPr>
        <w:t>variation among jurisdiction</w:t>
      </w:r>
      <w:r w:rsidR="002E0470">
        <w:rPr>
          <w:rFonts w:ascii="Times New Roman" w:hAnsi="Times New Roman" w:cs="Times New Roman"/>
          <w:sz w:val="24"/>
          <w:szCs w:val="24"/>
        </w:rPr>
        <w:t>s</w:t>
      </w:r>
      <w:r w:rsidR="00097401">
        <w:rPr>
          <w:rFonts w:ascii="Times New Roman" w:hAnsi="Times New Roman" w:cs="Times New Roman"/>
          <w:sz w:val="24"/>
          <w:szCs w:val="24"/>
        </w:rPr>
        <w:t xml:space="preserve"> in how contingent fees are </w:t>
      </w:r>
      <w:r w:rsidR="00E142B7">
        <w:rPr>
          <w:rFonts w:ascii="Times New Roman" w:hAnsi="Times New Roman" w:cs="Times New Roman"/>
          <w:sz w:val="24"/>
          <w:szCs w:val="24"/>
        </w:rPr>
        <w:t xml:space="preserve">regulated.  For example, some states do </w:t>
      </w:r>
      <w:r w:rsidR="00B448BB">
        <w:rPr>
          <w:rFonts w:ascii="Times New Roman" w:hAnsi="Times New Roman" w:cs="Times New Roman"/>
          <w:sz w:val="24"/>
          <w:szCs w:val="24"/>
        </w:rPr>
        <w:t xml:space="preserve">impose an outright prohibition similar to Attorney General </w:t>
      </w:r>
      <w:r w:rsidR="003E76B4">
        <w:rPr>
          <w:rFonts w:ascii="Times New Roman" w:hAnsi="Times New Roman" w:cs="Times New Roman"/>
          <w:sz w:val="24"/>
          <w:szCs w:val="24"/>
        </w:rPr>
        <w:t>Gregory’s 1918</w:t>
      </w:r>
      <w:r w:rsidR="004A1379">
        <w:rPr>
          <w:rFonts w:ascii="Times New Roman" w:hAnsi="Times New Roman" w:cs="Times New Roman"/>
          <w:sz w:val="24"/>
          <w:szCs w:val="24"/>
        </w:rPr>
        <w:t xml:space="preserve"> order to executive agencies.</w:t>
      </w:r>
      <w:r w:rsidR="004A1379">
        <w:rPr>
          <w:rStyle w:val="FootnoteReference"/>
          <w:rFonts w:ascii="Times New Roman" w:hAnsi="Times New Roman" w:cs="Times New Roman"/>
          <w:sz w:val="24"/>
          <w:szCs w:val="24"/>
        </w:rPr>
        <w:footnoteReference w:id="40"/>
      </w:r>
      <w:r w:rsidR="006B4A7A">
        <w:rPr>
          <w:rFonts w:ascii="Times New Roman" w:hAnsi="Times New Roman" w:cs="Times New Roman"/>
          <w:sz w:val="24"/>
          <w:szCs w:val="24"/>
        </w:rPr>
        <w:t xml:space="preserve">  </w:t>
      </w:r>
      <w:r w:rsidR="002E0470">
        <w:rPr>
          <w:rFonts w:ascii="Times New Roman" w:hAnsi="Times New Roman" w:cs="Times New Roman"/>
          <w:sz w:val="24"/>
          <w:szCs w:val="24"/>
        </w:rPr>
        <w:t>Under such a model</w:t>
      </w:r>
      <w:r w:rsidR="006B4A7A">
        <w:rPr>
          <w:rFonts w:ascii="Times New Roman" w:hAnsi="Times New Roman" w:cs="Times New Roman"/>
          <w:sz w:val="24"/>
          <w:szCs w:val="24"/>
        </w:rPr>
        <w:t>, the Arkansas code prohibits any “person engaging in lobbying” from “contract[ing] to receive or accept compensation that is dependent</w:t>
      </w:r>
      <w:r w:rsidR="00322BDC">
        <w:rPr>
          <w:rFonts w:ascii="Times New Roman" w:hAnsi="Times New Roman" w:cs="Times New Roman"/>
          <w:sz w:val="24"/>
          <w:szCs w:val="24"/>
        </w:rPr>
        <w:t>” upon the “securing of a procurement contract.”</w:t>
      </w:r>
      <w:r w:rsidR="003C5C41">
        <w:rPr>
          <w:rStyle w:val="FootnoteReference"/>
          <w:rFonts w:ascii="Times New Roman" w:hAnsi="Times New Roman" w:cs="Times New Roman"/>
          <w:sz w:val="24"/>
          <w:szCs w:val="24"/>
        </w:rPr>
        <w:footnoteReference w:id="41"/>
      </w:r>
      <w:r w:rsidR="001D3EB6">
        <w:rPr>
          <w:rFonts w:ascii="Times New Roman" w:hAnsi="Times New Roman" w:cs="Times New Roman"/>
          <w:sz w:val="24"/>
          <w:szCs w:val="24"/>
        </w:rPr>
        <w:t xml:space="preserve">  There exists no </w:t>
      </w:r>
      <w:r w:rsidR="001D3EB6">
        <w:rPr>
          <w:rFonts w:ascii="Times New Roman" w:hAnsi="Times New Roman" w:cs="Times New Roman"/>
          <w:i/>
          <w:iCs/>
          <w:sz w:val="24"/>
          <w:szCs w:val="24"/>
        </w:rPr>
        <w:t>bona fide</w:t>
      </w:r>
      <w:r w:rsidR="001D3EB6">
        <w:rPr>
          <w:rFonts w:ascii="Times New Roman" w:hAnsi="Times New Roman" w:cs="Times New Roman"/>
          <w:sz w:val="24"/>
          <w:szCs w:val="24"/>
        </w:rPr>
        <w:t xml:space="preserve"> </w:t>
      </w:r>
      <w:r w:rsidR="001D3EB6">
        <w:rPr>
          <w:rFonts w:ascii="Times New Roman" w:hAnsi="Times New Roman" w:cs="Times New Roman"/>
          <w:sz w:val="24"/>
          <w:szCs w:val="24"/>
        </w:rPr>
        <w:lastRenderedPageBreak/>
        <w:t xml:space="preserve">employee or agent exception, and violation of the code is punishable </w:t>
      </w:r>
      <w:r w:rsidR="00EE2422">
        <w:rPr>
          <w:rFonts w:ascii="Times New Roman" w:hAnsi="Times New Roman" w:cs="Times New Roman"/>
          <w:sz w:val="24"/>
          <w:szCs w:val="24"/>
        </w:rPr>
        <w:t xml:space="preserve">by </w:t>
      </w:r>
      <w:r w:rsidR="00A603C2">
        <w:rPr>
          <w:rFonts w:ascii="Times New Roman" w:hAnsi="Times New Roman" w:cs="Times New Roman"/>
          <w:sz w:val="24"/>
          <w:szCs w:val="24"/>
        </w:rPr>
        <w:t>criminal sanction.</w:t>
      </w:r>
      <w:r w:rsidR="0060523E">
        <w:rPr>
          <w:rFonts w:ascii="Times New Roman" w:hAnsi="Times New Roman" w:cs="Times New Roman"/>
          <w:sz w:val="24"/>
          <w:szCs w:val="24"/>
        </w:rPr>
        <w:t xml:space="preserve">  New Yor</w:t>
      </w:r>
      <w:r w:rsidR="00C9051E">
        <w:rPr>
          <w:rFonts w:ascii="Times New Roman" w:hAnsi="Times New Roman" w:cs="Times New Roman"/>
          <w:sz w:val="24"/>
          <w:szCs w:val="24"/>
        </w:rPr>
        <w:t>k</w:t>
      </w:r>
      <w:r w:rsidR="008439CC">
        <w:rPr>
          <w:rFonts w:ascii="Times New Roman" w:hAnsi="Times New Roman" w:cs="Times New Roman"/>
          <w:sz w:val="24"/>
          <w:szCs w:val="24"/>
        </w:rPr>
        <w:t>’s law is much the same.</w:t>
      </w:r>
      <w:r w:rsidR="008439CC">
        <w:rPr>
          <w:rStyle w:val="FootnoteReference"/>
          <w:rFonts w:ascii="Times New Roman" w:hAnsi="Times New Roman" w:cs="Times New Roman"/>
          <w:sz w:val="24"/>
          <w:szCs w:val="24"/>
        </w:rPr>
        <w:footnoteReference w:id="42"/>
      </w:r>
    </w:p>
    <w:p w14:paraId="7EDB4BB1" w14:textId="6A20CF60" w:rsidR="003322B4" w:rsidRDefault="006C7AFD" w:rsidP="00C964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many other jurisdictions </w:t>
      </w:r>
      <w:r w:rsidR="004028FA">
        <w:rPr>
          <w:rFonts w:ascii="Times New Roman" w:hAnsi="Times New Roman" w:cs="Times New Roman"/>
          <w:sz w:val="24"/>
          <w:szCs w:val="24"/>
        </w:rPr>
        <w:t xml:space="preserve">follow the FAR in maintaining </w:t>
      </w:r>
      <w:r w:rsidR="00300E5A">
        <w:rPr>
          <w:rFonts w:ascii="Times New Roman" w:hAnsi="Times New Roman" w:cs="Times New Roman"/>
          <w:sz w:val="24"/>
          <w:szCs w:val="24"/>
        </w:rPr>
        <w:t xml:space="preserve">a Covenant with exceptions.  </w:t>
      </w:r>
      <w:r w:rsidR="002E0470">
        <w:rPr>
          <w:rFonts w:ascii="Times New Roman" w:hAnsi="Times New Roman" w:cs="Times New Roman"/>
          <w:sz w:val="24"/>
          <w:szCs w:val="24"/>
        </w:rPr>
        <w:t xml:space="preserve">For example, </w:t>
      </w:r>
      <w:r w:rsidR="007A217F">
        <w:rPr>
          <w:rFonts w:ascii="Times New Roman" w:hAnsi="Times New Roman" w:cs="Times New Roman"/>
          <w:sz w:val="24"/>
          <w:szCs w:val="24"/>
        </w:rPr>
        <w:t xml:space="preserve">Maryland’s public procurement code </w:t>
      </w:r>
      <w:r w:rsidR="008F3452">
        <w:rPr>
          <w:rFonts w:ascii="Times New Roman" w:hAnsi="Times New Roman" w:cs="Times New Roman"/>
          <w:sz w:val="24"/>
          <w:szCs w:val="24"/>
        </w:rPr>
        <w:t xml:space="preserve">requires </w:t>
      </w:r>
      <w:r w:rsidR="003C7C6A">
        <w:rPr>
          <w:rFonts w:ascii="Times New Roman" w:hAnsi="Times New Roman" w:cs="Times New Roman"/>
          <w:sz w:val="24"/>
          <w:szCs w:val="24"/>
        </w:rPr>
        <w:t xml:space="preserve">all </w:t>
      </w:r>
      <w:r w:rsidR="008F3452">
        <w:rPr>
          <w:rFonts w:ascii="Times New Roman" w:hAnsi="Times New Roman" w:cs="Times New Roman"/>
          <w:sz w:val="24"/>
          <w:szCs w:val="24"/>
        </w:rPr>
        <w:t>contracts</w:t>
      </w:r>
      <w:r w:rsidR="003C7C6A">
        <w:rPr>
          <w:rFonts w:ascii="Times New Roman" w:hAnsi="Times New Roman" w:cs="Times New Roman"/>
          <w:sz w:val="24"/>
          <w:szCs w:val="24"/>
        </w:rPr>
        <w:t xml:space="preserve"> to</w:t>
      </w:r>
      <w:r w:rsidR="008F3452">
        <w:rPr>
          <w:rFonts w:ascii="Times New Roman" w:hAnsi="Times New Roman" w:cs="Times New Roman"/>
          <w:sz w:val="24"/>
          <w:szCs w:val="24"/>
        </w:rPr>
        <w:t xml:space="preserve"> include a clause</w:t>
      </w:r>
      <w:r w:rsidR="00D8036D">
        <w:rPr>
          <w:rFonts w:ascii="Times New Roman" w:hAnsi="Times New Roman" w:cs="Times New Roman"/>
          <w:sz w:val="24"/>
          <w:szCs w:val="24"/>
        </w:rPr>
        <w:t xml:space="preserve"> </w:t>
      </w:r>
      <w:r w:rsidR="003C7C6A">
        <w:rPr>
          <w:rFonts w:ascii="Times New Roman" w:hAnsi="Times New Roman" w:cs="Times New Roman"/>
          <w:sz w:val="24"/>
          <w:szCs w:val="24"/>
        </w:rPr>
        <w:t>requiring contractors</w:t>
      </w:r>
      <w:r w:rsidR="00361129">
        <w:rPr>
          <w:rFonts w:ascii="Times New Roman" w:hAnsi="Times New Roman" w:cs="Times New Roman"/>
          <w:sz w:val="24"/>
          <w:szCs w:val="24"/>
        </w:rPr>
        <w:t xml:space="preserve"> to warrant th</w:t>
      </w:r>
      <w:r w:rsidR="00C328E9">
        <w:rPr>
          <w:rFonts w:ascii="Times New Roman" w:hAnsi="Times New Roman" w:cs="Times New Roman"/>
          <w:sz w:val="24"/>
          <w:szCs w:val="24"/>
        </w:rPr>
        <w:t>e absence of contingent fee lobbying</w:t>
      </w:r>
      <w:r w:rsidR="004B3F13">
        <w:rPr>
          <w:rFonts w:ascii="Times New Roman" w:hAnsi="Times New Roman" w:cs="Times New Roman"/>
          <w:sz w:val="24"/>
          <w:szCs w:val="24"/>
        </w:rPr>
        <w:t xml:space="preserve"> “other than a </w:t>
      </w:r>
      <w:r w:rsidR="004B3F13" w:rsidRPr="002E0470">
        <w:rPr>
          <w:rFonts w:ascii="Times New Roman" w:hAnsi="Times New Roman" w:cs="Times New Roman"/>
          <w:i/>
          <w:iCs/>
          <w:sz w:val="24"/>
          <w:szCs w:val="24"/>
        </w:rPr>
        <w:t>bona</w:t>
      </w:r>
      <w:r w:rsidR="004B3F13">
        <w:rPr>
          <w:rFonts w:ascii="Times New Roman" w:hAnsi="Times New Roman" w:cs="Times New Roman"/>
          <w:sz w:val="24"/>
          <w:szCs w:val="24"/>
        </w:rPr>
        <w:t xml:space="preserve"> </w:t>
      </w:r>
      <w:r w:rsidR="004B3F13" w:rsidRPr="002E0470">
        <w:rPr>
          <w:rFonts w:ascii="Times New Roman" w:hAnsi="Times New Roman" w:cs="Times New Roman"/>
          <w:i/>
          <w:iCs/>
          <w:sz w:val="24"/>
          <w:szCs w:val="24"/>
        </w:rPr>
        <w:t>fide</w:t>
      </w:r>
      <w:r w:rsidR="004B3F13">
        <w:rPr>
          <w:rFonts w:ascii="Times New Roman" w:hAnsi="Times New Roman" w:cs="Times New Roman"/>
          <w:sz w:val="24"/>
          <w:szCs w:val="24"/>
        </w:rPr>
        <w:t xml:space="preserve"> employee [or] agent.”</w:t>
      </w:r>
      <w:r w:rsidR="004B3F13">
        <w:rPr>
          <w:rStyle w:val="FootnoteReference"/>
          <w:rFonts w:ascii="Times New Roman" w:hAnsi="Times New Roman" w:cs="Times New Roman"/>
          <w:sz w:val="24"/>
          <w:szCs w:val="24"/>
        </w:rPr>
        <w:footnoteReference w:id="43"/>
      </w:r>
      <w:r w:rsidR="00102B9B">
        <w:rPr>
          <w:rFonts w:ascii="Times New Roman" w:hAnsi="Times New Roman" w:cs="Times New Roman"/>
          <w:sz w:val="24"/>
          <w:szCs w:val="24"/>
        </w:rPr>
        <w:t xml:space="preserve">  The District of Columbia follows s</w:t>
      </w:r>
      <w:r w:rsidR="00CF4D36">
        <w:rPr>
          <w:rFonts w:ascii="Times New Roman" w:hAnsi="Times New Roman" w:cs="Times New Roman"/>
          <w:sz w:val="24"/>
          <w:szCs w:val="24"/>
        </w:rPr>
        <w:t>uit, with language closely resembling the text of the FAR.</w:t>
      </w:r>
      <w:r w:rsidR="00CF4D36">
        <w:rPr>
          <w:rStyle w:val="FootnoteReference"/>
          <w:rFonts w:ascii="Times New Roman" w:hAnsi="Times New Roman" w:cs="Times New Roman"/>
          <w:sz w:val="24"/>
          <w:szCs w:val="24"/>
        </w:rPr>
        <w:footnoteReference w:id="44"/>
      </w:r>
    </w:p>
    <w:p w14:paraId="1FCDA3DC" w14:textId="4D7C9E3E" w:rsidR="00DF2F1E" w:rsidRPr="002E0470" w:rsidRDefault="002E0470" w:rsidP="00294B20">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w:t>
      </w:r>
      <w:r w:rsidR="0068473D">
        <w:rPr>
          <w:rFonts w:ascii="Times New Roman" w:hAnsi="Times New Roman" w:cs="Times New Roman"/>
          <w:sz w:val="24"/>
          <w:szCs w:val="24"/>
        </w:rPr>
        <w:t>,</w:t>
      </w:r>
      <w:r w:rsidR="00721C3D">
        <w:rPr>
          <w:rFonts w:ascii="Times New Roman" w:hAnsi="Times New Roman" w:cs="Times New Roman"/>
          <w:sz w:val="24"/>
          <w:szCs w:val="24"/>
        </w:rPr>
        <w:t xml:space="preserve"> there are outliers such as Montana, </w:t>
      </w:r>
      <w:r w:rsidR="00380A5C">
        <w:rPr>
          <w:rFonts w:ascii="Times New Roman" w:hAnsi="Times New Roman" w:cs="Times New Roman"/>
          <w:sz w:val="24"/>
          <w:szCs w:val="24"/>
        </w:rPr>
        <w:t>which does not prohibit contingent fees but merely requires disclosure: “a principal may not make payments to influence official action by any public official unless that principal file</w:t>
      </w:r>
      <w:r w:rsidR="0068473D">
        <w:rPr>
          <w:rFonts w:ascii="Times New Roman" w:hAnsi="Times New Roman" w:cs="Times New Roman"/>
          <w:sz w:val="24"/>
          <w:szCs w:val="24"/>
        </w:rPr>
        <w:t>s” a required report.</w:t>
      </w:r>
      <w:r w:rsidR="0068473D">
        <w:rPr>
          <w:rStyle w:val="FootnoteReference"/>
          <w:rFonts w:ascii="Times New Roman" w:hAnsi="Times New Roman" w:cs="Times New Roman"/>
          <w:sz w:val="24"/>
          <w:szCs w:val="24"/>
        </w:rPr>
        <w:footnoteReference w:id="45"/>
      </w:r>
      <w:r w:rsidR="009A1419">
        <w:rPr>
          <w:rFonts w:ascii="Times New Roman" w:hAnsi="Times New Roman" w:cs="Times New Roman"/>
          <w:sz w:val="24"/>
          <w:szCs w:val="24"/>
        </w:rPr>
        <w:t xml:space="preserve">  Yet despite the differences between the jurisdictions, they are all informed by the federal experience</w:t>
      </w:r>
      <w:r w:rsidR="00825D4C">
        <w:rPr>
          <w:rFonts w:ascii="Times New Roman" w:hAnsi="Times New Roman" w:cs="Times New Roman"/>
          <w:sz w:val="24"/>
          <w:szCs w:val="24"/>
        </w:rPr>
        <w:t xml:space="preserve"> and the FAR, which seeks to </w:t>
      </w:r>
      <w:r w:rsidR="00931BFF">
        <w:rPr>
          <w:rFonts w:ascii="Times New Roman" w:hAnsi="Times New Roman" w:cs="Times New Roman"/>
          <w:sz w:val="24"/>
          <w:szCs w:val="24"/>
        </w:rPr>
        <w:t xml:space="preserve">address influence peddling </w:t>
      </w:r>
      <w:r>
        <w:rPr>
          <w:rFonts w:ascii="Times New Roman" w:hAnsi="Times New Roman" w:cs="Times New Roman"/>
          <w:sz w:val="24"/>
          <w:szCs w:val="24"/>
        </w:rPr>
        <w:t xml:space="preserve">primarily through </w:t>
      </w:r>
      <w:r w:rsidR="00931BFF">
        <w:rPr>
          <w:rFonts w:ascii="Times New Roman" w:hAnsi="Times New Roman" w:cs="Times New Roman"/>
          <w:sz w:val="24"/>
          <w:szCs w:val="24"/>
        </w:rPr>
        <w:t xml:space="preserve">regulating the manner in which </w:t>
      </w:r>
      <w:r w:rsidR="008F5A10">
        <w:rPr>
          <w:rFonts w:ascii="Times New Roman" w:hAnsi="Times New Roman" w:cs="Times New Roman"/>
          <w:sz w:val="24"/>
          <w:szCs w:val="24"/>
        </w:rPr>
        <w:t xml:space="preserve">compensation is disbursed.  By addressing lobbying by name, </w:t>
      </w:r>
      <w:r>
        <w:rPr>
          <w:rFonts w:ascii="Times New Roman" w:hAnsi="Times New Roman" w:cs="Times New Roman"/>
          <w:sz w:val="24"/>
          <w:szCs w:val="24"/>
        </w:rPr>
        <w:t>some</w:t>
      </w:r>
      <w:r w:rsidR="008F5A10">
        <w:rPr>
          <w:rFonts w:ascii="Times New Roman" w:hAnsi="Times New Roman" w:cs="Times New Roman"/>
          <w:sz w:val="24"/>
          <w:szCs w:val="24"/>
        </w:rPr>
        <w:t xml:space="preserve"> of the state codes </w:t>
      </w:r>
      <w:r>
        <w:rPr>
          <w:rFonts w:ascii="Times New Roman" w:hAnsi="Times New Roman" w:cs="Times New Roman"/>
          <w:sz w:val="24"/>
          <w:szCs w:val="24"/>
        </w:rPr>
        <w:t>speak more directly to the type of conduct the</w:t>
      </w:r>
      <w:r w:rsidR="00CF1D5D">
        <w:rPr>
          <w:rFonts w:ascii="Times New Roman" w:hAnsi="Times New Roman" w:cs="Times New Roman"/>
          <w:sz w:val="24"/>
          <w:szCs w:val="24"/>
        </w:rPr>
        <w:t xml:space="preserve"> law seeks to mitigate.  </w:t>
      </w:r>
      <w:r w:rsidR="00057E16">
        <w:rPr>
          <w:rFonts w:ascii="Times New Roman" w:hAnsi="Times New Roman" w:cs="Times New Roman"/>
          <w:sz w:val="24"/>
          <w:szCs w:val="24"/>
        </w:rPr>
        <w:t>Ultimately</w:t>
      </w:r>
      <w:r>
        <w:rPr>
          <w:rFonts w:ascii="Times New Roman" w:hAnsi="Times New Roman" w:cs="Times New Roman"/>
          <w:sz w:val="24"/>
          <w:szCs w:val="24"/>
        </w:rPr>
        <w:t xml:space="preserve"> however</w:t>
      </w:r>
      <w:r w:rsidR="00182477">
        <w:rPr>
          <w:rFonts w:ascii="Times New Roman" w:hAnsi="Times New Roman" w:cs="Times New Roman"/>
          <w:sz w:val="24"/>
          <w:szCs w:val="24"/>
        </w:rPr>
        <w:t xml:space="preserve">, </w:t>
      </w:r>
      <w:proofErr w:type="gramStart"/>
      <w:r w:rsidR="00182477">
        <w:rPr>
          <w:rFonts w:ascii="Times New Roman" w:hAnsi="Times New Roman" w:cs="Times New Roman"/>
          <w:sz w:val="24"/>
          <w:szCs w:val="24"/>
        </w:rPr>
        <w:t>state</w:t>
      </w:r>
      <w:proofErr w:type="gramEnd"/>
      <w:r w:rsidR="00182477">
        <w:rPr>
          <w:rFonts w:ascii="Times New Roman" w:hAnsi="Times New Roman" w:cs="Times New Roman"/>
          <w:sz w:val="24"/>
          <w:szCs w:val="24"/>
        </w:rPr>
        <w:t xml:space="preserve"> and local procurement law</w:t>
      </w:r>
      <w:r>
        <w:rPr>
          <w:rFonts w:ascii="Times New Roman" w:hAnsi="Times New Roman" w:cs="Times New Roman"/>
          <w:sz w:val="24"/>
          <w:szCs w:val="24"/>
        </w:rPr>
        <w:t xml:space="preserve"> replicates the federal fixation on contingency fees and obscures the animating concerns of </w:t>
      </w:r>
      <w:r>
        <w:rPr>
          <w:rFonts w:ascii="Times New Roman" w:hAnsi="Times New Roman" w:cs="Times New Roman"/>
          <w:i/>
          <w:iCs/>
          <w:sz w:val="24"/>
          <w:szCs w:val="24"/>
        </w:rPr>
        <w:t>Providence Tool</w:t>
      </w:r>
      <w:r>
        <w:rPr>
          <w:rFonts w:ascii="Times New Roman" w:hAnsi="Times New Roman" w:cs="Times New Roman"/>
          <w:sz w:val="24"/>
          <w:szCs w:val="24"/>
        </w:rPr>
        <w:t>.</w:t>
      </w:r>
    </w:p>
    <w:p w14:paraId="2F074ACA" w14:textId="5FBF67FF" w:rsidR="001B4A61" w:rsidRDefault="00E00335" w:rsidP="00A3353B">
      <w:pPr>
        <w:pStyle w:val="Heading1"/>
      </w:pPr>
      <w:bookmarkStart w:id="13" w:name="_Toc153485963"/>
      <w:r>
        <w:t>WEAKNESSES IN CONTINGE</w:t>
      </w:r>
      <w:r w:rsidR="00E352BD">
        <w:t>C</w:t>
      </w:r>
      <w:r>
        <w:t>NY FEE REGULATION</w:t>
      </w:r>
      <w:bookmarkEnd w:id="13"/>
    </w:p>
    <w:p w14:paraId="2ABCCB51" w14:textId="3E27DFCA" w:rsidR="00DA12C0" w:rsidRPr="00516523" w:rsidRDefault="00DA12C0" w:rsidP="00516523">
      <w:pPr>
        <w:spacing w:line="480" w:lineRule="auto"/>
        <w:rPr>
          <w:rFonts w:ascii="Times New Roman" w:hAnsi="Times New Roman" w:cs="Times New Roman"/>
          <w:sz w:val="24"/>
          <w:szCs w:val="24"/>
        </w:rPr>
      </w:pPr>
      <w:r w:rsidRPr="00516523">
        <w:rPr>
          <w:rFonts w:ascii="Times New Roman" w:hAnsi="Times New Roman" w:cs="Times New Roman"/>
          <w:sz w:val="24"/>
          <w:szCs w:val="24"/>
        </w:rPr>
        <w:t>The existing legal landscape contains two glaring shortcomings in its ability to reign in influence peddling.  First, the ‘bona fide’ exception present in federal and many state systems produces confusion about what professional services are exempted, and renders enforcement of the Covenant more difficult.  Second, the FAR as it exists today contains no disclosure requirements on behalf of contractors, thus eliminating the monitoring function necessary to verify compliance.</w:t>
      </w:r>
    </w:p>
    <w:p w14:paraId="67636E83" w14:textId="05AF2220" w:rsidR="00772729" w:rsidRDefault="006769F1" w:rsidP="00DA12C0">
      <w:pPr>
        <w:pStyle w:val="Heading2"/>
      </w:pPr>
      <w:bookmarkStart w:id="14" w:name="_Toc153485964"/>
      <w:r>
        <w:t>Bona Fide Exception</w:t>
      </w:r>
      <w:bookmarkEnd w:id="14"/>
    </w:p>
    <w:p w14:paraId="657A7DBD" w14:textId="1E3F0A64" w:rsidR="00DA12C0" w:rsidRDefault="00F3304B" w:rsidP="00DA12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discussed, the FAR exempts </w:t>
      </w:r>
      <w:r>
        <w:rPr>
          <w:rFonts w:ascii="Times New Roman" w:hAnsi="Times New Roman" w:cs="Times New Roman"/>
          <w:i/>
          <w:iCs/>
          <w:sz w:val="24"/>
          <w:szCs w:val="24"/>
        </w:rPr>
        <w:t>bona fide</w:t>
      </w:r>
      <w:r>
        <w:rPr>
          <w:rFonts w:ascii="Times New Roman" w:hAnsi="Times New Roman" w:cs="Times New Roman"/>
          <w:sz w:val="24"/>
          <w:szCs w:val="24"/>
        </w:rPr>
        <w:t xml:space="preserve"> employees and agencies from the Covenant Against Contingent Fees.</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r>
        <w:rPr>
          <w:rFonts w:ascii="Times New Roman" w:hAnsi="Times New Roman" w:cs="Times New Roman"/>
          <w:i/>
          <w:iCs/>
          <w:sz w:val="24"/>
          <w:szCs w:val="24"/>
        </w:rPr>
        <w:t xml:space="preserve">Bona fide </w:t>
      </w:r>
      <w:r>
        <w:rPr>
          <w:rFonts w:ascii="Times New Roman" w:hAnsi="Times New Roman" w:cs="Times New Roman"/>
          <w:sz w:val="24"/>
          <w:szCs w:val="24"/>
        </w:rPr>
        <w:t xml:space="preserve">agencies “means an established commercial or selling agency, maintained by a contractor for the purpose of securing business, that neither exerts nor proposes to exert improper influence to solicit or obtain Government contracts….”  </w:t>
      </w:r>
      <w:r>
        <w:rPr>
          <w:rFonts w:ascii="Times New Roman" w:hAnsi="Times New Roman" w:cs="Times New Roman"/>
          <w:i/>
          <w:iCs/>
          <w:sz w:val="24"/>
          <w:szCs w:val="24"/>
        </w:rPr>
        <w:t>Bona fide</w:t>
      </w:r>
      <w:r>
        <w:rPr>
          <w:rFonts w:ascii="Times New Roman" w:hAnsi="Times New Roman" w:cs="Times New Roman"/>
          <w:sz w:val="24"/>
          <w:szCs w:val="24"/>
        </w:rPr>
        <w:t xml:space="preserve"> employees are conventional employees on recurring payroll that perform sales functions without exerting improper influence.  Improper influence exists whenever a government employee performs an act relating to a contract “on any basis other than the merits of the matter.”</w:t>
      </w:r>
      <w:r>
        <w:rPr>
          <w:rStyle w:val="FootnoteReference"/>
          <w:rFonts w:ascii="Times New Roman" w:hAnsi="Times New Roman" w:cs="Times New Roman"/>
          <w:sz w:val="24"/>
          <w:szCs w:val="24"/>
        </w:rPr>
        <w:footnoteReference w:id="47"/>
      </w:r>
    </w:p>
    <w:p w14:paraId="2C1D0D92" w14:textId="7B57D720" w:rsidR="00D86EE0" w:rsidRDefault="00D86EE0" w:rsidP="00DA12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regulatory exemption was </w:t>
      </w:r>
      <w:r w:rsidR="003E3B61">
        <w:rPr>
          <w:rFonts w:ascii="Times New Roman" w:hAnsi="Times New Roman" w:cs="Times New Roman"/>
          <w:sz w:val="24"/>
          <w:szCs w:val="24"/>
        </w:rPr>
        <w:t xml:space="preserve">originally </w:t>
      </w:r>
      <w:r>
        <w:rPr>
          <w:rFonts w:ascii="Times New Roman" w:hAnsi="Times New Roman" w:cs="Times New Roman"/>
          <w:sz w:val="24"/>
          <w:szCs w:val="24"/>
        </w:rPr>
        <w:t xml:space="preserve">promulgated in 1952 to alleviate confusion regarding who qualified as a </w:t>
      </w:r>
      <w:r>
        <w:rPr>
          <w:rFonts w:ascii="Times New Roman" w:hAnsi="Times New Roman" w:cs="Times New Roman"/>
          <w:i/>
          <w:iCs/>
          <w:sz w:val="24"/>
          <w:szCs w:val="24"/>
        </w:rPr>
        <w:t>bona fide</w:t>
      </w:r>
      <w:r>
        <w:rPr>
          <w:rFonts w:ascii="Times New Roman" w:hAnsi="Times New Roman" w:cs="Times New Roman"/>
          <w:sz w:val="24"/>
          <w:szCs w:val="24"/>
        </w:rPr>
        <w:t xml:space="preserve"> agency or employee.</w:t>
      </w:r>
      <w:r w:rsidR="003E3B61">
        <w:rPr>
          <w:rFonts w:ascii="Times New Roman" w:hAnsi="Times New Roman" w:cs="Times New Roman"/>
          <w:sz w:val="24"/>
          <w:szCs w:val="24"/>
        </w:rPr>
        <w:t xml:space="preserve">  Yet the regulation did little to demarcate legitimate services from improper influence wielding.</w:t>
      </w:r>
      <w:r>
        <w:rPr>
          <w:rStyle w:val="FootnoteReference"/>
          <w:rFonts w:ascii="Times New Roman" w:hAnsi="Times New Roman" w:cs="Times New Roman"/>
          <w:sz w:val="24"/>
          <w:szCs w:val="24"/>
        </w:rPr>
        <w:footnoteReference w:id="48"/>
      </w:r>
      <w:r w:rsidR="003E3B61">
        <w:rPr>
          <w:rFonts w:ascii="Times New Roman" w:hAnsi="Times New Roman" w:cs="Times New Roman"/>
          <w:sz w:val="24"/>
          <w:szCs w:val="24"/>
        </w:rPr>
        <w:t xml:space="preserve">  Rater than relying on the revamped regulation, guidance was initially found from a list of factors identified in a 1950 Senate Subcommittee report on influence peddling known as “the 5-Percenter Investigation.”</w:t>
      </w:r>
      <w:r w:rsidR="003E3B61">
        <w:rPr>
          <w:rStyle w:val="FootnoteReference"/>
          <w:rFonts w:ascii="Times New Roman" w:hAnsi="Times New Roman" w:cs="Times New Roman"/>
          <w:sz w:val="24"/>
          <w:szCs w:val="24"/>
        </w:rPr>
        <w:footnoteReference w:id="49"/>
      </w:r>
    </w:p>
    <w:p w14:paraId="7F97A9A5" w14:textId="47DB0856" w:rsidR="003E3B61" w:rsidRDefault="003E3B61" w:rsidP="00DA12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list of factors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eventually incorporated into the FAR, and were to be evaluated on a ‘totality of the circumstances’ basis.  The factors were:</w:t>
      </w:r>
    </w:p>
    <w:p w14:paraId="5BCF1A04" w14:textId="2DA1BE74" w:rsidR="003E3B61" w:rsidRDefault="003E3B61" w:rsidP="00A42F9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Proportional Fee</w:t>
      </w:r>
      <w:r>
        <w:rPr>
          <w:rFonts w:ascii="Times New Roman" w:hAnsi="Times New Roman" w:cs="Times New Roman"/>
          <w:sz w:val="24"/>
          <w:szCs w:val="24"/>
        </w:rPr>
        <w:t>—The agent’s fee ‘</w:t>
      </w:r>
      <w:r w:rsidRPr="008C5D9C">
        <w:rPr>
          <w:rFonts w:ascii="Times New Roman" w:hAnsi="Times New Roman" w:cs="Times New Roman"/>
          <w:i/>
          <w:iCs/>
          <w:sz w:val="24"/>
          <w:szCs w:val="24"/>
        </w:rPr>
        <w:t>should</w:t>
      </w:r>
      <w:r>
        <w:rPr>
          <w:rFonts w:ascii="Times New Roman" w:hAnsi="Times New Roman" w:cs="Times New Roman"/>
          <w:sz w:val="24"/>
          <w:szCs w:val="24"/>
        </w:rPr>
        <w:t xml:space="preserve"> not be inequitable or exorbitant when compared to services performed or customary fees for similar services related to commercial business.’</w:t>
      </w:r>
    </w:p>
    <w:p w14:paraId="6DB05455" w14:textId="74BECFD6" w:rsidR="003E3B61" w:rsidRDefault="003E3B61" w:rsidP="00A42F9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Knowledge of Business</w:t>
      </w:r>
      <w:r>
        <w:rPr>
          <w:rFonts w:ascii="Times New Roman" w:hAnsi="Times New Roman" w:cs="Times New Roman"/>
          <w:sz w:val="24"/>
          <w:szCs w:val="24"/>
        </w:rPr>
        <w:t>—The entity ‘</w:t>
      </w:r>
      <w:r w:rsidRPr="008C5D9C">
        <w:rPr>
          <w:rFonts w:ascii="Times New Roman" w:hAnsi="Times New Roman" w:cs="Times New Roman"/>
          <w:i/>
          <w:iCs/>
          <w:sz w:val="24"/>
          <w:szCs w:val="24"/>
        </w:rPr>
        <w:t>should</w:t>
      </w:r>
      <w:r>
        <w:rPr>
          <w:rFonts w:ascii="Times New Roman" w:hAnsi="Times New Roman" w:cs="Times New Roman"/>
          <w:sz w:val="24"/>
          <w:szCs w:val="24"/>
        </w:rPr>
        <w:t xml:space="preserve"> have adequate knowledge of the contractor’s products and business, and other qualifications necessary to sell the products or services on their merits.’</w:t>
      </w:r>
    </w:p>
    <w:p w14:paraId="2058BC1A" w14:textId="37A3B249" w:rsidR="003E3B61" w:rsidRDefault="003E3B61" w:rsidP="00A42F9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Continuing Relationship</w:t>
      </w:r>
      <w:r w:rsidR="008109FF">
        <w:rPr>
          <w:rFonts w:ascii="Times New Roman" w:hAnsi="Times New Roman" w:cs="Times New Roman"/>
          <w:sz w:val="24"/>
          <w:szCs w:val="24"/>
        </w:rPr>
        <w:t>— ‘</w:t>
      </w:r>
      <w:r>
        <w:rPr>
          <w:rFonts w:ascii="Times New Roman" w:hAnsi="Times New Roman" w:cs="Times New Roman"/>
          <w:sz w:val="24"/>
          <w:szCs w:val="24"/>
        </w:rPr>
        <w:t xml:space="preserve">The contractor and entity </w:t>
      </w:r>
      <w:r w:rsidRPr="008C5D9C">
        <w:rPr>
          <w:rFonts w:ascii="Times New Roman" w:hAnsi="Times New Roman" w:cs="Times New Roman"/>
          <w:i/>
          <w:iCs/>
          <w:sz w:val="24"/>
          <w:szCs w:val="24"/>
        </w:rPr>
        <w:t>should</w:t>
      </w:r>
      <w:r>
        <w:rPr>
          <w:rFonts w:ascii="Times New Roman" w:hAnsi="Times New Roman" w:cs="Times New Roman"/>
          <w:sz w:val="24"/>
          <w:szCs w:val="24"/>
        </w:rPr>
        <w:t xml:space="preserve"> have a continuing </w:t>
      </w:r>
      <w:r w:rsidR="00A42F9A">
        <w:rPr>
          <w:rFonts w:ascii="Times New Roman" w:hAnsi="Times New Roman" w:cs="Times New Roman"/>
          <w:sz w:val="24"/>
          <w:szCs w:val="24"/>
        </w:rPr>
        <w:t>relationship or, in newly established relationships, should contemplate future continuity.’</w:t>
      </w:r>
    </w:p>
    <w:p w14:paraId="2DABD235" w14:textId="50C8D4D2" w:rsidR="00A42F9A" w:rsidRDefault="00A42F9A" w:rsidP="00A42F9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Established/Ongoing Concern</w:t>
      </w:r>
      <w:r>
        <w:rPr>
          <w:rFonts w:ascii="Times New Roman" w:hAnsi="Times New Roman" w:cs="Times New Roman"/>
          <w:sz w:val="24"/>
          <w:szCs w:val="24"/>
        </w:rPr>
        <w:t>—The entity ‘</w:t>
      </w:r>
      <w:r w:rsidRPr="008C5D9C">
        <w:rPr>
          <w:rFonts w:ascii="Times New Roman" w:hAnsi="Times New Roman" w:cs="Times New Roman"/>
          <w:i/>
          <w:iCs/>
          <w:sz w:val="24"/>
          <w:szCs w:val="24"/>
        </w:rPr>
        <w:t>should</w:t>
      </w:r>
      <w:r>
        <w:rPr>
          <w:rFonts w:ascii="Times New Roman" w:hAnsi="Times New Roman" w:cs="Times New Roman"/>
          <w:sz w:val="24"/>
          <w:szCs w:val="24"/>
        </w:rPr>
        <w:t xml:space="preserve"> be an established concern that has existed for a considerable </w:t>
      </w:r>
      <w:r w:rsidR="008109FF">
        <w:rPr>
          <w:rFonts w:ascii="Times New Roman" w:hAnsi="Times New Roman" w:cs="Times New Roman"/>
          <w:sz w:val="24"/>
          <w:szCs w:val="24"/>
        </w:rPr>
        <w:t>period or</w:t>
      </w:r>
      <w:r>
        <w:rPr>
          <w:rFonts w:ascii="Times New Roman" w:hAnsi="Times New Roman" w:cs="Times New Roman"/>
          <w:sz w:val="24"/>
          <w:szCs w:val="24"/>
        </w:rPr>
        <w:t xml:space="preserve"> be a newly established going concern likely to continue in the future.’</w:t>
      </w:r>
    </w:p>
    <w:p w14:paraId="390EE652" w14:textId="6AB2A009" w:rsidR="00A42F9A" w:rsidRPr="003E3B61" w:rsidRDefault="00A42F9A" w:rsidP="00A42F9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u w:val="single"/>
        </w:rPr>
        <w:t>General Representation</w:t>
      </w:r>
      <w:r>
        <w:rPr>
          <w:rFonts w:ascii="Times New Roman" w:hAnsi="Times New Roman" w:cs="Times New Roman"/>
          <w:sz w:val="24"/>
          <w:szCs w:val="24"/>
        </w:rPr>
        <w:t xml:space="preserve">—An entity that ‘represents the contractor in Government and commercial sales </w:t>
      </w:r>
      <w:r w:rsidRPr="008C5D9C">
        <w:rPr>
          <w:rFonts w:ascii="Times New Roman" w:hAnsi="Times New Roman" w:cs="Times New Roman"/>
          <w:i/>
          <w:iCs/>
          <w:sz w:val="24"/>
          <w:szCs w:val="24"/>
        </w:rPr>
        <w:t>should</w:t>
      </w:r>
      <w:r>
        <w:rPr>
          <w:rFonts w:ascii="Times New Roman" w:hAnsi="Times New Roman" w:cs="Times New Roman"/>
          <w:sz w:val="24"/>
          <w:szCs w:val="24"/>
        </w:rPr>
        <w:t xml:space="preserve"> receive favorable consideration,’ although an entity that ‘confines its selling activities to Government contracts is </w:t>
      </w:r>
      <w:r w:rsidRPr="008C5D9C">
        <w:rPr>
          <w:rFonts w:ascii="Times New Roman" w:hAnsi="Times New Roman" w:cs="Times New Roman"/>
          <w:i/>
          <w:iCs/>
          <w:sz w:val="24"/>
          <w:szCs w:val="24"/>
        </w:rPr>
        <w:t>not</w:t>
      </w:r>
      <w:r>
        <w:rPr>
          <w:rFonts w:ascii="Times New Roman" w:hAnsi="Times New Roman" w:cs="Times New Roman"/>
          <w:sz w:val="24"/>
          <w:szCs w:val="24"/>
        </w:rPr>
        <w:t xml:space="preserve"> disqualified.’</w:t>
      </w:r>
      <w:r>
        <w:rPr>
          <w:rStyle w:val="FootnoteReference"/>
          <w:rFonts w:ascii="Times New Roman" w:hAnsi="Times New Roman" w:cs="Times New Roman"/>
          <w:sz w:val="24"/>
          <w:szCs w:val="24"/>
        </w:rPr>
        <w:footnoteReference w:id="50"/>
      </w:r>
    </w:p>
    <w:p w14:paraId="53E7F13B" w14:textId="15ADA039" w:rsidR="003E3B61" w:rsidRDefault="0005661C" w:rsidP="00DA12C0">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this guidance is prone to subjective interpretation, allows firms to find creative contractual arrangements to arguably conform to most of these factors, and resulted in inconsistent application in federal and state courts.</w:t>
      </w:r>
      <w:r>
        <w:rPr>
          <w:rStyle w:val="FootnoteReference"/>
          <w:rFonts w:ascii="Times New Roman" w:hAnsi="Times New Roman" w:cs="Times New Roman"/>
          <w:sz w:val="24"/>
          <w:szCs w:val="24"/>
        </w:rPr>
        <w:footnoteReference w:id="51"/>
      </w:r>
      <w:r w:rsidR="008C5D9C">
        <w:rPr>
          <w:rFonts w:ascii="Times New Roman" w:hAnsi="Times New Roman" w:cs="Times New Roman"/>
          <w:sz w:val="24"/>
          <w:szCs w:val="24"/>
        </w:rPr>
        <w:t xml:space="preserve">  Furthermore, different courts utilized different tests in applying these factors.  Some analyzed the factors and asked whether the contractors conduct </w:t>
      </w:r>
      <w:proofErr w:type="gramStart"/>
      <w:r w:rsidR="008C5D9C">
        <w:rPr>
          <w:rFonts w:ascii="Times New Roman" w:hAnsi="Times New Roman" w:cs="Times New Roman"/>
          <w:sz w:val="24"/>
          <w:szCs w:val="24"/>
        </w:rPr>
        <w:t xml:space="preserve">had a </w:t>
      </w:r>
      <w:r w:rsidR="008C5D9C">
        <w:rPr>
          <w:rFonts w:ascii="Times New Roman" w:hAnsi="Times New Roman" w:cs="Times New Roman"/>
          <w:i/>
          <w:iCs/>
          <w:sz w:val="24"/>
          <w:szCs w:val="24"/>
        </w:rPr>
        <w:t>tendency</w:t>
      </w:r>
      <w:r w:rsidR="008C5D9C">
        <w:rPr>
          <w:rFonts w:ascii="Times New Roman" w:hAnsi="Times New Roman" w:cs="Times New Roman"/>
          <w:sz w:val="24"/>
          <w:szCs w:val="24"/>
        </w:rPr>
        <w:t xml:space="preserve"> to</w:t>
      </w:r>
      <w:proofErr w:type="gramEnd"/>
      <w:r w:rsidR="008C5D9C">
        <w:rPr>
          <w:rFonts w:ascii="Times New Roman" w:hAnsi="Times New Roman" w:cs="Times New Roman"/>
          <w:sz w:val="24"/>
          <w:szCs w:val="24"/>
        </w:rPr>
        <w:t xml:space="preserve"> induce improper or corrupt means, while others looked to </w:t>
      </w:r>
      <w:r w:rsidR="008C5D9C" w:rsidRPr="008C5D9C">
        <w:rPr>
          <w:rFonts w:ascii="Times New Roman" w:hAnsi="Times New Roman" w:cs="Times New Roman"/>
          <w:sz w:val="24"/>
          <w:szCs w:val="24"/>
        </w:rPr>
        <w:t>the facts and circumstances</w:t>
      </w:r>
      <w:r w:rsidR="008C5D9C">
        <w:rPr>
          <w:rFonts w:ascii="Times New Roman" w:hAnsi="Times New Roman" w:cs="Times New Roman"/>
          <w:sz w:val="24"/>
          <w:szCs w:val="24"/>
        </w:rPr>
        <w:t xml:space="preserve"> of the specific conduct to determine if </w:t>
      </w:r>
      <w:r w:rsidR="008C5D9C" w:rsidRPr="008C5D9C">
        <w:rPr>
          <w:rFonts w:ascii="Times New Roman" w:hAnsi="Times New Roman" w:cs="Times New Roman"/>
          <w:i/>
          <w:iCs/>
          <w:sz w:val="24"/>
          <w:szCs w:val="24"/>
        </w:rPr>
        <w:t>actual</w:t>
      </w:r>
      <w:r w:rsidR="008C5D9C">
        <w:rPr>
          <w:rFonts w:ascii="Times New Roman" w:hAnsi="Times New Roman" w:cs="Times New Roman"/>
          <w:sz w:val="24"/>
          <w:szCs w:val="24"/>
        </w:rPr>
        <w:t xml:space="preserve"> corrupt means were used.</w:t>
      </w:r>
      <w:r w:rsidR="008C5D9C">
        <w:rPr>
          <w:rStyle w:val="FootnoteReference"/>
          <w:rFonts w:ascii="Times New Roman" w:hAnsi="Times New Roman" w:cs="Times New Roman"/>
          <w:sz w:val="24"/>
          <w:szCs w:val="24"/>
        </w:rPr>
        <w:footnoteReference w:id="52"/>
      </w:r>
    </w:p>
    <w:p w14:paraId="515250A6" w14:textId="6BD79E9C" w:rsidR="00892F5C" w:rsidRPr="008C5D9C" w:rsidRDefault="00E23581" w:rsidP="00DA12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 is an unnecessarily complex regulatory balancing test, and an awkward tool to prevent influence peddling.  Over seventy years have passed since the regulations were published to alleviate confusion over what constitutes a </w:t>
      </w:r>
      <w:r>
        <w:rPr>
          <w:rFonts w:ascii="Times New Roman" w:hAnsi="Times New Roman" w:cs="Times New Roman"/>
          <w:i/>
          <w:iCs/>
          <w:sz w:val="24"/>
          <w:szCs w:val="24"/>
        </w:rPr>
        <w:t>bona fide</w:t>
      </w:r>
      <w:r>
        <w:rPr>
          <w:rFonts w:ascii="Times New Roman" w:hAnsi="Times New Roman" w:cs="Times New Roman"/>
          <w:sz w:val="24"/>
          <w:szCs w:val="24"/>
        </w:rPr>
        <w:t xml:space="preserve"> agency or employee, and yet the distinction remains obscured.  These regulatory ambiguities and the subjective tests to resolve them undermine the ability to reduce improper influence in public procurement.  </w:t>
      </w:r>
      <w:r w:rsidR="00892F5C">
        <w:rPr>
          <w:rFonts w:ascii="Times New Roman" w:hAnsi="Times New Roman" w:cs="Times New Roman"/>
          <w:sz w:val="24"/>
          <w:szCs w:val="24"/>
        </w:rPr>
        <w:t>In any event, the five-factor analysis was removed from the FAR in 1996, and though some courts continue to refer to them when cases arise,</w:t>
      </w:r>
      <w:r w:rsidR="0001549A">
        <w:rPr>
          <w:rStyle w:val="FootnoteReference"/>
          <w:rFonts w:ascii="Times New Roman" w:hAnsi="Times New Roman" w:cs="Times New Roman"/>
          <w:sz w:val="24"/>
          <w:szCs w:val="24"/>
        </w:rPr>
        <w:footnoteReference w:id="53"/>
      </w:r>
      <w:r w:rsidR="00892F5C">
        <w:rPr>
          <w:rFonts w:ascii="Times New Roman" w:hAnsi="Times New Roman" w:cs="Times New Roman"/>
          <w:sz w:val="24"/>
          <w:szCs w:val="24"/>
        </w:rPr>
        <w:t xml:space="preserve"> due to the removal </w:t>
      </w:r>
      <w:r>
        <w:rPr>
          <w:rFonts w:ascii="Times New Roman" w:hAnsi="Times New Roman" w:cs="Times New Roman"/>
          <w:sz w:val="24"/>
          <w:szCs w:val="24"/>
        </w:rPr>
        <w:t>of a second</w:t>
      </w:r>
      <w:r w:rsidR="00892F5C">
        <w:rPr>
          <w:rFonts w:ascii="Times New Roman" w:hAnsi="Times New Roman" w:cs="Times New Roman"/>
          <w:sz w:val="24"/>
          <w:szCs w:val="24"/>
        </w:rPr>
        <w:t xml:space="preserve"> contingent fee provision</w:t>
      </w:r>
      <w:r>
        <w:rPr>
          <w:rFonts w:ascii="Times New Roman" w:hAnsi="Times New Roman" w:cs="Times New Roman"/>
          <w:sz w:val="24"/>
          <w:szCs w:val="24"/>
        </w:rPr>
        <w:t xml:space="preserve"> from the FAR</w:t>
      </w:r>
      <w:r w:rsidR="00892F5C">
        <w:rPr>
          <w:rFonts w:ascii="Times New Roman" w:hAnsi="Times New Roman" w:cs="Times New Roman"/>
          <w:sz w:val="24"/>
          <w:szCs w:val="24"/>
        </w:rPr>
        <w:t>, such cases are increasingly rare.</w:t>
      </w:r>
    </w:p>
    <w:p w14:paraId="65F53989" w14:textId="13A95852" w:rsidR="006769F1" w:rsidRDefault="00DA12C0" w:rsidP="00DA12C0">
      <w:pPr>
        <w:pStyle w:val="Heading2"/>
      </w:pPr>
      <w:bookmarkStart w:id="15" w:name="_Toc153485965"/>
      <w:r>
        <w:t>Lack of a Disclosure Requirement</w:t>
      </w:r>
      <w:bookmarkEnd w:id="15"/>
    </w:p>
    <w:p w14:paraId="695486AB" w14:textId="75699F66" w:rsidR="00BE698B" w:rsidRDefault="00BD0D50" w:rsidP="00BD0D50">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reinforce the effectiveness of the warranty that no improper contingent fee arrangements existed, the FAR required successful offerors submit Standard Form 119 (SF-119), disclosing the identity of any agents used in seeking the award, duties performed, and details regarding their compensation.</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The contracting officer would then review the SF-119 submission and guarantee that no contingency fees were made, or if they were, that the recipient satisfied the </w:t>
      </w:r>
      <w:r w:rsidRPr="00BD0D50">
        <w:rPr>
          <w:rFonts w:ascii="Times New Roman" w:hAnsi="Times New Roman" w:cs="Times New Roman"/>
          <w:i/>
          <w:iCs/>
          <w:sz w:val="24"/>
          <w:szCs w:val="24"/>
        </w:rPr>
        <w:t>bona fide</w:t>
      </w:r>
      <w:r>
        <w:rPr>
          <w:rFonts w:ascii="Times New Roman" w:hAnsi="Times New Roman" w:cs="Times New Roman"/>
          <w:sz w:val="24"/>
          <w:szCs w:val="24"/>
        </w:rPr>
        <w:t xml:space="preserve"> agent or employee exception.  This disclosure was essential in enabling the Government to investigate and remedy violations of the Covenant Against Contingent Fees.</w:t>
      </w:r>
      <w:r>
        <w:rPr>
          <w:rStyle w:val="FootnoteReference"/>
          <w:rFonts w:ascii="Times New Roman" w:hAnsi="Times New Roman" w:cs="Times New Roman"/>
          <w:sz w:val="24"/>
          <w:szCs w:val="24"/>
        </w:rPr>
        <w:footnoteReference w:id="55"/>
      </w:r>
    </w:p>
    <w:p w14:paraId="4F4E9904" w14:textId="0A08F7FE" w:rsidR="00BD0D50" w:rsidRDefault="00BD0D50" w:rsidP="00BD0D50">
      <w:pPr>
        <w:spacing w:line="480" w:lineRule="auto"/>
        <w:ind w:firstLine="720"/>
        <w:rPr>
          <w:rFonts w:ascii="Times New Roman" w:hAnsi="Times New Roman" w:cs="Times New Roman"/>
          <w:sz w:val="24"/>
          <w:szCs w:val="24"/>
        </w:rPr>
      </w:pPr>
      <w:r>
        <w:rPr>
          <w:rFonts w:ascii="Times New Roman" w:hAnsi="Times New Roman" w:cs="Times New Roman"/>
          <w:sz w:val="24"/>
          <w:szCs w:val="24"/>
        </w:rPr>
        <w:t>Yet this disclosure requirement was eliminated in 1996 to streamline and simplify the federal procurement system.</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With its removal, a fundamental regulatory monitoring tool was removed, as “any violation of the covenant is unlikely to be discovered without Government investigative efforts (which might not take place until long after the contract is awarded, if at all.)</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Returning to the principal-agent model of public procurement, the elimination of the disclosure requirement results in less information available, reduced monitoring, and greater freedom for the agent to depart from the will of the principal.  Absent a whistleblower, the contractor’s warranty today is offered without substantiation, further degrading Covenant’s effectiveness.</w:t>
      </w:r>
      <w:r w:rsidR="00FC30C4" w:rsidRPr="00FC30C4">
        <w:rPr>
          <w:rFonts w:ascii="Times New Roman" w:hAnsi="Times New Roman" w:cs="Times New Roman"/>
          <w:sz w:val="24"/>
          <w:szCs w:val="24"/>
        </w:rPr>
        <w:t xml:space="preserve"> </w:t>
      </w:r>
      <w:r w:rsidR="00FC30C4">
        <w:rPr>
          <w:rFonts w:ascii="Times New Roman" w:hAnsi="Times New Roman" w:cs="Times New Roman"/>
          <w:sz w:val="24"/>
          <w:szCs w:val="24"/>
        </w:rPr>
        <w:t xml:space="preserve"> </w:t>
      </w:r>
      <w:r w:rsidR="00FC30C4">
        <w:rPr>
          <w:rFonts w:ascii="Times New Roman" w:hAnsi="Times New Roman" w:cs="Times New Roman"/>
          <w:sz w:val="24"/>
          <w:szCs w:val="24"/>
        </w:rPr>
        <w:t xml:space="preserve">Without monitoring, violations are unlikely to be identified, and any sanctions available will be rendered a nullity.  </w:t>
      </w:r>
    </w:p>
    <w:p w14:paraId="4B04EF1A" w14:textId="43C5856D" w:rsidR="00BD0D50" w:rsidRDefault="00BD0D50" w:rsidP="00BD0D50">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it relates to state and local governments, the removal of the disclosure requirement from the FAR only alters federal law.  Yet given the gravitational pull that federal procurement law has on the subnational systems, it is at best a corrosive influence on the willingness of governments to tackle influence peddling; at worst, it will serve as a model to follow.</w:t>
      </w:r>
    </w:p>
    <w:p w14:paraId="0B8B364C" w14:textId="421ABF08" w:rsidR="00BD0D50" w:rsidRPr="00BD0D50" w:rsidRDefault="00BD0D50" w:rsidP="00BD0D5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summary, the Covenant Against Contingent Fees has long been a misplaced tool to control the problems of undue influence in public procurement identified in </w:t>
      </w:r>
      <w:r>
        <w:rPr>
          <w:rFonts w:ascii="Times New Roman" w:hAnsi="Times New Roman" w:cs="Times New Roman"/>
          <w:i/>
          <w:iCs/>
          <w:sz w:val="24"/>
          <w:szCs w:val="24"/>
        </w:rPr>
        <w:t>Providence Tool</w:t>
      </w:r>
      <w:r>
        <w:rPr>
          <w:rFonts w:ascii="Times New Roman" w:hAnsi="Times New Roman" w:cs="Times New Roman"/>
          <w:sz w:val="24"/>
          <w:szCs w:val="24"/>
        </w:rPr>
        <w:t>.  Yet the regulatory reforms of 1996 have only introduced holes in what was already an imperfect fix.  As a result, reforming the Covenant will require more than turning the clock back to 1995; it will require acknowledging the concerns that so animated Justice Fields in 1865.</w:t>
      </w:r>
    </w:p>
    <w:p w14:paraId="07419680" w14:textId="28B649B8" w:rsidR="00772729" w:rsidRDefault="009B1A79" w:rsidP="00A3353B">
      <w:pPr>
        <w:pStyle w:val="Heading1"/>
      </w:pPr>
      <w:bookmarkStart w:id="16" w:name="_Toc153485966"/>
      <w:r>
        <w:t xml:space="preserve">RECAPTURING THE SPIRIT OF </w:t>
      </w:r>
      <w:r>
        <w:rPr>
          <w:i/>
          <w:iCs/>
        </w:rPr>
        <w:t>PROVIDENCE TOOL</w:t>
      </w:r>
      <w:bookmarkEnd w:id="16"/>
    </w:p>
    <w:p w14:paraId="176EA3E4" w14:textId="3C6064C4" w:rsidR="00E31BAC" w:rsidRDefault="008E5F58" w:rsidP="008E5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Covenant Against Contingent Fees </w:t>
      </w:r>
      <w:r w:rsidR="007A3CF0">
        <w:rPr>
          <w:rFonts w:ascii="Times New Roman" w:hAnsi="Times New Roman" w:cs="Times New Roman"/>
          <w:sz w:val="24"/>
          <w:szCs w:val="24"/>
        </w:rPr>
        <w:t xml:space="preserve">has long been an ill-suited tool for controlling influence peddling.  The singular focus on compensation structure can be easily circumvented by placing the influence peddler on regular payroll and offering lucrative bonuses for “good performance.”  Alternatively, the arrangement can be structured to fit neatly within a </w:t>
      </w:r>
      <w:r w:rsidR="007A3CF0">
        <w:rPr>
          <w:rFonts w:ascii="Times New Roman" w:hAnsi="Times New Roman" w:cs="Times New Roman"/>
          <w:i/>
          <w:iCs/>
          <w:sz w:val="24"/>
          <w:szCs w:val="24"/>
        </w:rPr>
        <w:t>bona fide</w:t>
      </w:r>
      <w:r w:rsidR="007A3CF0">
        <w:rPr>
          <w:rFonts w:ascii="Times New Roman" w:hAnsi="Times New Roman" w:cs="Times New Roman"/>
          <w:sz w:val="24"/>
          <w:szCs w:val="24"/>
        </w:rPr>
        <w:t xml:space="preserve"> agent exception.  Yet while these arrangements remain within the bounds of the Covenant, they </w:t>
      </w:r>
      <w:r w:rsidR="00C431D4">
        <w:rPr>
          <w:rFonts w:ascii="Times New Roman" w:hAnsi="Times New Roman" w:cs="Times New Roman"/>
          <w:sz w:val="24"/>
          <w:szCs w:val="24"/>
        </w:rPr>
        <w:t xml:space="preserve">nevertheless “tend to introduce personal solicitation, and personal influence, as elements in the procurement of contracts; and </w:t>
      </w:r>
      <w:proofErr w:type="gramStart"/>
      <w:r w:rsidR="00C431D4">
        <w:rPr>
          <w:rFonts w:ascii="Times New Roman" w:hAnsi="Times New Roman" w:cs="Times New Roman"/>
          <w:sz w:val="24"/>
          <w:szCs w:val="24"/>
        </w:rPr>
        <w:t>thus</w:t>
      </w:r>
      <w:proofErr w:type="gramEnd"/>
      <w:r w:rsidR="00C431D4">
        <w:rPr>
          <w:rFonts w:ascii="Times New Roman" w:hAnsi="Times New Roman" w:cs="Times New Roman"/>
          <w:sz w:val="24"/>
          <w:szCs w:val="24"/>
        </w:rPr>
        <w:t xml:space="preserve"> directly lead to inefficiency in the public service.”</w:t>
      </w:r>
      <w:r w:rsidR="00C431D4">
        <w:rPr>
          <w:rStyle w:val="FootnoteReference"/>
          <w:rFonts w:ascii="Times New Roman" w:hAnsi="Times New Roman" w:cs="Times New Roman"/>
          <w:sz w:val="24"/>
          <w:szCs w:val="24"/>
        </w:rPr>
        <w:footnoteReference w:id="58"/>
      </w:r>
    </w:p>
    <w:p w14:paraId="098D0713" w14:textId="73C4E4EA" w:rsidR="00C431D4" w:rsidRDefault="00C431D4" w:rsidP="008E5F58">
      <w:pPr>
        <w:spacing w:line="480" w:lineRule="auto"/>
        <w:ind w:firstLine="720"/>
        <w:rPr>
          <w:rFonts w:ascii="Times New Roman" w:hAnsi="Times New Roman" w:cs="Times New Roman"/>
          <w:sz w:val="24"/>
          <w:szCs w:val="24"/>
        </w:rPr>
      </w:pPr>
      <w:r>
        <w:rPr>
          <w:rFonts w:ascii="Times New Roman" w:hAnsi="Times New Roman" w:cs="Times New Roman"/>
          <w:i/>
          <w:iCs/>
          <w:sz w:val="24"/>
          <w:szCs w:val="24"/>
        </w:rPr>
        <w:t>Providence Tool</w:t>
      </w:r>
      <w:r>
        <w:rPr>
          <w:rFonts w:ascii="Times New Roman" w:hAnsi="Times New Roman" w:cs="Times New Roman"/>
          <w:sz w:val="24"/>
          <w:szCs w:val="24"/>
        </w:rPr>
        <w:t xml:space="preserve"> warned of the corrupting influence lobbying tends to have on government functions, and in so doing, refused to enforce a contingent fee contract.  Yet, “as lobbying evolved, [] courts tended to ignore pronouncements in the earlier cases rejecting as improper all forms of lobbying.”  “During the same time, a few state and lower federal courts were faced with lawsuits involving contingent fee lobbying…and tended to cite [</w:t>
      </w:r>
      <w:r w:rsidRPr="007F1F46">
        <w:rPr>
          <w:rFonts w:ascii="Times New Roman" w:hAnsi="Times New Roman" w:cs="Times New Roman"/>
          <w:i/>
          <w:iCs/>
          <w:sz w:val="24"/>
          <w:szCs w:val="24"/>
        </w:rPr>
        <w:t>Providence Tool</w:t>
      </w:r>
      <w:r>
        <w:rPr>
          <w:rFonts w:ascii="Times New Roman" w:hAnsi="Times New Roman" w:cs="Times New Roman"/>
          <w:sz w:val="24"/>
          <w:szCs w:val="24"/>
        </w:rPr>
        <w:t>] solely for the proposition that contingent fee lobbying was against public policy and hence forbidden.”</w:t>
      </w:r>
      <w:r>
        <w:rPr>
          <w:rStyle w:val="FootnoteReference"/>
          <w:rFonts w:ascii="Times New Roman" w:hAnsi="Times New Roman" w:cs="Times New Roman"/>
          <w:sz w:val="24"/>
          <w:szCs w:val="24"/>
        </w:rPr>
        <w:footnoteReference w:id="59"/>
      </w:r>
      <w:r w:rsidR="00FA603C">
        <w:rPr>
          <w:rFonts w:ascii="Times New Roman" w:hAnsi="Times New Roman" w:cs="Times New Roman"/>
          <w:sz w:val="24"/>
          <w:szCs w:val="24"/>
        </w:rPr>
        <w:t xml:space="preserve">  In other words, lobbyists undermined a prohibition against lobbying.</w:t>
      </w:r>
    </w:p>
    <w:p w14:paraId="08FEAD1E" w14:textId="62500C94" w:rsidR="007F1F46" w:rsidRDefault="007F1F46" w:rsidP="008E5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the American public’s perception of lobbyists may not differ significantly from Justice Fields’ opinion in </w:t>
      </w:r>
      <w:r>
        <w:rPr>
          <w:rFonts w:ascii="Times New Roman" w:hAnsi="Times New Roman" w:cs="Times New Roman"/>
          <w:i/>
          <w:iCs/>
          <w:sz w:val="24"/>
          <w:szCs w:val="24"/>
        </w:rPr>
        <w:t>Providence Tool</w:t>
      </w:r>
      <w:r>
        <w:rPr>
          <w:rFonts w:ascii="Times New Roman" w:hAnsi="Times New Roman" w:cs="Times New Roman"/>
          <w:sz w:val="24"/>
          <w:szCs w:val="24"/>
        </w:rPr>
        <w:t xml:space="preserve">, the lobby industry is here to stay.  Not only is it an Influential and well-funded industry, </w:t>
      </w:r>
      <w:r w:rsidR="00D86FF9">
        <w:rPr>
          <w:rFonts w:ascii="Times New Roman" w:hAnsi="Times New Roman" w:cs="Times New Roman"/>
          <w:sz w:val="24"/>
          <w:szCs w:val="24"/>
        </w:rPr>
        <w:t xml:space="preserve">but any outright prohibition </w:t>
      </w:r>
      <w:r>
        <w:rPr>
          <w:rFonts w:ascii="Times New Roman" w:hAnsi="Times New Roman" w:cs="Times New Roman"/>
          <w:sz w:val="24"/>
          <w:szCs w:val="24"/>
        </w:rPr>
        <w:t>would likely introduce First Amendment concerns,</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particularly in a post-</w:t>
      </w:r>
      <w:r>
        <w:rPr>
          <w:rFonts w:ascii="Times New Roman" w:hAnsi="Times New Roman" w:cs="Times New Roman"/>
          <w:i/>
          <w:iCs/>
          <w:sz w:val="24"/>
          <w:szCs w:val="24"/>
        </w:rPr>
        <w:t>Citizens United</w:t>
      </w:r>
      <w:r>
        <w:rPr>
          <w:rFonts w:ascii="Times New Roman" w:hAnsi="Times New Roman" w:cs="Times New Roman"/>
          <w:sz w:val="24"/>
          <w:szCs w:val="24"/>
        </w:rPr>
        <w:t xml:space="preserve"> era.</w:t>
      </w:r>
    </w:p>
    <w:p w14:paraId="69C20A47" w14:textId="47C71C74" w:rsidR="00D86FF9" w:rsidRDefault="00D86FF9" w:rsidP="008E5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Nevertheless, federal, state, and local governments as purchasers can take substantive steps to immunize themselves </w:t>
      </w:r>
      <w:r w:rsidR="00DA434B">
        <w:rPr>
          <w:rFonts w:ascii="Times New Roman" w:hAnsi="Times New Roman" w:cs="Times New Roman"/>
          <w:sz w:val="24"/>
          <w:szCs w:val="24"/>
        </w:rPr>
        <w:t>against</w:t>
      </w:r>
      <w:r>
        <w:rPr>
          <w:rFonts w:ascii="Times New Roman" w:hAnsi="Times New Roman" w:cs="Times New Roman"/>
          <w:sz w:val="24"/>
          <w:szCs w:val="24"/>
        </w:rPr>
        <w:t xml:space="preserve"> influence peddling.  To do so, contingent fee regulations should be rewritten to emphasize that warranting against undue influence is the primary objective to be achieved.  Contingency fees should be mentioned as an enabling risk, but the regulations should emphasize that improper influence can be introduced under any compensation scheme.</w:t>
      </w:r>
      <w:r w:rsidR="00BF52E5">
        <w:rPr>
          <w:rFonts w:ascii="Times New Roman" w:hAnsi="Times New Roman" w:cs="Times New Roman"/>
          <w:sz w:val="24"/>
          <w:szCs w:val="24"/>
        </w:rPr>
        <w:t xml:space="preserve">  Thus, the regulation will address the problem to be avoided directly, so that contracting officers and firms can ask themselves in moments of uncertainty a simple question: ‘is this procurement being awarded strictly on the merits of the offer, or something else?’</w:t>
      </w:r>
    </w:p>
    <w:p w14:paraId="7F98B5F6" w14:textId="0E16D7EF" w:rsidR="00E352BD" w:rsidRDefault="00D0059D" w:rsidP="00E352B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Disclosure must also be reintroduced to safeguard principal-agent alignment.  Rather than focus on contingency fees, a successful offeror should submit a standard form to the government listing all individuals, regular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or intermediaries, that interacted with the government before the award decision was made.  The disclosure should include whether these individuals are former government employees, </w:t>
      </w:r>
      <w:r w:rsidR="00DA434B">
        <w:rPr>
          <w:rFonts w:ascii="Times New Roman" w:hAnsi="Times New Roman" w:cs="Times New Roman"/>
          <w:sz w:val="24"/>
          <w:szCs w:val="24"/>
        </w:rPr>
        <w:t>the</w:t>
      </w:r>
      <w:r>
        <w:rPr>
          <w:rFonts w:ascii="Times New Roman" w:hAnsi="Times New Roman" w:cs="Times New Roman"/>
          <w:sz w:val="24"/>
          <w:szCs w:val="24"/>
        </w:rPr>
        <w:t xml:space="preserve"> agency </w:t>
      </w:r>
      <w:r w:rsidR="00DA434B">
        <w:rPr>
          <w:rFonts w:ascii="Times New Roman" w:hAnsi="Times New Roman" w:cs="Times New Roman"/>
          <w:sz w:val="24"/>
          <w:szCs w:val="24"/>
        </w:rPr>
        <w:t xml:space="preserve">they worked for, </w:t>
      </w:r>
      <w:r>
        <w:rPr>
          <w:rFonts w:ascii="Times New Roman" w:hAnsi="Times New Roman" w:cs="Times New Roman"/>
          <w:sz w:val="24"/>
          <w:szCs w:val="24"/>
        </w:rPr>
        <w:t xml:space="preserve">and </w:t>
      </w:r>
      <w:r w:rsidR="00DA434B">
        <w:rPr>
          <w:rFonts w:ascii="Times New Roman" w:hAnsi="Times New Roman" w:cs="Times New Roman"/>
          <w:sz w:val="24"/>
          <w:szCs w:val="24"/>
        </w:rPr>
        <w:t xml:space="preserve">what </w:t>
      </w:r>
      <w:r>
        <w:rPr>
          <w:rFonts w:ascii="Times New Roman" w:hAnsi="Times New Roman" w:cs="Times New Roman"/>
          <w:sz w:val="24"/>
          <w:szCs w:val="24"/>
        </w:rPr>
        <w:t>function they performed.  The contracting officer</w:t>
      </w:r>
      <w:r w:rsidR="00E352BD">
        <w:rPr>
          <w:rFonts w:ascii="Times New Roman" w:hAnsi="Times New Roman" w:cs="Times New Roman"/>
          <w:sz w:val="24"/>
          <w:szCs w:val="24"/>
        </w:rPr>
        <w:t xml:space="preserve"> would then review the form and certify the</w:t>
      </w:r>
      <w:r w:rsidR="00DA434B">
        <w:rPr>
          <w:rFonts w:ascii="Times New Roman" w:hAnsi="Times New Roman" w:cs="Times New Roman"/>
          <w:sz w:val="24"/>
          <w:szCs w:val="24"/>
        </w:rPr>
        <w:t xml:space="preserve"> absence of any conflict of interest in making the award</w:t>
      </w:r>
      <w:r w:rsidR="00E352BD">
        <w:rPr>
          <w:rFonts w:ascii="Times New Roman" w:hAnsi="Times New Roman" w:cs="Times New Roman"/>
          <w:sz w:val="24"/>
          <w:szCs w:val="24"/>
        </w:rPr>
        <w:t xml:space="preserve">.  </w:t>
      </w:r>
    </w:p>
    <w:p w14:paraId="69BD9C47" w14:textId="329C3879" w:rsidR="00E352BD" w:rsidRPr="007F1F46" w:rsidRDefault="00E352BD" w:rsidP="00E352B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the disclosure, with names redacted, should be publicly released with the notice of award, providing an essential monitoring function on the contracting officer.  In so doing, the public can decide what level of influence they are comfortable with in the procurement process.  Disclosures would surely indicate </w:t>
      </w:r>
      <w:r w:rsidR="00DA434B">
        <w:rPr>
          <w:rFonts w:ascii="Times New Roman" w:hAnsi="Times New Roman" w:cs="Times New Roman"/>
          <w:sz w:val="24"/>
          <w:szCs w:val="24"/>
        </w:rPr>
        <w:t>a</w:t>
      </w:r>
      <w:r>
        <w:rPr>
          <w:rFonts w:ascii="Times New Roman" w:hAnsi="Times New Roman" w:cs="Times New Roman"/>
          <w:sz w:val="24"/>
          <w:szCs w:val="24"/>
        </w:rPr>
        <w:t xml:space="preserve"> significant number of former government employees hired by contractors.  Perhaps this arrangement </w:t>
      </w:r>
      <w:r w:rsidR="00DA434B">
        <w:rPr>
          <w:rFonts w:ascii="Times New Roman" w:hAnsi="Times New Roman" w:cs="Times New Roman"/>
          <w:sz w:val="24"/>
          <w:szCs w:val="24"/>
        </w:rPr>
        <w:t xml:space="preserve">is innocuous and </w:t>
      </w:r>
      <w:r>
        <w:rPr>
          <w:rFonts w:ascii="Times New Roman" w:hAnsi="Times New Roman" w:cs="Times New Roman"/>
          <w:sz w:val="24"/>
          <w:szCs w:val="24"/>
        </w:rPr>
        <w:t xml:space="preserve">makes good </w:t>
      </w:r>
      <w:r w:rsidR="00DA434B">
        <w:rPr>
          <w:rFonts w:ascii="Times New Roman" w:hAnsi="Times New Roman" w:cs="Times New Roman"/>
          <w:sz w:val="24"/>
          <w:szCs w:val="24"/>
        </w:rPr>
        <w:t xml:space="preserve">business </w:t>
      </w:r>
      <w:r>
        <w:rPr>
          <w:rFonts w:ascii="Times New Roman" w:hAnsi="Times New Roman" w:cs="Times New Roman"/>
          <w:sz w:val="24"/>
          <w:szCs w:val="24"/>
        </w:rPr>
        <w:t xml:space="preserve">sense </w:t>
      </w:r>
      <w:r w:rsidR="00DA434B">
        <w:rPr>
          <w:rFonts w:ascii="Times New Roman" w:hAnsi="Times New Roman" w:cs="Times New Roman"/>
          <w:sz w:val="24"/>
          <w:szCs w:val="24"/>
        </w:rPr>
        <w:t>for government and firms alike</w:t>
      </w:r>
      <w:r>
        <w:rPr>
          <w:rFonts w:ascii="Times New Roman" w:hAnsi="Times New Roman" w:cs="Times New Roman"/>
          <w:sz w:val="24"/>
          <w:szCs w:val="24"/>
        </w:rPr>
        <w:t xml:space="preserve">.  Nevertheless, under the current regulatory framework there is a vast asymmetry of information between the taxpayers (the principal) and those involved </w:t>
      </w:r>
      <w:r w:rsidR="00DA434B">
        <w:rPr>
          <w:rFonts w:ascii="Times New Roman" w:hAnsi="Times New Roman" w:cs="Times New Roman"/>
          <w:sz w:val="24"/>
          <w:szCs w:val="24"/>
        </w:rPr>
        <w:t>in the</w:t>
      </w:r>
      <w:r>
        <w:rPr>
          <w:rFonts w:ascii="Times New Roman" w:hAnsi="Times New Roman" w:cs="Times New Roman"/>
          <w:sz w:val="24"/>
          <w:szCs w:val="24"/>
        </w:rPr>
        <w:t xml:space="preserve"> procurement</w:t>
      </w:r>
      <w:r w:rsidR="00DA434B">
        <w:rPr>
          <w:rFonts w:ascii="Times New Roman" w:hAnsi="Times New Roman" w:cs="Times New Roman"/>
          <w:sz w:val="24"/>
          <w:szCs w:val="24"/>
        </w:rPr>
        <w:t xml:space="preserve"> process</w:t>
      </w:r>
      <w:r>
        <w:rPr>
          <w:rFonts w:ascii="Times New Roman" w:hAnsi="Times New Roman" w:cs="Times New Roman"/>
          <w:sz w:val="24"/>
          <w:szCs w:val="24"/>
        </w:rPr>
        <w:t>.</w:t>
      </w:r>
      <w:r w:rsidR="00DA434B">
        <w:rPr>
          <w:rFonts w:ascii="Times New Roman" w:hAnsi="Times New Roman" w:cs="Times New Roman"/>
          <w:sz w:val="24"/>
          <w:szCs w:val="24"/>
        </w:rPr>
        <w:t xml:space="preserve">  Safeguarding public trust in public procurement requires closing the information gap.</w:t>
      </w:r>
    </w:p>
    <w:p w14:paraId="43E2564D" w14:textId="72B481B4" w:rsidR="00FE47C5" w:rsidRDefault="00FE47C5" w:rsidP="00A3353B">
      <w:pPr>
        <w:pStyle w:val="Heading1"/>
      </w:pPr>
      <w:bookmarkStart w:id="17" w:name="_Toc153485967"/>
      <w:r>
        <w:t>CONCLUSION</w:t>
      </w:r>
      <w:bookmarkEnd w:id="17"/>
    </w:p>
    <w:p w14:paraId="66D1603F" w14:textId="28B3272F" w:rsidR="00DA434B" w:rsidRPr="000E3210" w:rsidRDefault="00DA434B" w:rsidP="000E321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Covenant Against Contingent Fees</w:t>
      </w:r>
      <w:r w:rsidR="003C389E">
        <w:rPr>
          <w:rFonts w:ascii="Times New Roman" w:hAnsi="Times New Roman" w:cs="Times New Roman"/>
          <w:sz w:val="24"/>
          <w:szCs w:val="24"/>
        </w:rPr>
        <w:t>,</w:t>
      </w:r>
      <w:r w:rsidR="000E3210">
        <w:rPr>
          <w:rFonts w:ascii="Times New Roman" w:hAnsi="Times New Roman" w:cs="Times New Roman"/>
          <w:sz w:val="24"/>
          <w:szCs w:val="24"/>
        </w:rPr>
        <w:t xml:space="preserve"> and its state and local equivalents</w:t>
      </w:r>
      <w:r w:rsidR="003C389E">
        <w:rPr>
          <w:rFonts w:ascii="Times New Roman" w:hAnsi="Times New Roman" w:cs="Times New Roman"/>
          <w:sz w:val="24"/>
          <w:szCs w:val="24"/>
        </w:rPr>
        <w:t>,</w:t>
      </w:r>
      <w:r w:rsidR="000E3210">
        <w:rPr>
          <w:rFonts w:ascii="Times New Roman" w:hAnsi="Times New Roman" w:cs="Times New Roman"/>
          <w:sz w:val="24"/>
          <w:szCs w:val="24"/>
        </w:rPr>
        <w:t xml:space="preserve"> have evolved from a recognition that influence peddling threatens the quality of public procurements, wastes taxpayer money, and betrays the public trust.  Though the concerns expressed in </w:t>
      </w:r>
      <w:r w:rsidR="000E3210">
        <w:rPr>
          <w:rFonts w:ascii="Times New Roman" w:hAnsi="Times New Roman" w:cs="Times New Roman"/>
          <w:i/>
          <w:iCs/>
          <w:sz w:val="24"/>
          <w:szCs w:val="24"/>
        </w:rPr>
        <w:t>Providence Tool</w:t>
      </w:r>
      <w:r w:rsidR="000E3210">
        <w:rPr>
          <w:rFonts w:ascii="Times New Roman" w:hAnsi="Times New Roman" w:cs="Times New Roman"/>
          <w:sz w:val="24"/>
          <w:szCs w:val="24"/>
        </w:rPr>
        <w:t xml:space="preserve"> over one-hundred-fifty years ago survive in the current regulatory structure, history has dulled its potency.  What remains is an ineffective check on </w:t>
      </w:r>
      <w:r w:rsidR="003C389E">
        <w:rPr>
          <w:rFonts w:ascii="Times New Roman" w:hAnsi="Times New Roman" w:cs="Times New Roman"/>
          <w:sz w:val="24"/>
          <w:szCs w:val="24"/>
        </w:rPr>
        <w:t xml:space="preserve">influence peddling.  Yet by returning to its founding principles, the Covenant can be reformed into a tool which directly addresses the ‘evils’ that concerned </w:t>
      </w:r>
      <w:proofErr w:type="gramStart"/>
      <w:r w:rsidR="003C389E">
        <w:rPr>
          <w:rFonts w:ascii="Times New Roman" w:hAnsi="Times New Roman" w:cs="Times New Roman"/>
          <w:sz w:val="24"/>
          <w:szCs w:val="24"/>
        </w:rPr>
        <w:t>Justice Fields, and</w:t>
      </w:r>
      <w:proofErr w:type="gramEnd"/>
      <w:r w:rsidR="003C389E">
        <w:rPr>
          <w:rFonts w:ascii="Times New Roman" w:hAnsi="Times New Roman" w:cs="Times New Roman"/>
          <w:sz w:val="24"/>
          <w:szCs w:val="24"/>
        </w:rPr>
        <w:t xml:space="preserve"> is compatible with the political realities of the world we live in today.</w:t>
      </w:r>
    </w:p>
    <w:sectPr w:rsidR="00DA434B" w:rsidRPr="000E3210" w:rsidSect="00516523">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5A13" w14:textId="77777777" w:rsidR="00EF6657" w:rsidRDefault="00EF6657" w:rsidP="00942A69">
      <w:pPr>
        <w:spacing w:after="0" w:line="240" w:lineRule="auto"/>
      </w:pPr>
      <w:r>
        <w:separator/>
      </w:r>
    </w:p>
  </w:endnote>
  <w:endnote w:type="continuationSeparator" w:id="0">
    <w:p w14:paraId="616F12CC" w14:textId="77777777" w:rsidR="00EF6657" w:rsidRDefault="00EF6657" w:rsidP="00942A69">
      <w:pPr>
        <w:spacing w:after="0" w:line="240" w:lineRule="auto"/>
      </w:pPr>
      <w:r>
        <w:continuationSeparator/>
      </w:r>
    </w:p>
  </w:endnote>
  <w:endnote w:type="continuationNotice" w:id="1">
    <w:p w14:paraId="5AF375F7" w14:textId="77777777" w:rsidR="00EF6657" w:rsidRDefault="00EF6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88968"/>
      <w:docPartObj>
        <w:docPartGallery w:val="Page Numbers (Bottom of Page)"/>
        <w:docPartUnique/>
      </w:docPartObj>
    </w:sdtPr>
    <w:sdtEndPr>
      <w:rPr>
        <w:noProof/>
      </w:rPr>
    </w:sdtEndPr>
    <w:sdtContent>
      <w:p w14:paraId="00BC4290" w14:textId="2B101240" w:rsidR="00F77F05" w:rsidRDefault="00F77F05">
        <w:pPr>
          <w:pStyle w:val="Footer"/>
          <w:jc w:val="center"/>
        </w:pPr>
        <w:r w:rsidRPr="000A70A0">
          <w:rPr>
            <w:rFonts w:ascii="Times New Roman" w:hAnsi="Times New Roman" w:cs="Times New Roman"/>
            <w:sz w:val="24"/>
            <w:szCs w:val="24"/>
          </w:rPr>
          <w:fldChar w:fldCharType="begin"/>
        </w:r>
        <w:r w:rsidRPr="000A70A0">
          <w:rPr>
            <w:rFonts w:ascii="Times New Roman" w:hAnsi="Times New Roman" w:cs="Times New Roman"/>
            <w:sz w:val="24"/>
            <w:szCs w:val="24"/>
          </w:rPr>
          <w:instrText xml:space="preserve"> PAGE   \* MERGEFORMAT </w:instrText>
        </w:r>
        <w:r w:rsidRPr="000A70A0">
          <w:rPr>
            <w:rFonts w:ascii="Times New Roman" w:hAnsi="Times New Roman" w:cs="Times New Roman"/>
            <w:sz w:val="24"/>
            <w:szCs w:val="24"/>
          </w:rPr>
          <w:fldChar w:fldCharType="separate"/>
        </w:r>
        <w:r w:rsidRPr="000A70A0">
          <w:rPr>
            <w:rFonts w:ascii="Times New Roman" w:hAnsi="Times New Roman" w:cs="Times New Roman"/>
            <w:noProof/>
            <w:sz w:val="24"/>
            <w:szCs w:val="24"/>
          </w:rPr>
          <w:t>2</w:t>
        </w:r>
        <w:r w:rsidRPr="000A70A0">
          <w:rPr>
            <w:rFonts w:ascii="Times New Roman" w:hAnsi="Times New Roman" w:cs="Times New Roman"/>
            <w:noProof/>
            <w:sz w:val="24"/>
            <w:szCs w:val="24"/>
          </w:rPr>
          <w:fldChar w:fldCharType="end"/>
        </w:r>
      </w:p>
    </w:sdtContent>
  </w:sdt>
  <w:p w14:paraId="542E8EFD" w14:textId="77777777" w:rsidR="00F77F05" w:rsidRDefault="00F7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EA5D" w14:textId="77777777" w:rsidR="00EF6657" w:rsidRDefault="00EF6657" w:rsidP="00942A69">
      <w:pPr>
        <w:spacing w:after="0" w:line="240" w:lineRule="auto"/>
      </w:pPr>
      <w:r>
        <w:separator/>
      </w:r>
    </w:p>
  </w:footnote>
  <w:footnote w:type="continuationSeparator" w:id="0">
    <w:p w14:paraId="33605724" w14:textId="77777777" w:rsidR="00EF6657" w:rsidRDefault="00EF6657" w:rsidP="00942A69">
      <w:pPr>
        <w:spacing w:after="0" w:line="240" w:lineRule="auto"/>
      </w:pPr>
      <w:r>
        <w:continuationSeparator/>
      </w:r>
    </w:p>
  </w:footnote>
  <w:footnote w:type="continuationNotice" w:id="1">
    <w:p w14:paraId="070BF0BA" w14:textId="77777777" w:rsidR="00EF6657" w:rsidRDefault="00EF6657">
      <w:pPr>
        <w:spacing w:after="0" w:line="240" w:lineRule="auto"/>
      </w:pPr>
    </w:p>
  </w:footnote>
  <w:footnote w:id="2">
    <w:p w14:paraId="545826D9" w14:textId="0ADDBA58" w:rsidR="00791CED" w:rsidRPr="00516523" w:rsidRDefault="0056265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Gallagher Introduces DADDY Act to Ban Hunter Biden-Like Influence Peddling</w:t>
      </w:r>
      <w:r w:rsidRPr="00516523">
        <w:rPr>
          <w:rFonts w:ascii="Times New Roman" w:hAnsi="Times New Roman" w:cs="Times New Roman"/>
        </w:rPr>
        <w:t>, Office of Congressman Mike Gallagher (</w:t>
      </w:r>
      <w:r w:rsidR="00791CED" w:rsidRPr="00516523">
        <w:rPr>
          <w:rFonts w:ascii="Times New Roman" w:hAnsi="Times New Roman" w:cs="Times New Roman"/>
        </w:rPr>
        <w:t>Sep. 29, 2023) https://gallagher.house.gov/media/press-releases/gallagher-introduces-daddy-act-ban-hunter-biden-influence-peddling.</w:t>
      </w:r>
    </w:p>
  </w:footnote>
  <w:footnote w:id="3">
    <w:p w14:paraId="5524F96C" w14:textId="3C3B627A" w:rsidR="006A49CD" w:rsidRPr="00516523" w:rsidRDefault="006A49C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Deterring Attempts at Dirty Deals by Youngsters Act of 2023, H.R. 5835, 118th Cong. (2023).</w:t>
      </w:r>
    </w:p>
  </w:footnote>
  <w:footnote w:id="4">
    <w:p w14:paraId="35D1A66B" w14:textId="291A5252" w:rsidR="00B910B9" w:rsidRPr="00516523" w:rsidRDefault="00B910B9">
      <w:pPr>
        <w:pStyle w:val="FootnoteText"/>
        <w:rPr>
          <w:rFonts w:ascii="Times New Roman" w:hAnsi="Times New Roman" w:cs="Times New Roman"/>
          <w:b/>
          <w:bCs/>
        </w:rPr>
      </w:pPr>
      <w:r w:rsidRPr="00516523">
        <w:rPr>
          <w:rStyle w:val="FootnoteReference"/>
          <w:rFonts w:ascii="Times New Roman" w:hAnsi="Times New Roman" w:cs="Times New Roman"/>
        </w:rPr>
        <w:footnoteRef/>
      </w:r>
      <w:r w:rsidRPr="00516523">
        <w:rPr>
          <w:rFonts w:ascii="Times New Roman" w:hAnsi="Times New Roman" w:cs="Times New Roman"/>
        </w:rPr>
        <w:t xml:space="preserve"> Tom Winter et al., </w:t>
      </w:r>
      <w:r w:rsidRPr="00516523">
        <w:rPr>
          <w:rFonts w:ascii="Times New Roman" w:hAnsi="Times New Roman" w:cs="Times New Roman"/>
          <w:i/>
          <w:iCs/>
        </w:rPr>
        <w:t>Analysis of Hunter Biden’s hard drive shows he, his firm took in about $11 million from 2013 to 2018, spent it fast</w:t>
      </w:r>
      <w:r w:rsidRPr="00516523">
        <w:rPr>
          <w:rFonts w:ascii="Times New Roman" w:hAnsi="Times New Roman" w:cs="Times New Roman"/>
        </w:rPr>
        <w:t xml:space="preserve">, NBC News (May 19, </w:t>
      </w:r>
      <w:proofErr w:type="gramStart"/>
      <w:r w:rsidRPr="00516523">
        <w:rPr>
          <w:rFonts w:ascii="Times New Roman" w:hAnsi="Times New Roman" w:cs="Times New Roman"/>
        </w:rPr>
        <w:t>2022</w:t>
      </w:r>
      <w:proofErr w:type="gramEnd"/>
      <w:r w:rsidRPr="00516523">
        <w:rPr>
          <w:rFonts w:ascii="Times New Roman" w:hAnsi="Times New Roman" w:cs="Times New Roman"/>
        </w:rPr>
        <w:t xml:space="preserve"> 11:29am) https://www.nbcnews.com/politics/national-security/analysis-hunter-bidens-hard-drive-shows-firm-took-11-million-2013-2018-rcna29462.  As an aside, Hunter Biden’s business dealings after his father left the Vice Presidency and before the 2020 inauguration would not violate the DADDY Act, as it does not seek to curtail employment b</w:t>
      </w:r>
      <w:r w:rsidR="00D7736E" w:rsidRPr="00516523">
        <w:rPr>
          <w:rFonts w:ascii="Times New Roman" w:hAnsi="Times New Roman" w:cs="Times New Roman"/>
        </w:rPr>
        <w:t>y the family members of former covered persons.</w:t>
      </w:r>
    </w:p>
  </w:footnote>
  <w:footnote w:id="5">
    <w:p w14:paraId="619DE6BE" w14:textId="3C2ADB29" w:rsidR="007F51F7" w:rsidRPr="00516523" w:rsidRDefault="007F51F7">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Joe Walsh, </w:t>
      </w:r>
      <w:r w:rsidRPr="00516523">
        <w:rPr>
          <w:rFonts w:ascii="Times New Roman" w:hAnsi="Times New Roman" w:cs="Times New Roman"/>
          <w:i/>
          <w:iCs/>
        </w:rPr>
        <w:t>Report: U.S. Government Paid Over $2.5 Million To Trump’s Businesses</w:t>
      </w:r>
      <w:r w:rsidRPr="00516523">
        <w:rPr>
          <w:rFonts w:ascii="Times New Roman" w:hAnsi="Times New Roman" w:cs="Times New Roman"/>
        </w:rPr>
        <w:t xml:space="preserve">, Forbes (Oct 27, 2020 3:28pm), https://www.forbes.com/sites/joewalsh/2020/10/27/report-us-government-paid-over-25-million-to-trumps-businesses/; Jesse Drucker et al., </w:t>
      </w:r>
      <w:r w:rsidRPr="00516523">
        <w:rPr>
          <w:rFonts w:ascii="Times New Roman" w:hAnsi="Times New Roman" w:cs="Times New Roman"/>
          <w:i/>
          <w:iCs/>
        </w:rPr>
        <w:t>Kushner’s Family Business Received Loans After White House Meetings</w:t>
      </w:r>
      <w:r w:rsidRPr="00516523">
        <w:rPr>
          <w:rFonts w:ascii="Times New Roman" w:hAnsi="Times New Roman" w:cs="Times New Roman"/>
        </w:rPr>
        <w:t xml:space="preserve">, N.Y. Times (Feb. 28, 2018), https://www.nytimes.com/2018/02/28/business/jared-kushner-apollo-citigroup-loans.html; Nicholas Fandos, </w:t>
      </w:r>
      <w:r w:rsidRPr="00516523">
        <w:rPr>
          <w:rFonts w:ascii="Times New Roman" w:hAnsi="Times New Roman" w:cs="Times New Roman"/>
          <w:i/>
          <w:iCs/>
        </w:rPr>
        <w:t>Aiming at Trump, Democrats Lay Out Agenda for a Post-Shutdown Congress</w:t>
      </w:r>
      <w:r w:rsidRPr="00516523">
        <w:rPr>
          <w:rFonts w:ascii="Times New Roman" w:hAnsi="Times New Roman" w:cs="Times New Roman"/>
        </w:rPr>
        <w:t xml:space="preserve">, N.Y. Times (Jan. 4, 2019), https://www.nytimes.com/2019/01/04/us/politics/house-democrats-ethics-voting-rights.html; Barbara Sprunt, </w:t>
      </w:r>
      <w:r w:rsidRPr="00516523">
        <w:rPr>
          <w:rFonts w:ascii="Times New Roman" w:hAnsi="Times New Roman" w:cs="Times New Roman"/>
          <w:i/>
          <w:iCs/>
        </w:rPr>
        <w:t>Senate Republicans Block Democrats’ Sweeping Voting Rights Legislation</w:t>
      </w:r>
      <w:r w:rsidRPr="00516523">
        <w:rPr>
          <w:rFonts w:ascii="Times New Roman" w:hAnsi="Times New Roman" w:cs="Times New Roman"/>
        </w:rPr>
        <w:t>, NPR (Jun. 22, 2021 8:22pm), https://www.npr.org/2021/06/22/1008737806/democrats-sweeping-voting-rights-legislation-is-headed-for-failure-in-the-senate.</w:t>
      </w:r>
    </w:p>
  </w:footnote>
  <w:footnote w:id="6">
    <w:p w14:paraId="7A48D009" w14:textId="74F85E0E" w:rsidR="00B038D8" w:rsidRPr="00516523" w:rsidRDefault="00B038D8">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Taylor Orth, </w:t>
      </w:r>
      <w:r w:rsidRPr="00516523">
        <w:rPr>
          <w:rFonts w:ascii="Times New Roman" w:hAnsi="Times New Roman" w:cs="Times New Roman"/>
          <w:i/>
          <w:iCs/>
        </w:rPr>
        <w:t>Most Americans think presidents’ children – including Hunter Biden – often profit off their parents</w:t>
      </w:r>
      <w:r w:rsidRPr="00516523">
        <w:rPr>
          <w:rFonts w:ascii="Times New Roman" w:hAnsi="Times New Roman" w:cs="Times New Roman"/>
        </w:rPr>
        <w:t>, YouGov (Aug. 23, 2023), https://today.yougov.com/politics/articles/46013-most-americans-think-presidents-children-profit?redirect_from=%2Ftopics%2Fpolitics%2Farticles-reports%2F2023%2F08%2F23%2Fmost-americans-think-presidents-children-profit.</w:t>
      </w:r>
    </w:p>
  </w:footnote>
  <w:footnote w:id="7">
    <w:p w14:paraId="57FBC363" w14:textId="09B9E58A" w:rsidR="00627024" w:rsidRPr="00516523" w:rsidRDefault="00627024">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Transparency and Integrity in Lobbying</w:t>
      </w:r>
      <w:r w:rsidRPr="00516523">
        <w:rPr>
          <w:rFonts w:ascii="Times New Roman" w:hAnsi="Times New Roman" w:cs="Times New Roman"/>
        </w:rPr>
        <w:t xml:space="preserve">, OECD at 1 (2013) </w:t>
      </w:r>
      <w:r w:rsidR="00B610C4" w:rsidRPr="00516523">
        <w:rPr>
          <w:rFonts w:ascii="Times New Roman" w:hAnsi="Times New Roman" w:cs="Times New Roman"/>
        </w:rPr>
        <w:t>https://www.oecd.org/corruption/ethics/Lobbying-Brochure.pdf</w:t>
      </w:r>
      <w:r w:rsidR="00F94502" w:rsidRPr="00516523">
        <w:rPr>
          <w:rFonts w:ascii="Times New Roman" w:hAnsi="Times New Roman" w:cs="Times New Roman"/>
        </w:rPr>
        <w:t>.</w:t>
      </w:r>
      <w:r w:rsidR="00B610C4" w:rsidRPr="00516523">
        <w:rPr>
          <w:rFonts w:ascii="Times New Roman" w:hAnsi="Times New Roman" w:cs="Times New Roman"/>
        </w:rPr>
        <w:t xml:space="preserve">  </w:t>
      </w:r>
      <w:r w:rsidR="00834B1F" w:rsidRPr="00516523">
        <w:rPr>
          <w:rFonts w:ascii="Times New Roman" w:hAnsi="Times New Roman" w:cs="Times New Roman"/>
        </w:rPr>
        <w:t xml:space="preserve">Research into the role of influence peddling invariably </w:t>
      </w:r>
      <w:r w:rsidR="003B6AD6" w:rsidRPr="00516523">
        <w:rPr>
          <w:rFonts w:ascii="Times New Roman" w:hAnsi="Times New Roman" w:cs="Times New Roman"/>
        </w:rPr>
        <w:t>leads to the subject of lobbying</w:t>
      </w:r>
      <w:r w:rsidR="00960D29" w:rsidRPr="00516523">
        <w:rPr>
          <w:rFonts w:ascii="Times New Roman" w:hAnsi="Times New Roman" w:cs="Times New Roman"/>
        </w:rPr>
        <w:t>.  Lobbyin</w:t>
      </w:r>
      <w:r w:rsidR="004050F8" w:rsidRPr="00516523">
        <w:rPr>
          <w:rFonts w:ascii="Times New Roman" w:hAnsi="Times New Roman" w:cs="Times New Roman"/>
        </w:rPr>
        <w:t xml:space="preserve">g generally seeks to influence, properly or improperly, official government action.  This can take the form of law or rule makings, or </w:t>
      </w:r>
      <w:r w:rsidR="0008643A" w:rsidRPr="00516523">
        <w:rPr>
          <w:rFonts w:ascii="Times New Roman" w:hAnsi="Times New Roman" w:cs="Times New Roman"/>
        </w:rPr>
        <w:t xml:space="preserve">public procurement, which is the subject of this paper.  Ethics rules, court analyses, and regulations that govern lobbying </w:t>
      </w:r>
      <w:r w:rsidR="005451A7" w:rsidRPr="00516523">
        <w:rPr>
          <w:rFonts w:ascii="Times New Roman" w:hAnsi="Times New Roman" w:cs="Times New Roman"/>
        </w:rPr>
        <w:t>often make little distinction between lobbying for procurement or legislation, and this paper will at times draw on analysis that</w:t>
      </w:r>
      <w:r w:rsidR="00782CAD" w:rsidRPr="00516523">
        <w:rPr>
          <w:rFonts w:ascii="Times New Roman" w:hAnsi="Times New Roman" w:cs="Times New Roman"/>
        </w:rPr>
        <w:t xml:space="preserve"> relates to lobbying outside the procurement context.  </w:t>
      </w:r>
      <w:r w:rsidR="009B083F" w:rsidRPr="00516523">
        <w:rPr>
          <w:rFonts w:ascii="Times New Roman" w:hAnsi="Times New Roman" w:cs="Times New Roman"/>
        </w:rPr>
        <w:t>The author attempted to do so only when the analysis is equally applicable</w:t>
      </w:r>
      <w:r w:rsidR="0058148B" w:rsidRPr="00516523">
        <w:rPr>
          <w:rFonts w:ascii="Times New Roman" w:hAnsi="Times New Roman" w:cs="Times New Roman"/>
        </w:rPr>
        <w:t xml:space="preserve"> to either context, as legislative lawmaking is outside the </w:t>
      </w:r>
      <w:r w:rsidR="00CD343F" w:rsidRPr="00516523">
        <w:rPr>
          <w:rFonts w:ascii="Times New Roman" w:hAnsi="Times New Roman" w:cs="Times New Roman"/>
        </w:rPr>
        <w:t>scope of this paper.  Inde</w:t>
      </w:r>
      <w:r w:rsidR="008563CD" w:rsidRPr="00516523">
        <w:rPr>
          <w:rFonts w:ascii="Times New Roman" w:hAnsi="Times New Roman" w:cs="Times New Roman"/>
        </w:rPr>
        <w:t xml:space="preserve">ed, the review of caselaw in subsection (c) </w:t>
      </w:r>
      <w:r w:rsidR="00CF345A" w:rsidRPr="00516523">
        <w:rPr>
          <w:rFonts w:ascii="Times New Roman" w:hAnsi="Times New Roman" w:cs="Times New Roman"/>
        </w:rPr>
        <w:t xml:space="preserve">will demonstrate how courts find the principles and </w:t>
      </w:r>
      <w:r w:rsidR="006D1E67" w:rsidRPr="00516523">
        <w:rPr>
          <w:rFonts w:ascii="Times New Roman" w:hAnsi="Times New Roman" w:cs="Times New Roman"/>
        </w:rPr>
        <w:t>concerns to be equally applicable to lawmaking and public procurement.</w:t>
      </w:r>
    </w:p>
  </w:footnote>
  <w:footnote w:id="8">
    <w:p w14:paraId="49ED5EB1" w14:textId="09C1A010" w:rsidR="00DA0FDD" w:rsidRPr="00516523" w:rsidRDefault="00DA0FD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A Snapshot of Government-Wide Contracting for FY 2020 (infographic)</w:t>
      </w:r>
      <w:r w:rsidRPr="00516523">
        <w:rPr>
          <w:rFonts w:ascii="Times New Roman" w:hAnsi="Times New Roman" w:cs="Times New Roman"/>
        </w:rPr>
        <w:t>, GAO (Jun. 22, 2021)</w:t>
      </w:r>
      <w:r w:rsidR="00703291" w:rsidRPr="00516523">
        <w:rPr>
          <w:rFonts w:ascii="Times New Roman" w:hAnsi="Times New Roman" w:cs="Times New Roman"/>
        </w:rPr>
        <w:t>,</w:t>
      </w:r>
      <w:r w:rsidRPr="00516523">
        <w:rPr>
          <w:rFonts w:ascii="Times New Roman" w:hAnsi="Times New Roman" w:cs="Times New Roman"/>
        </w:rPr>
        <w:t xml:space="preserve"> </w:t>
      </w:r>
      <w:r w:rsidR="00703291" w:rsidRPr="00516523">
        <w:rPr>
          <w:rFonts w:ascii="Times New Roman" w:hAnsi="Times New Roman" w:cs="Times New Roman"/>
        </w:rPr>
        <w:t>https://www.gao.gov/blog/snapshot-government-wide-contracting-fy-2020-infographic</w:t>
      </w:r>
      <w:r w:rsidR="00703291" w:rsidRPr="00516523">
        <w:rPr>
          <w:rFonts w:ascii="Times New Roman" w:hAnsi="Times New Roman" w:cs="Times New Roman"/>
        </w:rPr>
        <w:t xml:space="preserve">; </w:t>
      </w:r>
      <w:r w:rsidR="00703291" w:rsidRPr="00516523">
        <w:rPr>
          <w:rFonts w:ascii="Times New Roman" w:hAnsi="Times New Roman" w:cs="Times New Roman"/>
          <w:i/>
          <w:iCs/>
        </w:rPr>
        <w:t>State and Local Expenditures</w:t>
      </w:r>
      <w:r w:rsidR="00703291" w:rsidRPr="00516523">
        <w:rPr>
          <w:rFonts w:ascii="Times New Roman" w:hAnsi="Times New Roman" w:cs="Times New Roman"/>
        </w:rPr>
        <w:t xml:space="preserve">, </w:t>
      </w:r>
      <w:r w:rsidR="00703291" w:rsidRPr="00516523">
        <w:rPr>
          <w:rFonts w:ascii="Times New Roman" w:hAnsi="Times New Roman" w:cs="Times New Roman"/>
          <w:smallCaps/>
        </w:rPr>
        <w:t>Urban Inst</w:t>
      </w:r>
      <w:r w:rsidR="00703291" w:rsidRPr="00516523">
        <w:rPr>
          <w:rFonts w:ascii="Times New Roman" w:hAnsi="Times New Roman" w:cs="Times New Roman"/>
        </w:rPr>
        <w:t>.</w:t>
      </w:r>
      <w:r w:rsidR="00041966" w:rsidRPr="00516523">
        <w:rPr>
          <w:rFonts w:ascii="Times New Roman" w:hAnsi="Times New Roman" w:cs="Times New Roman"/>
        </w:rPr>
        <w:t xml:space="preserve">, </w:t>
      </w:r>
      <w:r w:rsidR="00041966" w:rsidRPr="00516523">
        <w:rPr>
          <w:rFonts w:ascii="Times New Roman" w:hAnsi="Times New Roman" w:cs="Times New Roman"/>
        </w:rPr>
        <w:t>https://www.urban.org/policy-centers/cross-center-initiatives/state-and-local-finance-initiative/state-and-local-backgrounders/state-and-local-expenditures</w:t>
      </w:r>
      <w:r w:rsidR="00152377" w:rsidRPr="00516523">
        <w:rPr>
          <w:rFonts w:ascii="Times New Roman" w:hAnsi="Times New Roman" w:cs="Times New Roman"/>
        </w:rPr>
        <w:t>,</w:t>
      </w:r>
      <w:r w:rsidR="00041966" w:rsidRPr="00516523">
        <w:rPr>
          <w:rFonts w:ascii="Times New Roman" w:hAnsi="Times New Roman" w:cs="Times New Roman"/>
        </w:rPr>
        <w:t xml:space="preserve"> (last visited Dec. 12</w:t>
      </w:r>
      <w:r w:rsidR="00152377" w:rsidRPr="00516523">
        <w:rPr>
          <w:rFonts w:ascii="Times New Roman" w:hAnsi="Times New Roman" w:cs="Times New Roman"/>
        </w:rPr>
        <w:t>, 2023).</w:t>
      </w:r>
    </w:p>
  </w:footnote>
  <w:footnote w:id="9">
    <w:p w14:paraId="00831FC2" w14:textId="7C841917" w:rsidR="007E094D" w:rsidRPr="00516523" w:rsidRDefault="007E094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Christopher </w:t>
      </w:r>
      <w:proofErr w:type="spellStart"/>
      <w:r w:rsidRPr="00516523">
        <w:rPr>
          <w:rFonts w:ascii="Times New Roman" w:hAnsi="Times New Roman" w:cs="Times New Roman"/>
        </w:rPr>
        <w:t>Yukins</w:t>
      </w:r>
      <w:proofErr w:type="spellEnd"/>
      <w:r w:rsidRPr="00516523">
        <w:rPr>
          <w:rFonts w:ascii="Times New Roman" w:hAnsi="Times New Roman" w:cs="Times New Roman"/>
        </w:rPr>
        <w:t xml:space="preserve">, </w:t>
      </w:r>
      <w:r w:rsidRPr="00516523">
        <w:rPr>
          <w:rFonts w:ascii="Times New Roman" w:hAnsi="Times New Roman" w:cs="Times New Roman"/>
          <w:i/>
          <w:iCs/>
        </w:rPr>
        <w:t>A Versatile Prism: Assessing Procurement Law Through the Principal-Agent Model</w:t>
      </w:r>
      <w:r w:rsidRPr="00516523">
        <w:rPr>
          <w:rFonts w:ascii="Times New Roman" w:hAnsi="Times New Roman" w:cs="Times New Roman"/>
        </w:rPr>
        <w:t xml:space="preserve">, </w:t>
      </w:r>
      <w:r w:rsidR="009157CC" w:rsidRPr="00516523">
        <w:rPr>
          <w:rFonts w:ascii="Times New Roman" w:hAnsi="Times New Roman" w:cs="Times New Roman"/>
        </w:rPr>
        <w:t xml:space="preserve">40 </w:t>
      </w:r>
      <w:r w:rsidRPr="00516523">
        <w:rPr>
          <w:rFonts w:ascii="Times New Roman" w:hAnsi="Times New Roman" w:cs="Times New Roman"/>
          <w:smallCaps/>
        </w:rPr>
        <w:t>Pub. Cont</w:t>
      </w:r>
      <w:r w:rsidR="009157CC" w:rsidRPr="00516523">
        <w:rPr>
          <w:rFonts w:ascii="Times New Roman" w:hAnsi="Times New Roman" w:cs="Times New Roman"/>
          <w:smallCaps/>
        </w:rPr>
        <w:t>.</w:t>
      </w:r>
      <w:r w:rsidRPr="00516523">
        <w:rPr>
          <w:rFonts w:ascii="Times New Roman" w:hAnsi="Times New Roman" w:cs="Times New Roman"/>
          <w:smallCaps/>
        </w:rPr>
        <w:t xml:space="preserve"> L. J.</w:t>
      </w:r>
      <w:r w:rsidR="009157CC" w:rsidRPr="00516523">
        <w:rPr>
          <w:rFonts w:ascii="Times New Roman" w:hAnsi="Times New Roman" w:cs="Times New Roman"/>
        </w:rPr>
        <w:t xml:space="preserve"> 63, 64 (2010).</w:t>
      </w:r>
    </w:p>
  </w:footnote>
  <w:footnote w:id="10">
    <w:p w14:paraId="1B361625" w14:textId="4C72B566" w:rsidR="0094224F" w:rsidRPr="00516523" w:rsidRDefault="0094224F">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See id.</w:t>
      </w:r>
    </w:p>
  </w:footnote>
  <w:footnote w:id="11">
    <w:p w14:paraId="205DEFCF" w14:textId="452962CC" w:rsidR="00933E01" w:rsidRPr="00516523" w:rsidRDefault="00933E01" w:rsidP="00933E01">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e.g., </w:t>
      </w:r>
      <w:r w:rsidRPr="00516523">
        <w:rPr>
          <w:rFonts w:ascii="Times New Roman" w:hAnsi="Times New Roman" w:cs="Times New Roman"/>
        </w:rPr>
        <w:t xml:space="preserve">Rajeev Gael &amp; Michael Nelson, </w:t>
      </w:r>
      <w:r w:rsidRPr="00516523">
        <w:rPr>
          <w:rFonts w:ascii="Times New Roman" w:hAnsi="Times New Roman" w:cs="Times New Roman"/>
          <w:i/>
          <w:iCs/>
        </w:rPr>
        <w:t>Corruption and Government Size: A Disaggregated Analysis</w:t>
      </w:r>
      <w:r w:rsidRPr="00516523">
        <w:rPr>
          <w:rFonts w:ascii="Times New Roman" w:hAnsi="Times New Roman" w:cs="Times New Roman"/>
        </w:rPr>
        <w:t xml:space="preserve">, 97 </w:t>
      </w:r>
      <w:r w:rsidRPr="00516523">
        <w:rPr>
          <w:rFonts w:ascii="Times New Roman" w:hAnsi="Times New Roman" w:cs="Times New Roman"/>
          <w:smallCaps/>
        </w:rPr>
        <w:t>Pub. Choice</w:t>
      </w:r>
      <w:r w:rsidRPr="00516523">
        <w:rPr>
          <w:rFonts w:ascii="Times New Roman" w:hAnsi="Times New Roman" w:cs="Times New Roman"/>
        </w:rPr>
        <w:t xml:space="preserve"> 107(1998); Jonathan Hopkin &amp; Andrés Rodriguez-Pose</w:t>
      </w:r>
      <w:r w:rsidRPr="00516523">
        <w:rPr>
          <w:rFonts w:ascii="Times New Roman" w:hAnsi="Times New Roman" w:cs="Times New Roman"/>
          <w:i/>
          <w:iCs/>
        </w:rPr>
        <w:t>, 'Grabbing Hand' or 'Helping Hand</w:t>
      </w:r>
      <w:proofErr w:type="gramStart"/>
      <w:r w:rsidRPr="00516523">
        <w:rPr>
          <w:rFonts w:ascii="Times New Roman" w:hAnsi="Times New Roman" w:cs="Times New Roman"/>
          <w:i/>
          <w:iCs/>
        </w:rPr>
        <w:t>'?:</w:t>
      </w:r>
      <w:proofErr w:type="gramEnd"/>
      <w:r w:rsidRPr="00516523">
        <w:rPr>
          <w:rFonts w:ascii="Times New Roman" w:hAnsi="Times New Roman" w:cs="Times New Roman"/>
          <w:i/>
          <w:iCs/>
        </w:rPr>
        <w:t xml:space="preserve"> Corruption and the Economic Role of the State</w:t>
      </w:r>
      <w:r w:rsidRPr="00516523">
        <w:rPr>
          <w:rFonts w:ascii="Times New Roman" w:hAnsi="Times New Roman" w:cs="Times New Roman"/>
        </w:rPr>
        <w:t xml:space="preserve">, 20 </w:t>
      </w:r>
      <w:r w:rsidRPr="00516523">
        <w:rPr>
          <w:rFonts w:ascii="Times New Roman" w:hAnsi="Times New Roman" w:cs="Times New Roman"/>
          <w:smallCaps/>
        </w:rPr>
        <w:t xml:space="preserve">Governance: Int’l J. of </w:t>
      </w:r>
      <w:proofErr w:type="spellStart"/>
      <w:r w:rsidRPr="00516523">
        <w:rPr>
          <w:rFonts w:ascii="Times New Roman" w:hAnsi="Times New Roman" w:cs="Times New Roman"/>
          <w:smallCaps/>
        </w:rPr>
        <w:t>Pol’y</w:t>
      </w:r>
      <w:proofErr w:type="spellEnd"/>
      <w:r w:rsidRPr="00516523">
        <w:rPr>
          <w:rFonts w:ascii="Times New Roman" w:hAnsi="Times New Roman" w:cs="Times New Roman"/>
          <w:smallCaps/>
        </w:rPr>
        <w:t>, Admin</w:t>
      </w:r>
      <w:r w:rsidRPr="00516523">
        <w:rPr>
          <w:rFonts w:ascii="Times New Roman" w:hAnsi="Times New Roman" w:cs="Times New Roman"/>
        </w:rPr>
        <w:t xml:space="preserve"> &amp;</w:t>
      </w:r>
      <w:r w:rsidRPr="00516523">
        <w:rPr>
          <w:rFonts w:ascii="Times New Roman" w:hAnsi="Times New Roman" w:cs="Times New Roman"/>
          <w:smallCaps/>
        </w:rPr>
        <w:t xml:space="preserve"> Inst 187,207</w:t>
      </w:r>
      <w:r w:rsidRPr="00516523">
        <w:rPr>
          <w:rFonts w:ascii="Times New Roman" w:hAnsi="Times New Roman" w:cs="Times New Roman"/>
        </w:rPr>
        <w:t xml:space="preserve"> (2007).</w:t>
      </w:r>
    </w:p>
  </w:footnote>
  <w:footnote w:id="12">
    <w:p w14:paraId="48EF5FD0" w14:textId="71B1C6AF" w:rsidR="00F81102" w:rsidRPr="00516523" w:rsidRDefault="00F81102" w:rsidP="00F81102">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 xml:space="preserve">Anna Persson &amp; Bo Rothstein, </w:t>
      </w:r>
      <w:r w:rsidRPr="00516523">
        <w:rPr>
          <w:rFonts w:ascii="Times New Roman" w:hAnsi="Times New Roman" w:cs="Times New Roman"/>
          <w:i/>
          <w:iCs/>
        </w:rPr>
        <w:t>It’s My Money: Why Big Government May Be Good Government</w:t>
      </w:r>
      <w:r w:rsidRPr="00516523">
        <w:rPr>
          <w:rFonts w:ascii="Times New Roman" w:hAnsi="Times New Roman" w:cs="Times New Roman"/>
        </w:rPr>
        <w:t xml:space="preserve">, 47 </w:t>
      </w:r>
      <w:r w:rsidRPr="00516523">
        <w:rPr>
          <w:rFonts w:ascii="Times New Roman" w:hAnsi="Times New Roman" w:cs="Times New Roman"/>
          <w:smallCaps/>
        </w:rPr>
        <w:t>Comp. Pol</w:t>
      </w:r>
      <w:r w:rsidRPr="00516523">
        <w:rPr>
          <w:rFonts w:ascii="Times New Roman" w:hAnsi="Times New Roman" w:cs="Times New Roman"/>
        </w:rPr>
        <w:t>. 231, 231-2 (2015).</w:t>
      </w:r>
    </w:p>
  </w:footnote>
  <w:footnote w:id="13">
    <w:p w14:paraId="43DFD8E8" w14:textId="5867A051" w:rsidR="00F9458F" w:rsidRPr="00516523" w:rsidRDefault="00F9458F">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 xml:space="preserve">Dong-Hun Kim, </w:t>
      </w:r>
      <w:r w:rsidRPr="00516523">
        <w:rPr>
          <w:rFonts w:ascii="Times New Roman" w:hAnsi="Times New Roman" w:cs="Times New Roman"/>
          <w:i/>
          <w:iCs/>
        </w:rPr>
        <w:t xml:space="preserve">Local </w:t>
      </w:r>
      <w:proofErr w:type="gramStart"/>
      <w:r w:rsidRPr="00516523">
        <w:rPr>
          <w:rFonts w:ascii="Times New Roman" w:hAnsi="Times New Roman" w:cs="Times New Roman"/>
          <w:i/>
          <w:iCs/>
        </w:rPr>
        <w:t>Politics</w:t>
      </w:r>
      <w:proofErr w:type="gramEnd"/>
      <w:r w:rsidRPr="00516523">
        <w:rPr>
          <w:rFonts w:ascii="Times New Roman" w:hAnsi="Times New Roman" w:cs="Times New Roman"/>
          <w:i/>
          <w:iCs/>
        </w:rPr>
        <w:t xml:space="preserve"> and International Agreement: The Case of Government Procurement in the U.S. States</w:t>
      </w:r>
      <w:r w:rsidRPr="00516523">
        <w:rPr>
          <w:rFonts w:ascii="Times New Roman" w:hAnsi="Times New Roman" w:cs="Times New Roman"/>
        </w:rPr>
        <w:t xml:space="preserve">, 9 State Pol. &amp; </w:t>
      </w:r>
      <w:proofErr w:type="spellStart"/>
      <w:r w:rsidRPr="00516523">
        <w:rPr>
          <w:rFonts w:ascii="Times New Roman" w:hAnsi="Times New Roman" w:cs="Times New Roman"/>
        </w:rPr>
        <w:t>Pol’y</w:t>
      </w:r>
      <w:proofErr w:type="spellEnd"/>
      <w:r w:rsidRPr="00516523">
        <w:rPr>
          <w:rFonts w:ascii="Times New Roman" w:hAnsi="Times New Roman" w:cs="Times New Roman"/>
        </w:rPr>
        <w:t xml:space="preserve"> Quarterly 79, 87 (2009).</w:t>
      </w:r>
    </w:p>
  </w:footnote>
  <w:footnote w:id="14">
    <w:p w14:paraId="29A20232" w14:textId="091DF2F1" w:rsidR="008A09F8" w:rsidRPr="00516523" w:rsidRDefault="008A09F8">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smallCaps/>
        </w:rPr>
        <w:t>Daniel Hopkins, The Increasingly United States: How and Why American Political Behavior Nationalized</w:t>
      </w:r>
      <w:r w:rsidRPr="00516523">
        <w:rPr>
          <w:rFonts w:ascii="Times New Roman" w:hAnsi="Times New Roman" w:cs="Times New Roman"/>
        </w:rPr>
        <w:t xml:space="preserve">, 5-6 (U. Chi. Press 2018); </w:t>
      </w:r>
      <w:proofErr w:type="spellStart"/>
      <w:r w:rsidRPr="00516523">
        <w:rPr>
          <w:rFonts w:ascii="Times New Roman" w:hAnsi="Times New Roman" w:cs="Times New Roman"/>
        </w:rPr>
        <w:t>Yukins</w:t>
      </w:r>
      <w:proofErr w:type="spellEnd"/>
      <w:r w:rsidRPr="00516523">
        <w:rPr>
          <w:rFonts w:ascii="Times New Roman" w:hAnsi="Times New Roman" w:cs="Times New Roman"/>
        </w:rPr>
        <w:t xml:space="preserve">, </w:t>
      </w:r>
      <w:r w:rsidRPr="00516523">
        <w:rPr>
          <w:rFonts w:ascii="Times New Roman" w:hAnsi="Times New Roman" w:cs="Times New Roman"/>
          <w:i/>
          <w:iCs/>
        </w:rPr>
        <w:t xml:space="preserve">supra </w:t>
      </w:r>
      <w:r w:rsidRPr="00516523">
        <w:rPr>
          <w:rFonts w:ascii="Times New Roman" w:hAnsi="Times New Roman" w:cs="Times New Roman"/>
        </w:rPr>
        <w:t xml:space="preserve">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_Ref153453875 \h </w:instrText>
      </w:r>
      <w:r w:rsidRPr="00516523">
        <w:rPr>
          <w:rFonts w:ascii="Times New Roman" w:hAnsi="Times New Roman" w:cs="Times New Roman"/>
        </w:rPr>
      </w:r>
      <w:r w:rsidR="00225C45" w:rsidRP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8</w:t>
      </w:r>
      <w:r w:rsidRPr="00516523">
        <w:rPr>
          <w:rFonts w:ascii="Times New Roman" w:hAnsi="Times New Roman" w:cs="Times New Roman"/>
        </w:rPr>
        <w:fldChar w:fldCharType="end"/>
      </w:r>
      <w:r w:rsidRPr="00516523">
        <w:rPr>
          <w:rFonts w:ascii="Times New Roman" w:hAnsi="Times New Roman" w:cs="Times New Roman"/>
        </w:rPr>
        <w:t>, at 67-8.</w:t>
      </w:r>
    </w:p>
  </w:footnote>
  <w:footnote w:id="15">
    <w:p w14:paraId="2467981C" w14:textId="53F53DB7" w:rsidR="007837AD" w:rsidRPr="00516523" w:rsidRDefault="007837A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Serge </w:t>
      </w:r>
      <w:proofErr w:type="spellStart"/>
      <w:r w:rsidRPr="00516523">
        <w:rPr>
          <w:rFonts w:ascii="Times New Roman" w:hAnsi="Times New Roman" w:cs="Times New Roman"/>
          <w:i/>
          <w:iCs/>
        </w:rPr>
        <w:t>Schmemann</w:t>
      </w:r>
      <w:proofErr w:type="spellEnd"/>
      <w:r w:rsidRPr="00516523">
        <w:rPr>
          <w:rFonts w:ascii="Times New Roman" w:hAnsi="Times New Roman" w:cs="Times New Roman"/>
        </w:rPr>
        <w:t xml:space="preserve">, </w:t>
      </w:r>
      <w:r w:rsidRPr="00516523">
        <w:rPr>
          <w:rFonts w:ascii="Times New Roman" w:hAnsi="Times New Roman" w:cs="Times New Roman"/>
          <w:i/>
          <w:iCs/>
        </w:rPr>
        <w:t>A Powerful Tool for Fighting Corruption is Going Extinct</w:t>
      </w:r>
      <w:r w:rsidRPr="00516523">
        <w:rPr>
          <w:rFonts w:ascii="Times New Roman" w:hAnsi="Times New Roman" w:cs="Times New Roman"/>
        </w:rPr>
        <w:t xml:space="preserve">, </w:t>
      </w:r>
      <w:r w:rsidRPr="00516523">
        <w:rPr>
          <w:rFonts w:ascii="Times New Roman" w:hAnsi="Times New Roman" w:cs="Times New Roman"/>
          <w:smallCaps/>
        </w:rPr>
        <w:t>N.Y. Times</w:t>
      </w:r>
      <w:r w:rsidRPr="00516523">
        <w:rPr>
          <w:rFonts w:ascii="Times New Roman" w:hAnsi="Times New Roman" w:cs="Times New Roman"/>
        </w:rPr>
        <w:t xml:space="preserve"> (</w:t>
      </w:r>
      <w:r w:rsidR="00D027A5" w:rsidRPr="00516523">
        <w:rPr>
          <w:rFonts w:ascii="Times New Roman" w:hAnsi="Times New Roman" w:cs="Times New Roman"/>
        </w:rPr>
        <w:t xml:space="preserve">Nov. 26, 2023), </w:t>
      </w:r>
      <w:r w:rsidR="00D027A5" w:rsidRPr="00516523">
        <w:rPr>
          <w:rFonts w:ascii="Times New Roman" w:hAnsi="Times New Roman" w:cs="Times New Roman"/>
        </w:rPr>
        <w:t>https://www.nytimes.com/2023/11/26/opinion/local-newspapers-democracy-journalism.html</w:t>
      </w:r>
      <w:r w:rsidR="00D027A5" w:rsidRPr="00516523">
        <w:rPr>
          <w:rFonts w:ascii="Times New Roman" w:hAnsi="Times New Roman" w:cs="Times New Roman"/>
        </w:rPr>
        <w:t>.</w:t>
      </w:r>
    </w:p>
  </w:footnote>
  <w:footnote w:id="16">
    <w:p w14:paraId="7C06C4C8" w14:textId="5CFDC703" w:rsidR="00DF1FBA" w:rsidRPr="00516523" w:rsidRDefault="00DF1FBA">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proofErr w:type="spellStart"/>
      <w:r w:rsidRPr="00516523">
        <w:rPr>
          <w:rFonts w:ascii="Times New Roman" w:hAnsi="Times New Roman" w:cs="Times New Roman"/>
        </w:rPr>
        <w:t>Yukins</w:t>
      </w:r>
      <w:proofErr w:type="spellEnd"/>
      <w:r w:rsidRPr="00516523">
        <w:rPr>
          <w:rFonts w:ascii="Times New Roman" w:hAnsi="Times New Roman" w:cs="Times New Roman"/>
        </w:rPr>
        <w:t xml:space="preserve">, </w:t>
      </w:r>
      <w:r w:rsidRPr="00516523">
        <w:rPr>
          <w:rFonts w:ascii="Times New Roman" w:hAnsi="Times New Roman" w:cs="Times New Roman"/>
          <w:i/>
          <w:iCs/>
        </w:rPr>
        <w:t xml:space="preserve">supra </w:t>
      </w:r>
      <w:r w:rsidRPr="00516523">
        <w:rPr>
          <w:rFonts w:ascii="Times New Roman" w:hAnsi="Times New Roman" w:cs="Times New Roman"/>
        </w:rPr>
        <w:t xml:space="preserve">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_Ref153453875 \h </w:instrText>
      </w:r>
      <w:r w:rsidRPr="00516523">
        <w:rPr>
          <w:rFonts w:ascii="Times New Roman" w:hAnsi="Times New Roman" w:cs="Times New Roman"/>
        </w:rPr>
      </w:r>
      <w:r w:rsidR="00225C45" w:rsidRP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8</w:t>
      </w:r>
      <w:r w:rsidRPr="00516523">
        <w:rPr>
          <w:rFonts w:ascii="Times New Roman" w:hAnsi="Times New Roman" w:cs="Times New Roman"/>
        </w:rPr>
        <w:fldChar w:fldCharType="end"/>
      </w:r>
      <w:r w:rsidRPr="00516523">
        <w:rPr>
          <w:rFonts w:ascii="Times New Roman" w:hAnsi="Times New Roman" w:cs="Times New Roman"/>
        </w:rPr>
        <w:t>, at</w:t>
      </w:r>
      <w:r w:rsidRPr="00516523">
        <w:rPr>
          <w:rFonts w:ascii="Times New Roman" w:hAnsi="Times New Roman" w:cs="Times New Roman"/>
        </w:rPr>
        <w:t xml:space="preserve"> 64.</w:t>
      </w:r>
    </w:p>
  </w:footnote>
  <w:footnote w:id="17">
    <w:p w14:paraId="674D3005" w14:textId="48455B94" w:rsidR="00701776" w:rsidRPr="00516523" w:rsidRDefault="0070177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65.</w:t>
      </w:r>
    </w:p>
  </w:footnote>
  <w:footnote w:id="18">
    <w:p w14:paraId="73FA79CC" w14:textId="03348DDE" w:rsidR="00701776" w:rsidRPr="00516523" w:rsidRDefault="0070177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66.</w:t>
      </w:r>
    </w:p>
  </w:footnote>
  <w:footnote w:id="19">
    <w:p w14:paraId="7D792DE2" w14:textId="2F819FEC" w:rsidR="00942A69" w:rsidRPr="00516523" w:rsidRDefault="00942A69">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782FB1" w:rsidRPr="00516523">
        <w:rPr>
          <w:rFonts w:ascii="Times New Roman" w:hAnsi="Times New Roman" w:cs="Times New Roman"/>
          <w:i/>
          <w:iCs/>
          <w:color w:val="3D3D3D"/>
          <w:bdr w:val="none" w:sz="0" w:space="0" w:color="auto" w:frame="1"/>
          <w:shd w:val="clear" w:color="auto" w:fill="FFFFFF"/>
        </w:rPr>
        <w:t>Providence Tool Co. v. Norris</w:t>
      </w:r>
      <w:r w:rsidR="00782FB1" w:rsidRPr="00516523">
        <w:rPr>
          <w:rFonts w:ascii="Times New Roman" w:hAnsi="Times New Roman" w:cs="Times New Roman"/>
          <w:color w:val="3D3D3D"/>
          <w:shd w:val="clear" w:color="auto" w:fill="FFFFFF"/>
        </w:rPr>
        <w:t>, 69 U.S. 45, 46 (1864)</w:t>
      </w:r>
      <w:r w:rsidR="00F9161A" w:rsidRPr="00516523">
        <w:rPr>
          <w:rFonts w:ascii="Times New Roman" w:hAnsi="Times New Roman" w:cs="Times New Roman"/>
          <w:color w:val="3D3D3D"/>
          <w:shd w:val="clear" w:color="auto" w:fill="FFFFFF"/>
        </w:rPr>
        <w:t xml:space="preserve"> (quotation omitted)</w:t>
      </w:r>
    </w:p>
  </w:footnote>
  <w:footnote w:id="20">
    <w:p w14:paraId="420EDC04" w14:textId="05AEB145" w:rsidR="005D03BC" w:rsidRPr="00516523" w:rsidRDefault="005D03BC">
      <w:pPr>
        <w:pStyle w:val="FootnoteText"/>
        <w:rPr>
          <w:rFonts w:ascii="Times New Roman" w:hAnsi="Times New Roman" w:cs="Times New Roman"/>
        </w:rPr>
      </w:pPr>
      <w:r w:rsidRPr="00516523">
        <w:rPr>
          <w:rStyle w:val="FootnoteReference"/>
          <w:rFonts w:ascii="Times New Roman" w:hAnsi="Times New Roman" w:cs="Times New Roman"/>
          <w:smallCaps/>
        </w:rPr>
        <w:footnoteRef/>
      </w:r>
      <w:r w:rsidRPr="00516523">
        <w:rPr>
          <w:rFonts w:ascii="Times New Roman" w:hAnsi="Times New Roman" w:cs="Times New Roman"/>
          <w:smallCaps/>
        </w:rPr>
        <w:t xml:space="preserve"> </w:t>
      </w:r>
      <w:r w:rsidR="00A17CCA" w:rsidRPr="00516523">
        <w:rPr>
          <w:rFonts w:ascii="Times New Roman" w:hAnsi="Times New Roman" w:cs="Times New Roman"/>
          <w:smallCaps/>
        </w:rPr>
        <w:t>James Nagle, A History of Government Contracting</w:t>
      </w:r>
      <w:r w:rsidR="00D63D9D" w:rsidRPr="00516523">
        <w:rPr>
          <w:rFonts w:ascii="Times New Roman" w:hAnsi="Times New Roman" w:cs="Times New Roman"/>
        </w:rPr>
        <w:t>,</w:t>
      </w:r>
      <w:r w:rsidR="00A17CCA" w:rsidRPr="00516523">
        <w:rPr>
          <w:rFonts w:ascii="Times New Roman" w:hAnsi="Times New Roman" w:cs="Times New Roman"/>
        </w:rPr>
        <w:t xml:space="preserve"> </w:t>
      </w:r>
      <w:r w:rsidR="00FF0354" w:rsidRPr="00516523">
        <w:rPr>
          <w:rFonts w:ascii="Times New Roman" w:hAnsi="Times New Roman" w:cs="Times New Roman"/>
        </w:rPr>
        <w:t xml:space="preserve">175 </w:t>
      </w:r>
      <w:r w:rsidR="00D63D9D" w:rsidRPr="00516523">
        <w:rPr>
          <w:rFonts w:ascii="Times New Roman" w:hAnsi="Times New Roman" w:cs="Times New Roman"/>
        </w:rPr>
        <w:t>(</w:t>
      </w:r>
      <w:r w:rsidR="00A17CCA" w:rsidRPr="00516523">
        <w:rPr>
          <w:rFonts w:ascii="Times New Roman" w:hAnsi="Times New Roman" w:cs="Times New Roman"/>
        </w:rPr>
        <w:t>Geor</w:t>
      </w:r>
      <w:r w:rsidR="00AF0BFA" w:rsidRPr="00516523">
        <w:rPr>
          <w:rFonts w:ascii="Times New Roman" w:hAnsi="Times New Roman" w:cs="Times New Roman"/>
        </w:rPr>
        <w:t>ge</w:t>
      </w:r>
      <w:r w:rsidR="00A17CCA" w:rsidRPr="00516523">
        <w:rPr>
          <w:rFonts w:ascii="Times New Roman" w:hAnsi="Times New Roman" w:cs="Times New Roman"/>
        </w:rPr>
        <w:t xml:space="preserve"> Washington U</w:t>
      </w:r>
      <w:r w:rsidR="00AF0BFA" w:rsidRPr="00516523">
        <w:rPr>
          <w:rFonts w:ascii="Times New Roman" w:hAnsi="Times New Roman" w:cs="Times New Roman"/>
        </w:rPr>
        <w:t>niv., 2d ed. 1999)</w:t>
      </w:r>
      <w:r w:rsidR="00D63D9D" w:rsidRPr="00516523">
        <w:rPr>
          <w:rFonts w:ascii="Times New Roman" w:hAnsi="Times New Roman" w:cs="Times New Roman"/>
        </w:rPr>
        <w:t>.</w:t>
      </w:r>
    </w:p>
  </w:footnote>
  <w:footnote w:id="21">
    <w:p w14:paraId="70CDE827" w14:textId="21D8301C" w:rsidR="00D83F9F" w:rsidRPr="00516523" w:rsidRDefault="00D83F9F">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7670FF" w:rsidRPr="00516523">
        <w:rPr>
          <w:rFonts w:ascii="Times New Roman" w:hAnsi="Times New Roman" w:cs="Times New Roman"/>
          <w:i/>
          <w:iCs/>
        </w:rPr>
        <w:t xml:space="preserve">Providence </w:t>
      </w:r>
      <w:r w:rsidR="00D63D9D" w:rsidRPr="00516523">
        <w:rPr>
          <w:rFonts w:ascii="Times New Roman" w:hAnsi="Times New Roman" w:cs="Times New Roman"/>
          <w:i/>
          <w:iCs/>
        </w:rPr>
        <w:t>T</w:t>
      </w:r>
      <w:r w:rsidR="007670FF" w:rsidRPr="00516523">
        <w:rPr>
          <w:rFonts w:ascii="Times New Roman" w:hAnsi="Times New Roman" w:cs="Times New Roman"/>
          <w:i/>
          <w:iCs/>
        </w:rPr>
        <w:t>ool</w:t>
      </w:r>
      <w:r w:rsidR="007670FF" w:rsidRPr="00516523">
        <w:rPr>
          <w:rFonts w:ascii="Times New Roman" w:hAnsi="Times New Roman" w:cs="Times New Roman"/>
        </w:rPr>
        <w:t xml:space="preserve">, </w:t>
      </w:r>
      <w:r w:rsidR="00D63D9D" w:rsidRPr="00516523">
        <w:rPr>
          <w:rFonts w:ascii="Times New Roman" w:hAnsi="Times New Roman" w:cs="Times New Roman"/>
        </w:rPr>
        <w:t xml:space="preserve">69 U.S. at </w:t>
      </w:r>
      <w:r w:rsidR="007670FF" w:rsidRPr="00516523">
        <w:rPr>
          <w:rFonts w:ascii="Times New Roman" w:hAnsi="Times New Roman" w:cs="Times New Roman"/>
        </w:rPr>
        <w:t>46-7</w:t>
      </w:r>
      <w:r w:rsidR="006310A0" w:rsidRPr="00516523">
        <w:rPr>
          <w:rFonts w:ascii="Times New Roman" w:hAnsi="Times New Roman" w:cs="Times New Roman"/>
        </w:rPr>
        <w:t xml:space="preserve"> (original emphasis)</w:t>
      </w:r>
      <w:r w:rsidR="00D63D9D" w:rsidRPr="00516523">
        <w:rPr>
          <w:rFonts w:ascii="Times New Roman" w:hAnsi="Times New Roman" w:cs="Times New Roman"/>
        </w:rPr>
        <w:t>.</w:t>
      </w:r>
    </w:p>
  </w:footnote>
  <w:footnote w:id="22">
    <w:p w14:paraId="6DE07391" w14:textId="1D36CC1A" w:rsidR="00807E8A" w:rsidRPr="00516523" w:rsidRDefault="00807E8A">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54-5.</w:t>
      </w:r>
    </w:p>
  </w:footnote>
  <w:footnote w:id="23">
    <w:p w14:paraId="765BB713" w14:textId="7AA546E8" w:rsidR="001B2625" w:rsidRPr="00516523" w:rsidRDefault="001B2625">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50-1, 54.</w:t>
      </w:r>
    </w:p>
  </w:footnote>
  <w:footnote w:id="24">
    <w:p w14:paraId="4312BB75" w14:textId="125E38F3" w:rsidR="006B215C" w:rsidRPr="00516523" w:rsidRDefault="006B215C">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51.</w:t>
      </w:r>
    </w:p>
  </w:footnote>
  <w:footnote w:id="25">
    <w:p w14:paraId="648F2EBB" w14:textId="42BAB4DA" w:rsidR="00280E7F" w:rsidRPr="00516523" w:rsidRDefault="00280E7F">
      <w:pPr>
        <w:pStyle w:val="FootnoteText"/>
        <w:rPr>
          <w:rFonts w:ascii="Times New Roman" w:hAnsi="Times New Roman" w:cs="Times New Roman"/>
          <w:i/>
          <w:iCs/>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877D03" w:rsidRPr="00516523">
        <w:rPr>
          <w:rFonts w:ascii="Times New Roman" w:hAnsi="Times New Roman" w:cs="Times New Roman"/>
        </w:rPr>
        <w:t xml:space="preserve">Thomas Susman </w:t>
      </w:r>
      <w:r w:rsidR="00346D18" w:rsidRPr="00516523">
        <w:rPr>
          <w:rFonts w:ascii="Times New Roman" w:hAnsi="Times New Roman" w:cs="Times New Roman"/>
        </w:rPr>
        <w:t xml:space="preserve">&amp; Margaret Martin, </w:t>
      </w:r>
      <w:r w:rsidR="00346D18" w:rsidRPr="00516523">
        <w:rPr>
          <w:rFonts w:ascii="Times New Roman" w:hAnsi="Times New Roman" w:cs="Times New Roman"/>
          <w:i/>
          <w:iCs/>
        </w:rPr>
        <w:t>Contingent Fee Lobbying: Inflaming Averice or Facilitating Constitutional Rights?</w:t>
      </w:r>
      <w:r w:rsidR="00346D18" w:rsidRPr="00516523">
        <w:rPr>
          <w:rFonts w:ascii="Times New Roman" w:hAnsi="Times New Roman" w:cs="Times New Roman"/>
        </w:rPr>
        <w:t xml:space="preserve"> </w:t>
      </w:r>
      <w:r w:rsidR="00DF4B76" w:rsidRPr="00516523">
        <w:rPr>
          <w:rFonts w:ascii="Times New Roman" w:hAnsi="Times New Roman" w:cs="Times New Roman"/>
        </w:rPr>
        <w:t xml:space="preserve">312 </w:t>
      </w:r>
      <w:r w:rsidR="00DF4B76" w:rsidRPr="00516523">
        <w:rPr>
          <w:rFonts w:ascii="Times New Roman" w:hAnsi="Times New Roman" w:cs="Times New Roman"/>
          <w:smallCaps/>
        </w:rPr>
        <w:t>Seton Hall Legis. J</w:t>
      </w:r>
      <w:r w:rsidR="00DF4B76" w:rsidRPr="00516523">
        <w:rPr>
          <w:rFonts w:ascii="Times New Roman" w:hAnsi="Times New Roman" w:cs="Times New Roman"/>
        </w:rPr>
        <w:t>. 311, 316 (2007).</w:t>
      </w:r>
      <w:r w:rsidR="00346D18" w:rsidRPr="00516523">
        <w:rPr>
          <w:rFonts w:ascii="Times New Roman" w:hAnsi="Times New Roman" w:cs="Times New Roman"/>
          <w:i/>
          <w:iCs/>
        </w:rPr>
        <w:t xml:space="preserve">  </w:t>
      </w:r>
    </w:p>
  </w:footnote>
  <w:footnote w:id="26">
    <w:p w14:paraId="2869CC14" w14:textId="3E567F89" w:rsidR="00314B96" w:rsidRPr="00516523" w:rsidRDefault="00314B9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317-18.</w:t>
      </w:r>
    </w:p>
  </w:footnote>
  <w:footnote w:id="27">
    <w:p w14:paraId="38270C18" w14:textId="5FBDCC2C" w:rsidR="00D07A82" w:rsidRPr="00516523" w:rsidRDefault="00D07A82">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Collin Swan </w:t>
      </w:r>
      <w:r w:rsidR="006548A9" w:rsidRPr="00516523">
        <w:rPr>
          <w:rFonts w:ascii="Times New Roman" w:hAnsi="Times New Roman" w:cs="Times New Roman"/>
        </w:rPr>
        <w:t xml:space="preserve">&amp; Sati Harutyunyan, </w:t>
      </w:r>
      <w:proofErr w:type="gramStart"/>
      <w:r w:rsidR="006548A9" w:rsidRPr="00516523">
        <w:rPr>
          <w:rFonts w:ascii="Times New Roman" w:hAnsi="Times New Roman" w:cs="Times New Roman"/>
          <w:i/>
          <w:iCs/>
        </w:rPr>
        <w:t>The</w:t>
      </w:r>
      <w:proofErr w:type="gramEnd"/>
      <w:r w:rsidR="006548A9" w:rsidRPr="00516523">
        <w:rPr>
          <w:rFonts w:ascii="Times New Roman" w:hAnsi="Times New Roman" w:cs="Times New Roman"/>
          <w:i/>
          <w:iCs/>
        </w:rPr>
        <w:t xml:space="preserve"> </w:t>
      </w:r>
      <w:r w:rsidR="004E5C26" w:rsidRPr="00516523">
        <w:rPr>
          <w:rFonts w:ascii="Times New Roman" w:hAnsi="Times New Roman" w:cs="Times New Roman"/>
          <w:i/>
          <w:iCs/>
        </w:rPr>
        <w:t>‘</w:t>
      </w:r>
      <w:r w:rsidR="006548A9" w:rsidRPr="00516523">
        <w:rPr>
          <w:rFonts w:ascii="Times New Roman" w:hAnsi="Times New Roman" w:cs="Times New Roman"/>
          <w:i/>
          <w:iCs/>
        </w:rPr>
        <w:t>Influence Peddler</w:t>
      </w:r>
      <w:r w:rsidR="004E5C26" w:rsidRPr="00516523">
        <w:rPr>
          <w:rFonts w:ascii="Times New Roman" w:hAnsi="Times New Roman" w:cs="Times New Roman"/>
          <w:i/>
          <w:iCs/>
        </w:rPr>
        <w:t>’ Revisited: A Look At The Evolution Of The U.S. Covenant Against Contingent Fees In The Procurement Marketplace</w:t>
      </w:r>
      <w:r w:rsidR="004E5C26" w:rsidRPr="00516523">
        <w:rPr>
          <w:rFonts w:ascii="Times New Roman" w:hAnsi="Times New Roman" w:cs="Times New Roman"/>
        </w:rPr>
        <w:t xml:space="preserve">, 59 </w:t>
      </w:r>
      <w:r w:rsidR="004E5C26" w:rsidRPr="00516523">
        <w:rPr>
          <w:rFonts w:ascii="Times New Roman" w:hAnsi="Times New Roman" w:cs="Times New Roman"/>
          <w:smallCaps/>
        </w:rPr>
        <w:t>Gov’t Contractor</w:t>
      </w:r>
      <w:r w:rsidR="004E5C26" w:rsidRPr="00516523">
        <w:rPr>
          <w:rFonts w:ascii="Times New Roman" w:hAnsi="Times New Roman" w:cs="Times New Roman"/>
        </w:rPr>
        <w:t xml:space="preserve"> 51, </w:t>
      </w:r>
      <w:r w:rsidR="00101469" w:rsidRPr="00516523">
        <w:rPr>
          <w:rFonts w:ascii="Times New Roman" w:hAnsi="Times New Roman" w:cs="Times New Roman"/>
        </w:rPr>
        <w:t>54 (2017).</w:t>
      </w:r>
    </w:p>
  </w:footnote>
  <w:footnote w:id="28">
    <w:p w14:paraId="443F023F" w14:textId="1D44E89E" w:rsidR="00BE6DAF" w:rsidRPr="00516523" w:rsidRDefault="00BE6DAF">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w:t>
      </w:r>
    </w:p>
  </w:footnote>
  <w:footnote w:id="29">
    <w:p w14:paraId="12870F64" w14:textId="46FEA229" w:rsidR="000F5A7D" w:rsidRPr="00516523" w:rsidRDefault="000F5A7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3A1D1E" w:rsidRPr="00516523">
        <w:rPr>
          <w:rFonts w:ascii="Times New Roman" w:hAnsi="Times New Roman" w:cs="Times New Roman"/>
        </w:rPr>
        <w:t xml:space="preserve">Paul Barron &amp; William Munves, </w:t>
      </w:r>
      <w:r w:rsidR="003A1D1E" w:rsidRPr="00516523">
        <w:rPr>
          <w:rFonts w:ascii="Times New Roman" w:hAnsi="Times New Roman" w:cs="Times New Roman"/>
          <w:i/>
          <w:iCs/>
        </w:rPr>
        <w:t>The Government Versus the Five-per-centers: Analysis of Regulations Governing Contingent Fees in Government Contracts</w:t>
      </w:r>
      <w:r w:rsidR="003A1D1E" w:rsidRPr="00516523">
        <w:rPr>
          <w:rFonts w:ascii="Times New Roman" w:hAnsi="Times New Roman" w:cs="Times New Roman"/>
        </w:rPr>
        <w:t xml:space="preserve">, </w:t>
      </w:r>
      <w:r w:rsidR="00FE6784" w:rsidRPr="00516523">
        <w:rPr>
          <w:rFonts w:ascii="Times New Roman" w:hAnsi="Times New Roman" w:cs="Times New Roman"/>
        </w:rPr>
        <w:t xml:space="preserve">25 </w:t>
      </w:r>
      <w:r w:rsidR="00FE6784" w:rsidRPr="00516523">
        <w:rPr>
          <w:rFonts w:ascii="Times New Roman" w:hAnsi="Times New Roman" w:cs="Times New Roman"/>
          <w:smallCaps/>
        </w:rPr>
        <w:t>Geo. Washington L. R</w:t>
      </w:r>
      <w:r w:rsidR="00FE6784" w:rsidRPr="00516523">
        <w:rPr>
          <w:rFonts w:ascii="Times New Roman" w:hAnsi="Times New Roman" w:cs="Times New Roman"/>
        </w:rPr>
        <w:t xml:space="preserve">. 127, </w:t>
      </w:r>
      <w:r w:rsidR="00711325" w:rsidRPr="00516523">
        <w:rPr>
          <w:rFonts w:ascii="Times New Roman" w:hAnsi="Times New Roman" w:cs="Times New Roman"/>
        </w:rPr>
        <w:t>129-30 (1957).</w:t>
      </w:r>
    </w:p>
  </w:footnote>
  <w:footnote w:id="30">
    <w:p w14:paraId="0D012262" w14:textId="7DBA794F" w:rsidR="00676E7D" w:rsidRPr="00516523" w:rsidRDefault="00676E7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2B335A" w:rsidRPr="00516523">
        <w:rPr>
          <w:rFonts w:ascii="Times New Roman" w:hAnsi="Times New Roman" w:cs="Times New Roman"/>
          <w:i/>
          <w:iCs/>
          <w:color w:val="3D3D3D"/>
          <w:bdr w:val="none" w:sz="0" w:space="0" w:color="auto" w:frame="1"/>
          <w:shd w:val="clear" w:color="auto" w:fill="FFFFFF"/>
        </w:rPr>
        <w:t>Trist v. Child</w:t>
      </w:r>
      <w:r w:rsidR="002B335A" w:rsidRPr="00516523">
        <w:rPr>
          <w:rFonts w:ascii="Times New Roman" w:hAnsi="Times New Roman" w:cs="Times New Roman"/>
          <w:color w:val="3D3D3D"/>
          <w:shd w:val="clear" w:color="auto" w:fill="FFFFFF"/>
        </w:rPr>
        <w:t>, 88 U.S. 441, 450 (1874)</w:t>
      </w:r>
      <w:r w:rsidR="00D63D9D" w:rsidRPr="00516523">
        <w:rPr>
          <w:rFonts w:ascii="Times New Roman" w:hAnsi="Times New Roman" w:cs="Times New Roman"/>
          <w:color w:val="3D3D3D"/>
          <w:shd w:val="clear" w:color="auto" w:fill="FFFFFF"/>
        </w:rPr>
        <w:t>.</w:t>
      </w:r>
    </w:p>
  </w:footnote>
  <w:footnote w:id="31">
    <w:p w14:paraId="3B5E5B48" w14:textId="0EC8B887" w:rsidR="00F358B0" w:rsidRPr="00516523" w:rsidRDefault="00F358B0">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Swan</w:t>
      </w:r>
      <w:r w:rsidR="00D63D9D" w:rsidRPr="00516523">
        <w:rPr>
          <w:rFonts w:ascii="Times New Roman" w:hAnsi="Times New Roman" w:cs="Times New Roman"/>
        </w:rPr>
        <w:t xml:space="preserve">, </w:t>
      </w:r>
      <w:r w:rsidR="00D63D9D" w:rsidRPr="00516523">
        <w:rPr>
          <w:rFonts w:ascii="Times New Roman" w:hAnsi="Times New Roman" w:cs="Times New Roman"/>
          <w:i/>
          <w:iCs/>
        </w:rPr>
        <w:t xml:space="preserve">supra </w:t>
      </w:r>
      <w:r w:rsidR="00D63D9D" w:rsidRPr="00516523">
        <w:rPr>
          <w:rFonts w:ascii="Times New Roman" w:hAnsi="Times New Roman" w:cs="Times New Roman"/>
        </w:rPr>
        <w:t xml:space="preserve">note </w:t>
      </w:r>
      <w:r w:rsidR="00D63D9D" w:rsidRPr="00516523">
        <w:rPr>
          <w:rFonts w:ascii="Times New Roman" w:hAnsi="Times New Roman" w:cs="Times New Roman"/>
        </w:rPr>
        <w:fldChar w:fldCharType="begin"/>
      </w:r>
      <w:r w:rsidR="00D63D9D" w:rsidRPr="00516523">
        <w:rPr>
          <w:rFonts w:ascii="Times New Roman" w:hAnsi="Times New Roman" w:cs="Times New Roman"/>
        </w:rPr>
        <w:instrText xml:space="preserve"> NOTEREF _Ref153459074 \h </w:instrText>
      </w:r>
      <w:r w:rsidR="00D63D9D" w:rsidRPr="00516523">
        <w:rPr>
          <w:rFonts w:ascii="Times New Roman" w:hAnsi="Times New Roman" w:cs="Times New Roman"/>
        </w:rPr>
      </w:r>
      <w:r w:rsidR="00225C45" w:rsidRPr="00516523">
        <w:rPr>
          <w:rFonts w:ascii="Times New Roman" w:hAnsi="Times New Roman" w:cs="Times New Roman"/>
        </w:rPr>
        <w:instrText xml:space="preserve"> \* MERGEFORMAT </w:instrText>
      </w:r>
      <w:r w:rsidR="00D63D9D" w:rsidRPr="00516523">
        <w:rPr>
          <w:rFonts w:ascii="Times New Roman" w:hAnsi="Times New Roman" w:cs="Times New Roman"/>
        </w:rPr>
        <w:fldChar w:fldCharType="separate"/>
      </w:r>
      <w:r w:rsidR="00D63D9D" w:rsidRPr="00516523">
        <w:rPr>
          <w:rFonts w:ascii="Times New Roman" w:hAnsi="Times New Roman" w:cs="Times New Roman"/>
        </w:rPr>
        <w:t>26</w:t>
      </w:r>
      <w:r w:rsidR="00D63D9D" w:rsidRPr="00516523">
        <w:rPr>
          <w:rFonts w:ascii="Times New Roman" w:hAnsi="Times New Roman" w:cs="Times New Roman"/>
        </w:rPr>
        <w:fldChar w:fldCharType="end"/>
      </w:r>
      <w:r w:rsidR="00D63D9D" w:rsidRPr="00516523">
        <w:rPr>
          <w:rFonts w:ascii="Times New Roman" w:hAnsi="Times New Roman" w:cs="Times New Roman"/>
        </w:rPr>
        <w:t>, at</w:t>
      </w:r>
      <w:r w:rsidRPr="00516523">
        <w:rPr>
          <w:rFonts w:ascii="Times New Roman" w:hAnsi="Times New Roman" w:cs="Times New Roman"/>
        </w:rPr>
        <w:t xml:space="preserve"> 324</w:t>
      </w:r>
      <w:r w:rsidR="00A239E2" w:rsidRPr="00516523">
        <w:rPr>
          <w:rFonts w:ascii="Times New Roman" w:hAnsi="Times New Roman" w:cs="Times New Roman"/>
        </w:rPr>
        <w:t>.</w:t>
      </w:r>
    </w:p>
  </w:footnote>
  <w:footnote w:id="32">
    <w:p w14:paraId="1B75C0C3" w14:textId="455BBEE0" w:rsidR="00AE78AC" w:rsidRPr="00516523" w:rsidRDefault="00AE78AC">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Barron</w:t>
      </w:r>
      <w:r w:rsidR="00D63D9D" w:rsidRPr="00516523">
        <w:rPr>
          <w:rFonts w:ascii="Times New Roman" w:hAnsi="Times New Roman" w:cs="Times New Roman"/>
        </w:rPr>
        <w:t xml:space="preserve">, </w:t>
      </w:r>
      <w:r w:rsidR="00D63D9D" w:rsidRPr="00516523">
        <w:rPr>
          <w:rFonts w:ascii="Times New Roman" w:hAnsi="Times New Roman" w:cs="Times New Roman"/>
          <w:i/>
          <w:iCs/>
        </w:rPr>
        <w:t xml:space="preserve">supra </w:t>
      </w:r>
      <w:r w:rsidR="00D63D9D" w:rsidRPr="00516523">
        <w:rPr>
          <w:rFonts w:ascii="Times New Roman" w:hAnsi="Times New Roman" w:cs="Times New Roman"/>
        </w:rPr>
        <w:t xml:space="preserve">note </w:t>
      </w:r>
      <w:r w:rsidR="00D63D9D" w:rsidRPr="00516523">
        <w:rPr>
          <w:rFonts w:ascii="Times New Roman" w:hAnsi="Times New Roman" w:cs="Times New Roman"/>
        </w:rPr>
        <w:fldChar w:fldCharType="begin"/>
      </w:r>
      <w:r w:rsidR="00D63D9D" w:rsidRPr="00516523">
        <w:rPr>
          <w:rFonts w:ascii="Times New Roman" w:hAnsi="Times New Roman" w:cs="Times New Roman"/>
        </w:rPr>
        <w:instrText xml:space="preserve"> NOTEREF _Ref153459102 \h </w:instrText>
      </w:r>
      <w:r w:rsidR="00D63D9D" w:rsidRPr="00516523">
        <w:rPr>
          <w:rFonts w:ascii="Times New Roman" w:hAnsi="Times New Roman" w:cs="Times New Roman"/>
        </w:rPr>
      </w:r>
      <w:r w:rsidR="00225C45" w:rsidRPr="00516523">
        <w:rPr>
          <w:rFonts w:ascii="Times New Roman" w:hAnsi="Times New Roman" w:cs="Times New Roman"/>
        </w:rPr>
        <w:instrText xml:space="preserve"> \* MERGEFORMAT </w:instrText>
      </w:r>
      <w:r w:rsidR="00D63D9D" w:rsidRPr="00516523">
        <w:rPr>
          <w:rFonts w:ascii="Times New Roman" w:hAnsi="Times New Roman" w:cs="Times New Roman"/>
        </w:rPr>
        <w:fldChar w:fldCharType="separate"/>
      </w:r>
      <w:r w:rsidR="00D63D9D" w:rsidRPr="00516523">
        <w:rPr>
          <w:rFonts w:ascii="Times New Roman" w:hAnsi="Times New Roman" w:cs="Times New Roman"/>
        </w:rPr>
        <w:t>28</w:t>
      </w:r>
      <w:r w:rsidR="00D63D9D" w:rsidRPr="00516523">
        <w:rPr>
          <w:rFonts w:ascii="Times New Roman" w:hAnsi="Times New Roman" w:cs="Times New Roman"/>
        </w:rPr>
        <w:fldChar w:fldCharType="end"/>
      </w:r>
      <w:r w:rsidR="00D63D9D" w:rsidRPr="00516523">
        <w:rPr>
          <w:rFonts w:ascii="Times New Roman" w:hAnsi="Times New Roman" w:cs="Times New Roman"/>
        </w:rPr>
        <w:t>, at</w:t>
      </w:r>
      <w:r w:rsidRPr="00516523">
        <w:rPr>
          <w:rFonts w:ascii="Times New Roman" w:hAnsi="Times New Roman" w:cs="Times New Roman"/>
        </w:rPr>
        <w:t xml:space="preserve"> 135-6</w:t>
      </w:r>
      <w:r w:rsidR="00D63D9D" w:rsidRPr="00516523">
        <w:rPr>
          <w:rFonts w:ascii="Times New Roman" w:hAnsi="Times New Roman" w:cs="Times New Roman"/>
        </w:rPr>
        <w:t>.</w:t>
      </w:r>
    </w:p>
  </w:footnote>
  <w:footnote w:id="33">
    <w:p w14:paraId="1EBEA76D" w14:textId="27FC62DE" w:rsidR="00855AF2" w:rsidRPr="00516523" w:rsidRDefault="00855AF2">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137.</w:t>
      </w:r>
    </w:p>
  </w:footnote>
  <w:footnote w:id="34">
    <w:p w14:paraId="2C62FB12" w14:textId="7B587EF6" w:rsidR="00D16262" w:rsidRPr="00516523" w:rsidRDefault="00D16262">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CA33D6" w:rsidRPr="00516523">
        <w:rPr>
          <w:rFonts w:ascii="Times New Roman" w:hAnsi="Times New Roman" w:cs="Times New Roman"/>
        </w:rPr>
        <w:t xml:space="preserve">48 C.F.R. </w:t>
      </w:r>
      <w:r w:rsidR="00A04773" w:rsidRPr="00516523">
        <w:rPr>
          <w:rFonts w:ascii="Times New Roman" w:hAnsi="Times New Roman" w:cs="Times New Roman"/>
        </w:rPr>
        <w:t xml:space="preserve">48 </w:t>
      </w:r>
      <w:r w:rsidR="00CA33D6" w:rsidRPr="00516523">
        <w:rPr>
          <w:rFonts w:ascii="Times New Roman" w:hAnsi="Times New Roman" w:cs="Times New Roman"/>
        </w:rPr>
        <w:t>§</w:t>
      </w:r>
      <w:r w:rsidR="00CA33D6" w:rsidRPr="00516523">
        <w:rPr>
          <w:rFonts w:ascii="Times New Roman" w:hAnsi="Times New Roman" w:cs="Times New Roman"/>
        </w:rPr>
        <w:t xml:space="preserve"> 3.4; </w:t>
      </w:r>
      <w:r w:rsidR="00A04773" w:rsidRPr="00516523">
        <w:rPr>
          <w:rFonts w:ascii="Times New Roman" w:hAnsi="Times New Roman" w:cs="Times New Roman"/>
        </w:rPr>
        <w:t xml:space="preserve">C.F.R. </w:t>
      </w:r>
      <w:r w:rsidR="00982796" w:rsidRPr="00516523">
        <w:rPr>
          <w:rFonts w:ascii="Times New Roman" w:hAnsi="Times New Roman" w:cs="Times New Roman"/>
        </w:rPr>
        <w:t>§</w:t>
      </w:r>
      <w:r w:rsidR="00AE3BAE" w:rsidRPr="00516523">
        <w:rPr>
          <w:rFonts w:ascii="Times New Roman" w:hAnsi="Times New Roman" w:cs="Times New Roman"/>
        </w:rPr>
        <w:t xml:space="preserve"> 52.203-5</w:t>
      </w:r>
      <w:r w:rsidR="00D63D9D" w:rsidRPr="00516523">
        <w:rPr>
          <w:rFonts w:ascii="Times New Roman" w:hAnsi="Times New Roman" w:cs="Times New Roman"/>
        </w:rPr>
        <w:t>.</w:t>
      </w:r>
    </w:p>
  </w:footnote>
  <w:footnote w:id="35">
    <w:p w14:paraId="23B4DC9E" w14:textId="60F911D2" w:rsidR="00CA33D6" w:rsidRPr="00516523" w:rsidRDefault="00CA33D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48 C.F.R. 48 </w:t>
      </w:r>
      <w:r w:rsidRPr="00516523">
        <w:rPr>
          <w:rFonts w:ascii="Times New Roman" w:hAnsi="Times New Roman" w:cs="Times New Roman"/>
        </w:rPr>
        <w:t>§</w:t>
      </w:r>
      <w:r w:rsidRPr="00516523">
        <w:rPr>
          <w:rFonts w:ascii="Times New Roman" w:hAnsi="Times New Roman" w:cs="Times New Roman"/>
        </w:rPr>
        <w:t xml:space="preserve"> 3.402.</w:t>
      </w:r>
    </w:p>
  </w:footnote>
  <w:footnote w:id="36">
    <w:p w14:paraId="046C251F" w14:textId="510AA7E0" w:rsidR="00113C06" w:rsidRPr="00516523" w:rsidRDefault="00113C0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48 C.F.R. </w:t>
      </w:r>
      <w:r w:rsidRPr="00516523">
        <w:rPr>
          <w:rFonts w:ascii="Times New Roman" w:hAnsi="Times New Roman" w:cs="Times New Roman"/>
        </w:rPr>
        <w:t>§</w:t>
      </w:r>
      <w:r w:rsidRPr="00516523">
        <w:rPr>
          <w:rFonts w:ascii="Times New Roman" w:hAnsi="Times New Roman" w:cs="Times New Roman"/>
        </w:rPr>
        <w:t xml:space="preserve"> 3.405.</w:t>
      </w:r>
    </w:p>
  </w:footnote>
  <w:footnote w:id="37">
    <w:p w14:paraId="5BC9BA9C" w14:textId="277AFF61" w:rsidR="005D3C3B" w:rsidRPr="00516523" w:rsidRDefault="005D3C3B">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p>
  </w:footnote>
  <w:footnote w:id="38">
    <w:p w14:paraId="49084F8F" w14:textId="7E6E409F" w:rsidR="008A617B" w:rsidRPr="00516523" w:rsidRDefault="008A617B">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9B1A79" w:rsidRPr="00516523">
        <w:rPr>
          <w:rFonts w:ascii="Times New Roman" w:hAnsi="Times New Roman" w:cs="Times New Roman"/>
          <w:smallCaps/>
        </w:rPr>
        <w:t>Danielle Conway, State and Local Government Procurement</w:t>
      </w:r>
      <w:r w:rsidR="009B1A79" w:rsidRPr="00516523">
        <w:rPr>
          <w:rFonts w:ascii="Times New Roman" w:hAnsi="Times New Roman" w:cs="Times New Roman"/>
        </w:rPr>
        <w:t>,</w:t>
      </w:r>
      <w:r w:rsidRPr="00516523">
        <w:rPr>
          <w:rFonts w:ascii="Times New Roman" w:hAnsi="Times New Roman" w:cs="Times New Roman"/>
        </w:rPr>
        <w:t xml:space="preserve"> *265</w:t>
      </w:r>
      <w:r w:rsidR="009B1A79" w:rsidRPr="00516523">
        <w:rPr>
          <w:rFonts w:ascii="Times New Roman" w:hAnsi="Times New Roman" w:cs="Times New Roman"/>
        </w:rPr>
        <w:t xml:space="preserve"> (Am. Bar </w:t>
      </w:r>
      <w:proofErr w:type="spellStart"/>
      <w:r w:rsidR="009B1A79" w:rsidRPr="00516523">
        <w:rPr>
          <w:rFonts w:ascii="Times New Roman" w:hAnsi="Times New Roman" w:cs="Times New Roman"/>
        </w:rPr>
        <w:t>Ass’n</w:t>
      </w:r>
      <w:proofErr w:type="spellEnd"/>
      <w:r w:rsidR="009B1A79" w:rsidRPr="00516523">
        <w:rPr>
          <w:rFonts w:ascii="Times New Roman" w:hAnsi="Times New Roman" w:cs="Times New Roman"/>
        </w:rPr>
        <w:t>, 2012).</w:t>
      </w:r>
    </w:p>
  </w:footnote>
  <w:footnote w:id="39">
    <w:p w14:paraId="329365D0" w14:textId="32D16792" w:rsidR="00005E66" w:rsidRPr="00516523" w:rsidRDefault="00005E66">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081BA6" w:rsidRPr="00516523">
        <w:rPr>
          <w:rFonts w:ascii="Times New Roman" w:hAnsi="Times New Roman" w:cs="Times New Roman"/>
        </w:rPr>
        <w:t>2007 MC PIP</w:t>
      </w:r>
      <w:r w:rsidRPr="00516523">
        <w:rPr>
          <w:rFonts w:ascii="Times New Roman" w:hAnsi="Times New Roman" w:cs="Times New Roman"/>
        </w:rPr>
        <w:t xml:space="preserve"> § 12-207.</w:t>
      </w:r>
    </w:p>
  </w:footnote>
  <w:footnote w:id="40">
    <w:p w14:paraId="0623AA43" w14:textId="4E77948C" w:rsidR="004A1379" w:rsidRPr="00516523" w:rsidRDefault="004A1379">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9B1A79" w:rsidRPr="00516523">
        <w:rPr>
          <w:rFonts w:ascii="Times New Roman" w:hAnsi="Times New Roman" w:cs="Times New Roman"/>
          <w:smallCaps/>
        </w:rPr>
        <w:t>Conway</w:t>
      </w:r>
      <w:r w:rsidR="009B1A79" w:rsidRPr="00516523">
        <w:rPr>
          <w:rFonts w:ascii="Times New Roman" w:hAnsi="Times New Roman" w:cs="Times New Roman"/>
        </w:rPr>
        <w:t xml:space="preserve">, </w:t>
      </w:r>
      <w:r w:rsidR="009B1A79" w:rsidRPr="00516523">
        <w:rPr>
          <w:rFonts w:ascii="Times New Roman" w:hAnsi="Times New Roman" w:cs="Times New Roman"/>
          <w:i/>
          <w:iCs/>
        </w:rPr>
        <w:t xml:space="preserve">supra </w:t>
      </w:r>
      <w:r w:rsidR="009B1A79" w:rsidRPr="00516523">
        <w:rPr>
          <w:rFonts w:ascii="Times New Roman" w:hAnsi="Times New Roman" w:cs="Times New Roman"/>
        </w:rPr>
        <w:t xml:space="preserve">note </w:t>
      </w:r>
      <w:r w:rsidR="009B1A79" w:rsidRPr="00516523">
        <w:rPr>
          <w:rFonts w:ascii="Times New Roman" w:hAnsi="Times New Roman" w:cs="Times New Roman"/>
        </w:rPr>
        <w:fldChar w:fldCharType="begin"/>
      </w:r>
      <w:r w:rsidR="009B1A79" w:rsidRPr="00516523">
        <w:rPr>
          <w:rFonts w:ascii="Times New Roman" w:hAnsi="Times New Roman" w:cs="Times New Roman"/>
        </w:rPr>
        <w:instrText xml:space="preserve"> NOTEREF _Ref153477717 \h </w:instrText>
      </w:r>
      <w:r w:rsidR="009B1A79" w:rsidRPr="00516523">
        <w:rPr>
          <w:rFonts w:ascii="Times New Roman" w:hAnsi="Times New Roman" w:cs="Times New Roman"/>
        </w:rPr>
      </w:r>
      <w:r w:rsidR="00516523">
        <w:rPr>
          <w:rFonts w:ascii="Times New Roman" w:hAnsi="Times New Roman" w:cs="Times New Roman"/>
        </w:rPr>
        <w:instrText xml:space="preserve"> \* MERGEFORMAT </w:instrText>
      </w:r>
      <w:r w:rsidR="009B1A79" w:rsidRPr="00516523">
        <w:rPr>
          <w:rFonts w:ascii="Times New Roman" w:hAnsi="Times New Roman" w:cs="Times New Roman"/>
        </w:rPr>
        <w:fldChar w:fldCharType="separate"/>
      </w:r>
      <w:r w:rsidR="009B1A79" w:rsidRPr="00516523">
        <w:rPr>
          <w:rFonts w:ascii="Times New Roman" w:hAnsi="Times New Roman" w:cs="Times New Roman"/>
        </w:rPr>
        <w:t>37</w:t>
      </w:r>
      <w:r w:rsidR="009B1A79" w:rsidRPr="00516523">
        <w:rPr>
          <w:rFonts w:ascii="Times New Roman" w:hAnsi="Times New Roman" w:cs="Times New Roman"/>
        </w:rPr>
        <w:fldChar w:fldCharType="end"/>
      </w:r>
      <w:r w:rsidR="009B1A79" w:rsidRPr="00516523">
        <w:rPr>
          <w:rFonts w:ascii="Times New Roman" w:hAnsi="Times New Roman" w:cs="Times New Roman"/>
        </w:rPr>
        <w:t xml:space="preserve">, at </w:t>
      </w:r>
      <w:r w:rsidR="007E1309" w:rsidRPr="00516523">
        <w:rPr>
          <w:rFonts w:ascii="Times New Roman" w:hAnsi="Times New Roman" w:cs="Times New Roman"/>
        </w:rPr>
        <w:t>*265</w:t>
      </w:r>
      <w:r w:rsidR="009B1A79" w:rsidRPr="00516523">
        <w:rPr>
          <w:rFonts w:ascii="Times New Roman" w:hAnsi="Times New Roman" w:cs="Times New Roman"/>
        </w:rPr>
        <w:t>.</w:t>
      </w:r>
    </w:p>
  </w:footnote>
  <w:footnote w:id="41">
    <w:p w14:paraId="46D57457" w14:textId="150D42DD" w:rsidR="003C5C41" w:rsidRPr="00516523" w:rsidRDefault="003C5C41">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AR. C</w:t>
      </w:r>
      <w:r w:rsidR="003E6516" w:rsidRPr="00516523">
        <w:rPr>
          <w:rFonts w:ascii="Times New Roman" w:hAnsi="Times New Roman" w:cs="Times New Roman"/>
        </w:rPr>
        <w:t>ode</w:t>
      </w:r>
      <w:r w:rsidRPr="00516523">
        <w:rPr>
          <w:rFonts w:ascii="Times New Roman" w:hAnsi="Times New Roman" w:cs="Times New Roman"/>
        </w:rPr>
        <w:t xml:space="preserve"> § 21-8-607 (2020).</w:t>
      </w:r>
    </w:p>
  </w:footnote>
  <w:footnote w:id="42">
    <w:p w14:paraId="03D6ECB9" w14:textId="1692CF45" w:rsidR="008439CC" w:rsidRPr="00516523" w:rsidRDefault="008439CC">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NY Legis L § 1-K (2022)</w:t>
      </w:r>
    </w:p>
  </w:footnote>
  <w:footnote w:id="43">
    <w:p w14:paraId="1F78F86E" w14:textId="38CAD940" w:rsidR="004B3F13" w:rsidRPr="00516523" w:rsidRDefault="004B3F13">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102B9B" w:rsidRPr="00516523">
        <w:rPr>
          <w:rFonts w:ascii="Times New Roman" w:hAnsi="Times New Roman" w:cs="Times New Roman"/>
        </w:rPr>
        <w:t>MD</w:t>
      </w:r>
      <w:r w:rsidR="003E6516" w:rsidRPr="00516523">
        <w:rPr>
          <w:rFonts w:ascii="Times New Roman" w:hAnsi="Times New Roman" w:cs="Times New Roman"/>
        </w:rPr>
        <w:t>.</w:t>
      </w:r>
      <w:r w:rsidR="00102B9B" w:rsidRPr="00516523">
        <w:rPr>
          <w:rFonts w:ascii="Times New Roman" w:hAnsi="Times New Roman" w:cs="Times New Roman"/>
        </w:rPr>
        <w:t xml:space="preserve"> State Finance and Procurement Code § 13-223 (2014)</w:t>
      </w:r>
      <w:r w:rsidR="00081BA6" w:rsidRPr="00516523">
        <w:rPr>
          <w:rFonts w:ascii="Times New Roman" w:hAnsi="Times New Roman" w:cs="Times New Roman"/>
        </w:rPr>
        <w:t>.</w:t>
      </w:r>
    </w:p>
  </w:footnote>
  <w:footnote w:id="44">
    <w:p w14:paraId="2B73615D" w14:textId="3C5A8EE9" w:rsidR="00CF4D36" w:rsidRPr="00516523" w:rsidRDefault="00CF4D36" w:rsidP="00EF59C5">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3E6516" w:rsidRPr="00516523">
        <w:rPr>
          <w:rFonts w:ascii="Times New Roman" w:hAnsi="Times New Roman" w:cs="Times New Roman"/>
        </w:rPr>
        <w:t>D.C. Code</w:t>
      </w:r>
      <w:r w:rsidR="00EF59C5" w:rsidRPr="00516523">
        <w:rPr>
          <w:rFonts w:ascii="Times New Roman" w:hAnsi="Times New Roman" w:cs="Times New Roman"/>
        </w:rPr>
        <w:t xml:space="preserve"> § 2–354.16. </w:t>
      </w:r>
    </w:p>
  </w:footnote>
  <w:footnote w:id="45">
    <w:p w14:paraId="5EEE0AF1" w14:textId="5C8AA163" w:rsidR="0068473D" w:rsidRPr="00516523" w:rsidRDefault="0068473D">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003E6516" w:rsidRPr="00516523">
        <w:rPr>
          <w:rFonts w:ascii="Times New Roman" w:hAnsi="Times New Roman" w:cs="Times New Roman"/>
          <w:smallCaps/>
        </w:rPr>
        <w:t>Conway</w:t>
      </w:r>
      <w:r w:rsidR="003E6516" w:rsidRPr="00516523">
        <w:rPr>
          <w:rFonts w:ascii="Times New Roman" w:hAnsi="Times New Roman" w:cs="Times New Roman"/>
        </w:rPr>
        <w:t xml:space="preserve">, </w:t>
      </w:r>
      <w:r w:rsidR="003E6516" w:rsidRPr="00516523">
        <w:rPr>
          <w:rFonts w:ascii="Times New Roman" w:hAnsi="Times New Roman" w:cs="Times New Roman"/>
          <w:i/>
          <w:iCs/>
        </w:rPr>
        <w:t xml:space="preserve">supra </w:t>
      </w:r>
      <w:r w:rsidR="003E6516" w:rsidRPr="00516523">
        <w:rPr>
          <w:rFonts w:ascii="Times New Roman" w:hAnsi="Times New Roman" w:cs="Times New Roman"/>
        </w:rPr>
        <w:t xml:space="preserve">note </w:t>
      </w:r>
      <w:r w:rsidR="003E6516" w:rsidRPr="00516523">
        <w:rPr>
          <w:rFonts w:ascii="Times New Roman" w:hAnsi="Times New Roman" w:cs="Times New Roman"/>
        </w:rPr>
        <w:fldChar w:fldCharType="begin"/>
      </w:r>
      <w:r w:rsidR="003E6516" w:rsidRPr="00516523">
        <w:rPr>
          <w:rFonts w:ascii="Times New Roman" w:hAnsi="Times New Roman" w:cs="Times New Roman"/>
        </w:rPr>
        <w:instrText xml:space="preserve"> NOTEREF _Ref153477717 \h </w:instrText>
      </w:r>
      <w:r w:rsidR="003E6516" w:rsidRPr="00516523">
        <w:rPr>
          <w:rFonts w:ascii="Times New Roman" w:hAnsi="Times New Roman" w:cs="Times New Roman"/>
        </w:rPr>
      </w:r>
      <w:r w:rsidR="00516523">
        <w:rPr>
          <w:rFonts w:ascii="Times New Roman" w:hAnsi="Times New Roman" w:cs="Times New Roman"/>
        </w:rPr>
        <w:instrText xml:space="preserve"> \* MERGEFORMAT </w:instrText>
      </w:r>
      <w:r w:rsidR="003E6516" w:rsidRPr="00516523">
        <w:rPr>
          <w:rFonts w:ascii="Times New Roman" w:hAnsi="Times New Roman" w:cs="Times New Roman"/>
        </w:rPr>
        <w:fldChar w:fldCharType="separate"/>
      </w:r>
      <w:r w:rsidR="003E6516" w:rsidRPr="00516523">
        <w:rPr>
          <w:rFonts w:ascii="Times New Roman" w:hAnsi="Times New Roman" w:cs="Times New Roman"/>
        </w:rPr>
        <w:t>37</w:t>
      </w:r>
      <w:r w:rsidR="003E6516" w:rsidRPr="00516523">
        <w:rPr>
          <w:rFonts w:ascii="Times New Roman" w:hAnsi="Times New Roman" w:cs="Times New Roman"/>
        </w:rPr>
        <w:fldChar w:fldCharType="end"/>
      </w:r>
      <w:r w:rsidR="003E6516" w:rsidRPr="00516523">
        <w:rPr>
          <w:rFonts w:ascii="Times New Roman" w:hAnsi="Times New Roman" w:cs="Times New Roman"/>
        </w:rPr>
        <w:t>, at</w:t>
      </w:r>
      <w:r w:rsidRPr="00516523">
        <w:rPr>
          <w:rFonts w:ascii="Times New Roman" w:hAnsi="Times New Roman" w:cs="Times New Roman"/>
        </w:rPr>
        <w:t xml:space="preserve"> *265; M</w:t>
      </w:r>
      <w:r w:rsidR="003E6516" w:rsidRPr="00516523">
        <w:rPr>
          <w:rFonts w:ascii="Times New Roman" w:hAnsi="Times New Roman" w:cs="Times New Roman"/>
        </w:rPr>
        <w:t>T. Code</w:t>
      </w:r>
      <w:r w:rsidRPr="00516523">
        <w:rPr>
          <w:rFonts w:ascii="Times New Roman" w:hAnsi="Times New Roman" w:cs="Times New Roman"/>
        </w:rPr>
        <w:t xml:space="preserve"> § 5-7-209</w:t>
      </w:r>
      <w:r w:rsidR="003E6516" w:rsidRPr="00516523">
        <w:rPr>
          <w:rFonts w:ascii="Times New Roman" w:hAnsi="Times New Roman" w:cs="Times New Roman"/>
        </w:rPr>
        <w:t>.</w:t>
      </w:r>
    </w:p>
  </w:footnote>
  <w:footnote w:id="46">
    <w:p w14:paraId="2F189B0D" w14:textId="00C3FAD7" w:rsidR="00F3304B" w:rsidRPr="00516523" w:rsidRDefault="00F3304B">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48 C.F.R. </w:t>
      </w:r>
      <w:r w:rsidRPr="00516523">
        <w:rPr>
          <w:rFonts w:ascii="Times New Roman" w:hAnsi="Times New Roman" w:cs="Times New Roman"/>
        </w:rPr>
        <w:t>§</w:t>
      </w:r>
      <w:r w:rsidRPr="00516523">
        <w:rPr>
          <w:rFonts w:ascii="Times New Roman" w:hAnsi="Times New Roman" w:cs="Times New Roman"/>
        </w:rPr>
        <w:t xml:space="preserve"> 3.402(b).</w:t>
      </w:r>
    </w:p>
  </w:footnote>
  <w:footnote w:id="47">
    <w:p w14:paraId="4139DF1B" w14:textId="2318A83E" w:rsidR="00F3304B" w:rsidRPr="00516523" w:rsidRDefault="00F3304B">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48 C.F.R. </w:t>
      </w:r>
      <w:r w:rsidRPr="00516523">
        <w:rPr>
          <w:rFonts w:ascii="Times New Roman" w:hAnsi="Times New Roman" w:cs="Times New Roman"/>
        </w:rPr>
        <w:t>§</w:t>
      </w:r>
      <w:r w:rsidRPr="00516523">
        <w:rPr>
          <w:rFonts w:ascii="Times New Roman" w:hAnsi="Times New Roman" w:cs="Times New Roman"/>
        </w:rPr>
        <w:t xml:space="preserve"> 3.401</w:t>
      </w:r>
    </w:p>
  </w:footnote>
  <w:footnote w:id="48">
    <w:p w14:paraId="72973F80" w14:textId="4D5E4DB2" w:rsidR="00D86EE0" w:rsidRPr="00516523" w:rsidRDefault="00D86EE0">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 xml:space="preserve">Barron, </w:t>
      </w:r>
      <w:r w:rsidRPr="00516523">
        <w:rPr>
          <w:rFonts w:ascii="Times New Roman" w:hAnsi="Times New Roman" w:cs="Times New Roman"/>
          <w:i/>
          <w:iCs/>
        </w:rPr>
        <w:t xml:space="preserve">supra </w:t>
      </w:r>
      <w:r w:rsidRPr="00516523">
        <w:rPr>
          <w:rFonts w:ascii="Times New Roman" w:hAnsi="Times New Roman" w:cs="Times New Roman"/>
        </w:rPr>
        <w:t xml:space="preserve">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_Ref153459102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28</w:t>
      </w:r>
      <w:r w:rsidRPr="00516523">
        <w:rPr>
          <w:rFonts w:ascii="Times New Roman" w:hAnsi="Times New Roman" w:cs="Times New Roman"/>
        </w:rPr>
        <w:fldChar w:fldCharType="end"/>
      </w:r>
      <w:r w:rsidRPr="00516523">
        <w:rPr>
          <w:rFonts w:ascii="Times New Roman" w:hAnsi="Times New Roman" w:cs="Times New Roman"/>
        </w:rPr>
        <w:t>, at 141</w:t>
      </w:r>
      <w:r w:rsidR="003E3B61" w:rsidRPr="00516523">
        <w:rPr>
          <w:rFonts w:ascii="Times New Roman" w:hAnsi="Times New Roman" w:cs="Times New Roman"/>
        </w:rPr>
        <w:t>-44</w:t>
      </w:r>
      <w:r w:rsidRPr="00516523">
        <w:rPr>
          <w:rFonts w:ascii="Times New Roman" w:hAnsi="Times New Roman" w:cs="Times New Roman"/>
        </w:rPr>
        <w:t>.</w:t>
      </w:r>
    </w:p>
  </w:footnote>
  <w:footnote w:id="49">
    <w:p w14:paraId="73E4DD9C" w14:textId="35D793BC" w:rsidR="003E3B61" w:rsidRPr="00516523" w:rsidRDefault="003E3B61">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 xml:space="preserve">Swan, </w:t>
      </w:r>
      <w:r w:rsidRPr="00516523">
        <w:rPr>
          <w:rFonts w:ascii="Times New Roman" w:hAnsi="Times New Roman" w:cs="Times New Roman"/>
          <w:i/>
          <w:iCs/>
        </w:rPr>
        <w:t>supra</w:t>
      </w:r>
      <w:r w:rsidRPr="00516523">
        <w:rPr>
          <w:rFonts w:ascii="Times New Roman" w:hAnsi="Times New Roman" w:cs="Times New Roman"/>
        </w:rPr>
        <w:t xml:space="preserve"> 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_Ref153474203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30</w:t>
      </w:r>
      <w:r w:rsidRPr="00516523">
        <w:rPr>
          <w:rFonts w:ascii="Times New Roman" w:hAnsi="Times New Roman" w:cs="Times New Roman"/>
        </w:rPr>
        <w:fldChar w:fldCharType="end"/>
      </w:r>
      <w:r w:rsidRPr="00516523">
        <w:rPr>
          <w:rFonts w:ascii="Times New Roman" w:hAnsi="Times New Roman" w:cs="Times New Roman"/>
        </w:rPr>
        <w:t xml:space="preserve">, at 4.  The 5-Percenter referred to the typical contingent fee rate of five percent of the contract </w:t>
      </w:r>
      <w:proofErr w:type="gramStart"/>
      <w:r w:rsidRPr="00516523">
        <w:rPr>
          <w:rFonts w:ascii="Times New Roman" w:hAnsi="Times New Roman" w:cs="Times New Roman"/>
        </w:rPr>
        <w:t>value, if</w:t>
      </w:r>
      <w:proofErr w:type="gramEnd"/>
      <w:r w:rsidRPr="00516523">
        <w:rPr>
          <w:rFonts w:ascii="Times New Roman" w:hAnsi="Times New Roman" w:cs="Times New Roman"/>
        </w:rPr>
        <w:t xml:space="preserve"> the solicitation proved successful.</w:t>
      </w:r>
    </w:p>
  </w:footnote>
  <w:footnote w:id="50">
    <w:p w14:paraId="61B27174" w14:textId="0F6D8B8C" w:rsidR="00A42F9A" w:rsidRPr="00516523" w:rsidRDefault="00A42F9A">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008C5D9C" w:rsidRPr="00516523">
        <w:rPr>
          <w:rFonts w:ascii="Times New Roman" w:hAnsi="Times New Roman" w:cs="Times New Roman"/>
          <w:i/>
          <w:iCs/>
        </w:rPr>
        <w:t xml:space="preserve"> </w:t>
      </w:r>
      <w:r w:rsidR="008C5D9C" w:rsidRPr="00516523">
        <w:rPr>
          <w:rFonts w:ascii="Times New Roman" w:hAnsi="Times New Roman" w:cs="Times New Roman"/>
        </w:rPr>
        <w:t>(emphasis added</w:t>
      </w:r>
      <w:proofErr w:type="gramStart"/>
      <w:r w:rsidR="008C5D9C" w:rsidRPr="00516523">
        <w:rPr>
          <w:rFonts w:ascii="Times New Roman" w:hAnsi="Times New Roman" w:cs="Times New Roman"/>
        </w:rPr>
        <w:t>);</w:t>
      </w:r>
      <w:proofErr w:type="gramEnd"/>
      <w:r w:rsidRPr="00516523">
        <w:rPr>
          <w:rFonts w:ascii="Times New Roman" w:hAnsi="Times New Roman" w:cs="Times New Roman"/>
        </w:rPr>
        <w:t xml:space="preserve"> referencing 48 C.F.R. </w:t>
      </w:r>
      <w:r w:rsidRPr="00516523">
        <w:rPr>
          <w:rFonts w:ascii="Times New Roman" w:hAnsi="Times New Roman" w:cs="Times New Roman"/>
        </w:rPr>
        <w:t>§</w:t>
      </w:r>
      <w:r w:rsidRPr="00516523">
        <w:rPr>
          <w:rFonts w:ascii="Times New Roman" w:hAnsi="Times New Roman" w:cs="Times New Roman"/>
        </w:rPr>
        <w:t xml:space="preserve"> 3.408-2(c) (1995).  This FAR provision was removed in 1996.</w:t>
      </w:r>
    </w:p>
  </w:footnote>
  <w:footnote w:id="51">
    <w:p w14:paraId="25C0547C" w14:textId="2A4B669E" w:rsidR="0005661C" w:rsidRPr="00516523" w:rsidRDefault="0005661C">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 xml:space="preserve">Swan, </w:t>
      </w:r>
      <w:r w:rsidRPr="00516523">
        <w:rPr>
          <w:rFonts w:ascii="Times New Roman" w:hAnsi="Times New Roman" w:cs="Times New Roman"/>
          <w:i/>
          <w:iCs/>
        </w:rPr>
        <w:t>supra</w:t>
      </w:r>
      <w:r w:rsidRPr="00516523">
        <w:rPr>
          <w:rFonts w:ascii="Times New Roman" w:hAnsi="Times New Roman" w:cs="Times New Roman"/>
        </w:rPr>
        <w:t xml:space="preserve"> 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_Ref153474203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30</w:t>
      </w:r>
      <w:r w:rsidRPr="00516523">
        <w:rPr>
          <w:rFonts w:ascii="Times New Roman" w:hAnsi="Times New Roman" w:cs="Times New Roman"/>
        </w:rPr>
        <w:fldChar w:fldCharType="end"/>
      </w:r>
      <w:r w:rsidRPr="00516523">
        <w:rPr>
          <w:rFonts w:ascii="Times New Roman" w:hAnsi="Times New Roman" w:cs="Times New Roman"/>
        </w:rPr>
        <w:t>, at 4.</w:t>
      </w:r>
    </w:p>
  </w:footnote>
  <w:footnote w:id="52">
    <w:p w14:paraId="40E8666D" w14:textId="29AC94A4" w:rsidR="008C5D9C" w:rsidRPr="00516523" w:rsidRDefault="008C5D9C">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Susman, </w:t>
      </w:r>
      <w:r w:rsidRPr="00516523">
        <w:rPr>
          <w:rFonts w:ascii="Times New Roman" w:hAnsi="Times New Roman" w:cs="Times New Roman"/>
          <w:i/>
          <w:iCs/>
        </w:rPr>
        <w:t xml:space="preserve">supra </w:t>
      </w:r>
      <w:r w:rsidRPr="00516523">
        <w:rPr>
          <w:rFonts w:ascii="Times New Roman" w:hAnsi="Times New Roman" w:cs="Times New Roman"/>
        </w:rPr>
        <w:t xml:space="preserve">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_Ref153475807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24</w:t>
      </w:r>
      <w:r w:rsidRPr="00516523">
        <w:rPr>
          <w:rFonts w:ascii="Times New Roman" w:hAnsi="Times New Roman" w:cs="Times New Roman"/>
        </w:rPr>
        <w:fldChar w:fldCharType="end"/>
      </w:r>
      <w:r w:rsidRPr="00516523">
        <w:rPr>
          <w:rFonts w:ascii="Times New Roman" w:hAnsi="Times New Roman" w:cs="Times New Roman"/>
        </w:rPr>
        <w:t>, at 327.</w:t>
      </w:r>
    </w:p>
  </w:footnote>
  <w:footnote w:id="53">
    <w:p w14:paraId="3ACC78F7" w14:textId="5CCF17DD" w:rsidR="0001549A" w:rsidRPr="00516523" w:rsidRDefault="0001549A">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See </w:t>
      </w:r>
      <w:r w:rsidRPr="00516523">
        <w:rPr>
          <w:rFonts w:ascii="Times New Roman" w:hAnsi="Times New Roman" w:cs="Times New Roman"/>
        </w:rPr>
        <w:t xml:space="preserve">Swan, </w:t>
      </w:r>
      <w:r w:rsidRPr="00516523">
        <w:rPr>
          <w:rFonts w:ascii="Times New Roman" w:hAnsi="Times New Roman" w:cs="Times New Roman"/>
          <w:i/>
          <w:iCs/>
        </w:rPr>
        <w:t>supra</w:t>
      </w:r>
      <w:r w:rsidRPr="00516523">
        <w:rPr>
          <w:rFonts w:ascii="Times New Roman" w:hAnsi="Times New Roman" w:cs="Times New Roman"/>
        </w:rPr>
        <w:t xml:space="preserve"> 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_Ref153474203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30</w:t>
      </w:r>
      <w:r w:rsidRPr="00516523">
        <w:rPr>
          <w:rFonts w:ascii="Times New Roman" w:hAnsi="Times New Roman" w:cs="Times New Roman"/>
        </w:rPr>
        <w:fldChar w:fldCharType="end"/>
      </w:r>
      <w:r w:rsidRPr="00516523">
        <w:rPr>
          <w:rFonts w:ascii="Times New Roman" w:hAnsi="Times New Roman" w:cs="Times New Roman"/>
        </w:rPr>
        <w:t>, at 4.</w:t>
      </w:r>
    </w:p>
  </w:footnote>
  <w:footnote w:id="54">
    <w:p w14:paraId="0AAC0F20" w14:textId="1ED82D48" w:rsidR="00BD0D50" w:rsidRPr="00516523" w:rsidRDefault="00BD0D50">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xml:space="preserve">, at 5; 48 C.F.R. </w:t>
      </w:r>
      <w:r w:rsidRPr="00516523">
        <w:rPr>
          <w:rFonts w:ascii="Times New Roman" w:hAnsi="Times New Roman" w:cs="Times New Roman"/>
        </w:rPr>
        <w:t>§</w:t>
      </w:r>
      <w:r w:rsidRPr="00516523">
        <w:rPr>
          <w:rFonts w:ascii="Times New Roman" w:hAnsi="Times New Roman" w:cs="Times New Roman"/>
        </w:rPr>
        <w:t xml:space="preserve"> 3.408-1 (1995).</w:t>
      </w:r>
    </w:p>
  </w:footnote>
  <w:footnote w:id="55">
    <w:p w14:paraId="7014F58D" w14:textId="0FD373A5" w:rsidR="00BD0D50" w:rsidRPr="00516523" w:rsidRDefault="00BD0D50">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 xml:space="preserve"> </w:t>
      </w:r>
      <w:r w:rsidRPr="00516523">
        <w:rPr>
          <w:rFonts w:ascii="Times New Roman" w:hAnsi="Times New Roman" w:cs="Times New Roman"/>
        </w:rPr>
        <w:t xml:space="preserve">Swan, </w:t>
      </w:r>
      <w:r w:rsidRPr="00516523">
        <w:rPr>
          <w:rFonts w:ascii="Times New Roman" w:hAnsi="Times New Roman" w:cs="Times New Roman"/>
          <w:i/>
          <w:iCs/>
        </w:rPr>
        <w:t>supra</w:t>
      </w:r>
      <w:r w:rsidRPr="00516523">
        <w:rPr>
          <w:rFonts w:ascii="Times New Roman" w:hAnsi="Times New Roman" w:cs="Times New Roman"/>
        </w:rPr>
        <w:t xml:space="preserve"> 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_Ref153474203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30</w:t>
      </w:r>
      <w:r w:rsidRPr="00516523">
        <w:rPr>
          <w:rFonts w:ascii="Times New Roman" w:hAnsi="Times New Roman" w:cs="Times New Roman"/>
        </w:rPr>
        <w:fldChar w:fldCharType="end"/>
      </w:r>
      <w:r w:rsidRPr="00516523">
        <w:rPr>
          <w:rFonts w:ascii="Times New Roman" w:hAnsi="Times New Roman" w:cs="Times New Roman"/>
        </w:rPr>
        <w:t>, at</w:t>
      </w:r>
      <w:r w:rsidRPr="00516523">
        <w:rPr>
          <w:rFonts w:ascii="Times New Roman" w:hAnsi="Times New Roman" w:cs="Times New Roman"/>
        </w:rPr>
        <w:t xml:space="preserve"> 5.</w:t>
      </w:r>
    </w:p>
  </w:footnote>
  <w:footnote w:id="56">
    <w:p w14:paraId="22EEE6C3" w14:textId="7F07FC23" w:rsidR="00BD0D50" w:rsidRPr="00516523" w:rsidRDefault="00BD0D50">
      <w:pPr>
        <w:pStyle w:val="FootnoteText"/>
        <w:rPr>
          <w:rFonts w:ascii="Times New Roman" w:hAnsi="Times New Roman" w:cs="Times New Roman"/>
          <w:i/>
          <w:iCs/>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p>
  </w:footnote>
  <w:footnote w:id="57">
    <w:p w14:paraId="492840AA" w14:textId="55729C8B" w:rsidR="00BD0D50" w:rsidRPr="00516523" w:rsidRDefault="00BD0D50">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at 6.</w:t>
      </w:r>
    </w:p>
  </w:footnote>
  <w:footnote w:id="58">
    <w:p w14:paraId="59068E3D" w14:textId="6E4145C6" w:rsidR="00C431D4" w:rsidRPr="00516523" w:rsidRDefault="00C431D4">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Providence Tool</w:t>
      </w:r>
      <w:r w:rsidRPr="00516523">
        <w:rPr>
          <w:rFonts w:ascii="Times New Roman" w:hAnsi="Times New Roman" w:cs="Times New Roman"/>
        </w:rPr>
        <w:t>, 68 U.S. at 54.</w:t>
      </w:r>
    </w:p>
  </w:footnote>
  <w:footnote w:id="59">
    <w:p w14:paraId="6199FBBD" w14:textId="3E084C2B" w:rsidR="00C431D4" w:rsidRPr="00516523" w:rsidRDefault="00C431D4">
      <w:pPr>
        <w:pStyle w:val="FootnoteText"/>
        <w:rPr>
          <w:rFonts w:ascii="Times New Roman" w:hAnsi="Times New Roman" w:cs="Times New Roman"/>
        </w:rPr>
      </w:pPr>
      <w:r w:rsidRPr="00516523">
        <w:rPr>
          <w:rStyle w:val="FootnoteReference"/>
          <w:rFonts w:ascii="Times New Roman" w:hAnsi="Times New Roman" w:cs="Times New Roman"/>
        </w:rPr>
        <w:footnoteRef/>
      </w:r>
      <w:r w:rsidRPr="00516523">
        <w:rPr>
          <w:rFonts w:ascii="Times New Roman" w:hAnsi="Times New Roman" w:cs="Times New Roman"/>
        </w:rPr>
        <w:t xml:space="preserve"> Susman, </w:t>
      </w:r>
      <w:r w:rsidRPr="00516523">
        <w:rPr>
          <w:rFonts w:ascii="Times New Roman" w:hAnsi="Times New Roman" w:cs="Times New Roman"/>
          <w:i/>
          <w:iCs/>
        </w:rPr>
        <w:t xml:space="preserve">supra </w:t>
      </w:r>
      <w:r w:rsidRPr="00516523">
        <w:rPr>
          <w:rFonts w:ascii="Times New Roman" w:hAnsi="Times New Roman" w:cs="Times New Roman"/>
        </w:rPr>
        <w:t xml:space="preserve">note </w:t>
      </w:r>
      <w:r w:rsidRPr="00516523">
        <w:rPr>
          <w:rFonts w:ascii="Times New Roman" w:hAnsi="Times New Roman" w:cs="Times New Roman"/>
        </w:rPr>
        <w:fldChar w:fldCharType="begin"/>
      </w:r>
      <w:r w:rsidRPr="00516523">
        <w:rPr>
          <w:rFonts w:ascii="Times New Roman" w:hAnsi="Times New Roman" w:cs="Times New Roman"/>
        </w:rPr>
        <w:instrText xml:space="preserve"> NOTEREF _Ref153475807 \h </w:instrText>
      </w:r>
      <w:r w:rsidRPr="00516523">
        <w:rPr>
          <w:rFonts w:ascii="Times New Roman" w:hAnsi="Times New Roman" w:cs="Times New Roman"/>
        </w:rPr>
      </w:r>
      <w:r w:rsidR="00516523">
        <w:rPr>
          <w:rFonts w:ascii="Times New Roman" w:hAnsi="Times New Roman" w:cs="Times New Roman"/>
        </w:rPr>
        <w:instrText xml:space="preserve"> \* MERGEFORMAT </w:instrText>
      </w:r>
      <w:r w:rsidRPr="00516523">
        <w:rPr>
          <w:rFonts w:ascii="Times New Roman" w:hAnsi="Times New Roman" w:cs="Times New Roman"/>
        </w:rPr>
        <w:fldChar w:fldCharType="separate"/>
      </w:r>
      <w:r w:rsidRPr="00516523">
        <w:rPr>
          <w:rFonts w:ascii="Times New Roman" w:hAnsi="Times New Roman" w:cs="Times New Roman"/>
        </w:rPr>
        <w:t>24</w:t>
      </w:r>
      <w:r w:rsidRPr="00516523">
        <w:rPr>
          <w:rFonts w:ascii="Times New Roman" w:hAnsi="Times New Roman" w:cs="Times New Roman"/>
        </w:rPr>
        <w:fldChar w:fldCharType="end"/>
      </w:r>
      <w:r w:rsidRPr="00516523">
        <w:rPr>
          <w:rFonts w:ascii="Times New Roman" w:hAnsi="Times New Roman" w:cs="Times New Roman"/>
        </w:rPr>
        <w:t>, at 320-21.</w:t>
      </w:r>
    </w:p>
  </w:footnote>
  <w:footnote w:id="60">
    <w:p w14:paraId="25142546" w14:textId="2F1F8AA6" w:rsidR="007F1F46" w:rsidRPr="007F1F46" w:rsidRDefault="007F1F46">
      <w:pPr>
        <w:pStyle w:val="FootnoteText"/>
      </w:pPr>
      <w:r w:rsidRPr="00516523">
        <w:rPr>
          <w:rStyle w:val="FootnoteReference"/>
          <w:rFonts w:ascii="Times New Roman" w:hAnsi="Times New Roman" w:cs="Times New Roman"/>
        </w:rPr>
        <w:footnoteRef/>
      </w:r>
      <w:r w:rsidRPr="00516523">
        <w:rPr>
          <w:rFonts w:ascii="Times New Roman" w:hAnsi="Times New Roman" w:cs="Times New Roman"/>
        </w:rPr>
        <w:t xml:space="preserve"> </w:t>
      </w:r>
      <w:r w:rsidRPr="00516523">
        <w:rPr>
          <w:rFonts w:ascii="Times New Roman" w:hAnsi="Times New Roman" w:cs="Times New Roman"/>
          <w:i/>
          <w:iCs/>
        </w:rPr>
        <w:t>Id.</w:t>
      </w:r>
      <w:r w:rsidRPr="00516523">
        <w:rPr>
          <w:rFonts w:ascii="Times New Roman" w:hAnsi="Times New Roman" w:cs="Times New Roman"/>
        </w:rPr>
        <w:t xml:space="preserve">, at </w:t>
      </w:r>
      <w:r w:rsidR="00D86FF9" w:rsidRPr="00516523">
        <w:rPr>
          <w:rFonts w:ascii="Times New Roman" w:hAnsi="Times New Roman" w:cs="Times New Roman"/>
        </w:rPr>
        <w:t>332-40.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23030"/>
    <w:multiLevelType w:val="hybridMultilevel"/>
    <w:tmpl w:val="AEAA2F06"/>
    <w:lvl w:ilvl="0" w:tplc="F9D62652">
      <w:start w:val="1"/>
      <w:numFmt w:val="upperRoman"/>
      <w:pStyle w:val="Heading1"/>
      <w:lvlText w:val="%1."/>
      <w:lvlJc w:val="left"/>
      <w:pPr>
        <w:ind w:left="1080" w:hanging="720"/>
      </w:pPr>
      <w:rPr>
        <w:rFonts w:hint="default"/>
      </w:rPr>
    </w:lvl>
    <w:lvl w:ilvl="1" w:tplc="6FFC799C">
      <w:start w:val="1"/>
      <w:numFmt w:val="lowerLetter"/>
      <w:pStyle w:val="Heading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DF0934"/>
    <w:multiLevelType w:val="hybridMultilevel"/>
    <w:tmpl w:val="7BA0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B70511"/>
    <w:multiLevelType w:val="hybridMultilevel"/>
    <w:tmpl w:val="10F25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716086">
    <w:abstractNumId w:val="1"/>
  </w:num>
  <w:num w:numId="2" w16cid:durableId="593830823">
    <w:abstractNumId w:val="0"/>
  </w:num>
  <w:num w:numId="3" w16cid:durableId="674067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903B3"/>
    <w:rsid w:val="00005E66"/>
    <w:rsid w:val="0001549A"/>
    <w:rsid w:val="00017E70"/>
    <w:rsid w:val="00026CF6"/>
    <w:rsid w:val="00033CB0"/>
    <w:rsid w:val="00037A64"/>
    <w:rsid w:val="00041966"/>
    <w:rsid w:val="00042187"/>
    <w:rsid w:val="0005413B"/>
    <w:rsid w:val="0005443A"/>
    <w:rsid w:val="0005661C"/>
    <w:rsid w:val="00057E16"/>
    <w:rsid w:val="00063360"/>
    <w:rsid w:val="0006361E"/>
    <w:rsid w:val="00065464"/>
    <w:rsid w:val="00071DA2"/>
    <w:rsid w:val="00081BA6"/>
    <w:rsid w:val="000845E6"/>
    <w:rsid w:val="0008643A"/>
    <w:rsid w:val="000903DF"/>
    <w:rsid w:val="000926B7"/>
    <w:rsid w:val="00092CEF"/>
    <w:rsid w:val="000957DD"/>
    <w:rsid w:val="00096911"/>
    <w:rsid w:val="00097401"/>
    <w:rsid w:val="000A0010"/>
    <w:rsid w:val="000A01AB"/>
    <w:rsid w:val="000A150A"/>
    <w:rsid w:val="000A67F3"/>
    <w:rsid w:val="000A70A0"/>
    <w:rsid w:val="000B5D71"/>
    <w:rsid w:val="000B5E3A"/>
    <w:rsid w:val="000B615C"/>
    <w:rsid w:val="000C1D41"/>
    <w:rsid w:val="000C3D86"/>
    <w:rsid w:val="000C6AB2"/>
    <w:rsid w:val="000C6D28"/>
    <w:rsid w:val="000D0162"/>
    <w:rsid w:val="000D0453"/>
    <w:rsid w:val="000D1A6B"/>
    <w:rsid w:val="000D3A1C"/>
    <w:rsid w:val="000D6392"/>
    <w:rsid w:val="000E3210"/>
    <w:rsid w:val="000F5A7D"/>
    <w:rsid w:val="000F706F"/>
    <w:rsid w:val="00100B20"/>
    <w:rsid w:val="00101469"/>
    <w:rsid w:val="00102B9B"/>
    <w:rsid w:val="00107966"/>
    <w:rsid w:val="00113C06"/>
    <w:rsid w:val="0011439A"/>
    <w:rsid w:val="00121720"/>
    <w:rsid w:val="00125D05"/>
    <w:rsid w:val="00130939"/>
    <w:rsid w:val="00132C3C"/>
    <w:rsid w:val="0014069B"/>
    <w:rsid w:val="001517A8"/>
    <w:rsid w:val="001519AF"/>
    <w:rsid w:val="00152377"/>
    <w:rsid w:val="00161B5E"/>
    <w:rsid w:val="00161BDF"/>
    <w:rsid w:val="00161F27"/>
    <w:rsid w:val="00170314"/>
    <w:rsid w:val="00177D2F"/>
    <w:rsid w:val="00182477"/>
    <w:rsid w:val="001843D0"/>
    <w:rsid w:val="00185B5D"/>
    <w:rsid w:val="00186C44"/>
    <w:rsid w:val="0019028C"/>
    <w:rsid w:val="00191432"/>
    <w:rsid w:val="00191FE6"/>
    <w:rsid w:val="00193A9B"/>
    <w:rsid w:val="001A4C30"/>
    <w:rsid w:val="001A4EBC"/>
    <w:rsid w:val="001A4F84"/>
    <w:rsid w:val="001B2625"/>
    <w:rsid w:val="001B4A61"/>
    <w:rsid w:val="001C7460"/>
    <w:rsid w:val="001D1C22"/>
    <w:rsid w:val="001D2E36"/>
    <w:rsid w:val="001D33AA"/>
    <w:rsid w:val="001D3EB6"/>
    <w:rsid w:val="001D5902"/>
    <w:rsid w:val="001E185D"/>
    <w:rsid w:val="001E2DDE"/>
    <w:rsid w:val="001E7340"/>
    <w:rsid w:val="001F2BD1"/>
    <w:rsid w:val="001F2D9B"/>
    <w:rsid w:val="001F5944"/>
    <w:rsid w:val="00225C45"/>
    <w:rsid w:val="00226CBF"/>
    <w:rsid w:val="00231264"/>
    <w:rsid w:val="00234299"/>
    <w:rsid w:val="00241B0F"/>
    <w:rsid w:val="00244CB6"/>
    <w:rsid w:val="002505DB"/>
    <w:rsid w:val="002518E2"/>
    <w:rsid w:val="002533D8"/>
    <w:rsid w:val="00255CE0"/>
    <w:rsid w:val="00264471"/>
    <w:rsid w:val="00264C4D"/>
    <w:rsid w:val="00280E7F"/>
    <w:rsid w:val="002831DD"/>
    <w:rsid w:val="0028445E"/>
    <w:rsid w:val="00286E6B"/>
    <w:rsid w:val="002903B3"/>
    <w:rsid w:val="002908FF"/>
    <w:rsid w:val="00291EB3"/>
    <w:rsid w:val="002936A7"/>
    <w:rsid w:val="00294B20"/>
    <w:rsid w:val="002A21F6"/>
    <w:rsid w:val="002A5F46"/>
    <w:rsid w:val="002A7910"/>
    <w:rsid w:val="002B2D08"/>
    <w:rsid w:val="002B335A"/>
    <w:rsid w:val="002B4A51"/>
    <w:rsid w:val="002C3B4D"/>
    <w:rsid w:val="002C3C27"/>
    <w:rsid w:val="002C4F34"/>
    <w:rsid w:val="002D33A5"/>
    <w:rsid w:val="002D5D62"/>
    <w:rsid w:val="002D7A0D"/>
    <w:rsid w:val="002E0470"/>
    <w:rsid w:val="002F3D1F"/>
    <w:rsid w:val="002F607A"/>
    <w:rsid w:val="002F7F05"/>
    <w:rsid w:val="00300E5A"/>
    <w:rsid w:val="0030127F"/>
    <w:rsid w:val="00307E3E"/>
    <w:rsid w:val="00312E9A"/>
    <w:rsid w:val="003141A7"/>
    <w:rsid w:val="00314B96"/>
    <w:rsid w:val="00322BDC"/>
    <w:rsid w:val="00324176"/>
    <w:rsid w:val="003261F9"/>
    <w:rsid w:val="003322B4"/>
    <w:rsid w:val="003412A9"/>
    <w:rsid w:val="003428B0"/>
    <w:rsid w:val="00346D18"/>
    <w:rsid w:val="00350EC5"/>
    <w:rsid w:val="00361129"/>
    <w:rsid w:val="00365BF2"/>
    <w:rsid w:val="00365D2A"/>
    <w:rsid w:val="00366228"/>
    <w:rsid w:val="003725CC"/>
    <w:rsid w:val="0037392D"/>
    <w:rsid w:val="00374684"/>
    <w:rsid w:val="00380A0F"/>
    <w:rsid w:val="00380A5C"/>
    <w:rsid w:val="00380FC9"/>
    <w:rsid w:val="00384A89"/>
    <w:rsid w:val="00393F52"/>
    <w:rsid w:val="003959F3"/>
    <w:rsid w:val="003A1D1E"/>
    <w:rsid w:val="003A7927"/>
    <w:rsid w:val="003B0B57"/>
    <w:rsid w:val="003B4227"/>
    <w:rsid w:val="003B5A17"/>
    <w:rsid w:val="003B5CEF"/>
    <w:rsid w:val="003B6AD6"/>
    <w:rsid w:val="003C2252"/>
    <w:rsid w:val="003C389E"/>
    <w:rsid w:val="003C5C41"/>
    <w:rsid w:val="003C7C6A"/>
    <w:rsid w:val="003D0A94"/>
    <w:rsid w:val="003D0FD3"/>
    <w:rsid w:val="003D17F0"/>
    <w:rsid w:val="003D3B3A"/>
    <w:rsid w:val="003D5AE9"/>
    <w:rsid w:val="003E3B61"/>
    <w:rsid w:val="003E4E19"/>
    <w:rsid w:val="003E6516"/>
    <w:rsid w:val="003E6803"/>
    <w:rsid w:val="003E76B4"/>
    <w:rsid w:val="003F0B98"/>
    <w:rsid w:val="003F2479"/>
    <w:rsid w:val="004006D6"/>
    <w:rsid w:val="004028FA"/>
    <w:rsid w:val="00403D74"/>
    <w:rsid w:val="004050F8"/>
    <w:rsid w:val="00407134"/>
    <w:rsid w:val="00414F08"/>
    <w:rsid w:val="0042022C"/>
    <w:rsid w:val="00424709"/>
    <w:rsid w:val="004314FB"/>
    <w:rsid w:val="0044173E"/>
    <w:rsid w:val="00441BF2"/>
    <w:rsid w:val="0044205F"/>
    <w:rsid w:val="0044284C"/>
    <w:rsid w:val="0044601A"/>
    <w:rsid w:val="00446107"/>
    <w:rsid w:val="00446305"/>
    <w:rsid w:val="004517B3"/>
    <w:rsid w:val="00451A30"/>
    <w:rsid w:val="00460188"/>
    <w:rsid w:val="00461E1A"/>
    <w:rsid w:val="00481849"/>
    <w:rsid w:val="00491050"/>
    <w:rsid w:val="0049112E"/>
    <w:rsid w:val="00493EB5"/>
    <w:rsid w:val="004961A9"/>
    <w:rsid w:val="00497123"/>
    <w:rsid w:val="004A1379"/>
    <w:rsid w:val="004A52EB"/>
    <w:rsid w:val="004A5DFC"/>
    <w:rsid w:val="004A75E9"/>
    <w:rsid w:val="004B3F13"/>
    <w:rsid w:val="004C0C5D"/>
    <w:rsid w:val="004C6BCA"/>
    <w:rsid w:val="004D0DBC"/>
    <w:rsid w:val="004E4907"/>
    <w:rsid w:val="004E5C26"/>
    <w:rsid w:val="004E7609"/>
    <w:rsid w:val="004F6534"/>
    <w:rsid w:val="004F713F"/>
    <w:rsid w:val="0050668D"/>
    <w:rsid w:val="0051134E"/>
    <w:rsid w:val="00513189"/>
    <w:rsid w:val="005144F7"/>
    <w:rsid w:val="00516523"/>
    <w:rsid w:val="00520266"/>
    <w:rsid w:val="00526D6E"/>
    <w:rsid w:val="00530181"/>
    <w:rsid w:val="00531CB7"/>
    <w:rsid w:val="0053437B"/>
    <w:rsid w:val="0053474C"/>
    <w:rsid w:val="00540E4D"/>
    <w:rsid w:val="005451A7"/>
    <w:rsid w:val="005472BF"/>
    <w:rsid w:val="00554165"/>
    <w:rsid w:val="0055455D"/>
    <w:rsid w:val="00554CAE"/>
    <w:rsid w:val="00556CC4"/>
    <w:rsid w:val="00561BC3"/>
    <w:rsid w:val="00562503"/>
    <w:rsid w:val="00562656"/>
    <w:rsid w:val="00563253"/>
    <w:rsid w:val="0057308A"/>
    <w:rsid w:val="0058148B"/>
    <w:rsid w:val="00584565"/>
    <w:rsid w:val="00590A78"/>
    <w:rsid w:val="00593509"/>
    <w:rsid w:val="00594327"/>
    <w:rsid w:val="005A04C4"/>
    <w:rsid w:val="005A1CAA"/>
    <w:rsid w:val="005A1DBB"/>
    <w:rsid w:val="005A31DF"/>
    <w:rsid w:val="005A3F42"/>
    <w:rsid w:val="005A4B0C"/>
    <w:rsid w:val="005B1BE8"/>
    <w:rsid w:val="005B6F00"/>
    <w:rsid w:val="005C6751"/>
    <w:rsid w:val="005D03BC"/>
    <w:rsid w:val="005D1475"/>
    <w:rsid w:val="005D2BBD"/>
    <w:rsid w:val="005D3C3B"/>
    <w:rsid w:val="005E49A2"/>
    <w:rsid w:val="005F4449"/>
    <w:rsid w:val="005F48E7"/>
    <w:rsid w:val="0060287E"/>
    <w:rsid w:val="0060523E"/>
    <w:rsid w:val="00607443"/>
    <w:rsid w:val="006079EF"/>
    <w:rsid w:val="006108E4"/>
    <w:rsid w:val="00611744"/>
    <w:rsid w:val="00613CA9"/>
    <w:rsid w:val="00621EAE"/>
    <w:rsid w:val="00626F81"/>
    <w:rsid w:val="00627024"/>
    <w:rsid w:val="006310A0"/>
    <w:rsid w:val="00631596"/>
    <w:rsid w:val="006412E0"/>
    <w:rsid w:val="006473E4"/>
    <w:rsid w:val="00650A46"/>
    <w:rsid w:val="006548A9"/>
    <w:rsid w:val="00656346"/>
    <w:rsid w:val="00656646"/>
    <w:rsid w:val="00656AC6"/>
    <w:rsid w:val="0067422E"/>
    <w:rsid w:val="006769F1"/>
    <w:rsid w:val="00676E7D"/>
    <w:rsid w:val="00680E6C"/>
    <w:rsid w:val="0068473D"/>
    <w:rsid w:val="00691262"/>
    <w:rsid w:val="00692058"/>
    <w:rsid w:val="0069714B"/>
    <w:rsid w:val="006A06F2"/>
    <w:rsid w:val="006A49CD"/>
    <w:rsid w:val="006B215C"/>
    <w:rsid w:val="006B4A7A"/>
    <w:rsid w:val="006B6D73"/>
    <w:rsid w:val="006C2C0A"/>
    <w:rsid w:val="006C7AFD"/>
    <w:rsid w:val="006D1E67"/>
    <w:rsid w:val="006D3240"/>
    <w:rsid w:val="006E2FC7"/>
    <w:rsid w:val="006F1815"/>
    <w:rsid w:val="006F7EDD"/>
    <w:rsid w:val="00701776"/>
    <w:rsid w:val="00703291"/>
    <w:rsid w:val="00707CD5"/>
    <w:rsid w:val="00711325"/>
    <w:rsid w:val="007116A2"/>
    <w:rsid w:val="00717580"/>
    <w:rsid w:val="00720B72"/>
    <w:rsid w:val="00721C3D"/>
    <w:rsid w:val="00722839"/>
    <w:rsid w:val="00725116"/>
    <w:rsid w:val="00743770"/>
    <w:rsid w:val="00750A2A"/>
    <w:rsid w:val="0075171A"/>
    <w:rsid w:val="007529AC"/>
    <w:rsid w:val="00754485"/>
    <w:rsid w:val="007603DA"/>
    <w:rsid w:val="0076146F"/>
    <w:rsid w:val="007630EC"/>
    <w:rsid w:val="007670FF"/>
    <w:rsid w:val="00771DD4"/>
    <w:rsid w:val="00772729"/>
    <w:rsid w:val="00781535"/>
    <w:rsid w:val="00782091"/>
    <w:rsid w:val="00782CAD"/>
    <w:rsid w:val="00782FB1"/>
    <w:rsid w:val="007837AD"/>
    <w:rsid w:val="00791CED"/>
    <w:rsid w:val="00792280"/>
    <w:rsid w:val="007A217F"/>
    <w:rsid w:val="007A3CF0"/>
    <w:rsid w:val="007B2EBC"/>
    <w:rsid w:val="007B33DE"/>
    <w:rsid w:val="007B561A"/>
    <w:rsid w:val="007C06DA"/>
    <w:rsid w:val="007C4D22"/>
    <w:rsid w:val="007D23AF"/>
    <w:rsid w:val="007D4AED"/>
    <w:rsid w:val="007D5BB9"/>
    <w:rsid w:val="007D5E82"/>
    <w:rsid w:val="007D68CB"/>
    <w:rsid w:val="007D78F2"/>
    <w:rsid w:val="007E094D"/>
    <w:rsid w:val="007E1309"/>
    <w:rsid w:val="007E647C"/>
    <w:rsid w:val="007F087F"/>
    <w:rsid w:val="007F1F46"/>
    <w:rsid w:val="007F51F7"/>
    <w:rsid w:val="007F5585"/>
    <w:rsid w:val="008022EC"/>
    <w:rsid w:val="00805F5E"/>
    <w:rsid w:val="00807E8A"/>
    <w:rsid w:val="008109FF"/>
    <w:rsid w:val="00815D19"/>
    <w:rsid w:val="00822216"/>
    <w:rsid w:val="00825D4C"/>
    <w:rsid w:val="0082732C"/>
    <w:rsid w:val="0082763C"/>
    <w:rsid w:val="00831129"/>
    <w:rsid w:val="0083492E"/>
    <w:rsid w:val="00834B1F"/>
    <w:rsid w:val="0084362E"/>
    <w:rsid w:val="008439CC"/>
    <w:rsid w:val="00855AF2"/>
    <w:rsid w:val="008563CD"/>
    <w:rsid w:val="00856C2D"/>
    <w:rsid w:val="0086258F"/>
    <w:rsid w:val="00863B05"/>
    <w:rsid w:val="00867238"/>
    <w:rsid w:val="00872CE5"/>
    <w:rsid w:val="008763B3"/>
    <w:rsid w:val="00877D03"/>
    <w:rsid w:val="00882180"/>
    <w:rsid w:val="00886B22"/>
    <w:rsid w:val="00887998"/>
    <w:rsid w:val="00892F5C"/>
    <w:rsid w:val="00895346"/>
    <w:rsid w:val="00896EE4"/>
    <w:rsid w:val="008A09F8"/>
    <w:rsid w:val="008A12D3"/>
    <w:rsid w:val="008A58E2"/>
    <w:rsid w:val="008A5FEB"/>
    <w:rsid w:val="008A617B"/>
    <w:rsid w:val="008A657C"/>
    <w:rsid w:val="008B0938"/>
    <w:rsid w:val="008B78A4"/>
    <w:rsid w:val="008C03D3"/>
    <w:rsid w:val="008C5D9C"/>
    <w:rsid w:val="008D046A"/>
    <w:rsid w:val="008D2CE2"/>
    <w:rsid w:val="008E2028"/>
    <w:rsid w:val="008E5F58"/>
    <w:rsid w:val="008F3452"/>
    <w:rsid w:val="008F4983"/>
    <w:rsid w:val="008F5909"/>
    <w:rsid w:val="008F5A10"/>
    <w:rsid w:val="00904A2D"/>
    <w:rsid w:val="00911D4A"/>
    <w:rsid w:val="009157CC"/>
    <w:rsid w:val="00915BCA"/>
    <w:rsid w:val="009165E7"/>
    <w:rsid w:val="00917A75"/>
    <w:rsid w:val="0092166B"/>
    <w:rsid w:val="00931BFF"/>
    <w:rsid w:val="00933E01"/>
    <w:rsid w:val="0093417A"/>
    <w:rsid w:val="00934BC0"/>
    <w:rsid w:val="0094224F"/>
    <w:rsid w:val="00942A69"/>
    <w:rsid w:val="009450BB"/>
    <w:rsid w:val="00952BD9"/>
    <w:rsid w:val="0095328E"/>
    <w:rsid w:val="009551AC"/>
    <w:rsid w:val="009567D0"/>
    <w:rsid w:val="00960AD1"/>
    <w:rsid w:val="00960D29"/>
    <w:rsid w:val="009612BF"/>
    <w:rsid w:val="00961C6E"/>
    <w:rsid w:val="0097276E"/>
    <w:rsid w:val="00976129"/>
    <w:rsid w:val="009762C5"/>
    <w:rsid w:val="00980D12"/>
    <w:rsid w:val="00982796"/>
    <w:rsid w:val="009875B2"/>
    <w:rsid w:val="0099367D"/>
    <w:rsid w:val="009951CC"/>
    <w:rsid w:val="009A1419"/>
    <w:rsid w:val="009A259B"/>
    <w:rsid w:val="009A4BCE"/>
    <w:rsid w:val="009B032F"/>
    <w:rsid w:val="009B083F"/>
    <w:rsid w:val="009B1A79"/>
    <w:rsid w:val="009B49A2"/>
    <w:rsid w:val="009C03BE"/>
    <w:rsid w:val="009C4398"/>
    <w:rsid w:val="009D46E4"/>
    <w:rsid w:val="009D5700"/>
    <w:rsid w:val="009E1D45"/>
    <w:rsid w:val="009F0817"/>
    <w:rsid w:val="009F1B74"/>
    <w:rsid w:val="009F2C26"/>
    <w:rsid w:val="009F4A96"/>
    <w:rsid w:val="00A02068"/>
    <w:rsid w:val="00A04773"/>
    <w:rsid w:val="00A07E96"/>
    <w:rsid w:val="00A11E83"/>
    <w:rsid w:val="00A12D92"/>
    <w:rsid w:val="00A13BCA"/>
    <w:rsid w:val="00A17CCA"/>
    <w:rsid w:val="00A239E2"/>
    <w:rsid w:val="00A3353B"/>
    <w:rsid w:val="00A405E5"/>
    <w:rsid w:val="00A41203"/>
    <w:rsid w:val="00A42F9A"/>
    <w:rsid w:val="00A43094"/>
    <w:rsid w:val="00A43893"/>
    <w:rsid w:val="00A45B85"/>
    <w:rsid w:val="00A46F00"/>
    <w:rsid w:val="00A512A6"/>
    <w:rsid w:val="00A603C2"/>
    <w:rsid w:val="00A80066"/>
    <w:rsid w:val="00AA0B2D"/>
    <w:rsid w:val="00AA6E2A"/>
    <w:rsid w:val="00AB7666"/>
    <w:rsid w:val="00AC0C12"/>
    <w:rsid w:val="00AC6352"/>
    <w:rsid w:val="00AC7A09"/>
    <w:rsid w:val="00AD17B4"/>
    <w:rsid w:val="00AD3821"/>
    <w:rsid w:val="00AD4568"/>
    <w:rsid w:val="00AE3BAE"/>
    <w:rsid w:val="00AE4150"/>
    <w:rsid w:val="00AE7657"/>
    <w:rsid w:val="00AE78AC"/>
    <w:rsid w:val="00AF0BFA"/>
    <w:rsid w:val="00B02423"/>
    <w:rsid w:val="00B02C88"/>
    <w:rsid w:val="00B038D8"/>
    <w:rsid w:val="00B03EDA"/>
    <w:rsid w:val="00B0416F"/>
    <w:rsid w:val="00B079A4"/>
    <w:rsid w:val="00B07B32"/>
    <w:rsid w:val="00B1574B"/>
    <w:rsid w:val="00B21D25"/>
    <w:rsid w:val="00B248C0"/>
    <w:rsid w:val="00B3697E"/>
    <w:rsid w:val="00B37B0B"/>
    <w:rsid w:val="00B426E3"/>
    <w:rsid w:val="00B43A2A"/>
    <w:rsid w:val="00B448BB"/>
    <w:rsid w:val="00B45D33"/>
    <w:rsid w:val="00B5254F"/>
    <w:rsid w:val="00B557C8"/>
    <w:rsid w:val="00B610C4"/>
    <w:rsid w:val="00B74BB7"/>
    <w:rsid w:val="00B807E7"/>
    <w:rsid w:val="00B8666E"/>
    <w:rsid w:val="00B910B9"/>
    <w:rsid w:val="00B943E4"/>
    <w:rsid w:val="00B9555C"/>
    <w:rsid w:val="00BA0241"/>
    <w:rsid w:val="00BA3625"/>
    <w:rsid w:val="00BA410D"/>
    <w:rsid w:val="00BA75B3"/>
    <w:rsid w:val="00BA7CBD"/>
    <w:rsid w:val="00BB2D0B"/>
    <w:rsid w:val="00BC3857"/>
    <w:rsid w:val="00BC73D0"/>
    <w:rsid w:val="00BC7504"/>
    <w:rsid w:val="00BD0A54"/>
    <w:rsid w:val="00BD0D50"/>
    <w:rsid w:val="00BD18FC"/>
    <w:rsid w:val="00BD2604"/>
    <w:rsid w:val="00BD42E1"/>
    <w:rsid w:val="00BD4DE4"/>
    <w:rsid w:val="00BE1026"/>
    <w:rsid w:val="00BE1499"/>
    <w:rsid w:val="00BE698B"/>
    <w:rsid w:val="00BE6DAF"/>
    <w:rsid w:val="00BF4DF0"/>
    <w:rsid w:val="00BF52E5"/>
    <w:rsid w:val="00C03B50"/>
    <w:rsid w:val="00C04217"/>
    <w:rsid w:val="00C11972"/>
    <w:rsid w:val="00C14F54"/>
    <w:rsid w:val="00C165C1"/>
    <w:rsid w:val="00C328E9"/>
    <w:rsid w:val="00C361F1"/>
    <w:rsid w:val="00C36FDF"/>
    <w:rsid w:val="00C431D4"/>
    <w:rsid w:val="00C438AF"/>
    <w:rsid w:val="00C46FE8"/>
    <w:rsid w:val="00C52451"/>
    <w:rsid w:val="00C569C4"/>
    <w:rsid w:val="00C61D02"/>
    <w:rsid w:val="00C6297B"/>
    <w:rsid w:val="00C62B7B"/>
    <w:rsid w:val="00C63167"/>
    <w:rsid w:val="00C71706"/>
    <w:rsid w:val="00C7251D"/>
    <w:rsid w:val="00C81D80"/>
    <w:rsid w:val="00C82EF1"/>
    <w:rsid w:val="00C87F90"/>
    <w:rsid w:val="00C9051E"/>
    <w:rsid w:val="00C9199D"/>
    <w:rsid w:val="00C95884"/>
    <w:rsid w:val="00C9647A"/>
    <w:rsid w:val="00C97521"/>
    <w:rsid w:val="00CA33D6"/>
    <w:rsid w:val="00CB365D"/>
    <w:rsid w:val="00CB5E24"/>
    <w:rsid w:val="00CC1B20"/>
    <w:rsid w:val="00CC4A3C"/>
    <w:rsid w:val="00CC77DC"/>
    <w:rsid w:val="00CD0EFC"/>
    <w:rsid w:val="00CD343F"/>
    <w:rsid w:val="00CD5B46"/>
    <w:rsid w:val="00CE016E"/>
    <w:rsid w:val="00CE2A21"/>
    <w:rsid w:val="00CE30BA"/>
    <w:rsid w:val="00CF1D5D"/>
    <w:rsid w:val="00CF345A"/>
    <w:rsid w:val="00CF4D36"/>
    <w:rsid w:val="00CF56D1"/>
    <w:rsid w:val="00CF6717"/>
    <w:rsid w:val="00CF690D"/>
    <w:rsid w:val="00CF76D0"/>
    <w:rsid w:val="00CF7848"/>
    <w:rsid w:val="00D0059D"/>
    <w:rsid w:val="00D0261E"/>
    <w:rsid w:val="00D027A5"/>
    <w:rsid w:val="00D03CD8"/>
    <w:rsid w:val="00D07A82"/>
    <w:rsid w:val="00D10C9E"/>
    <w:rsid w:val="00D12760"/>
    <w:rsid w:val="00D1570C"/>
    <w:rsid w:val="00D16262"/>
    <w:rsid w:val="00D20D43"/>
    <w:rsid w:val="00D261D7"/>
    <w:rsid w:val="00D26212"/>
    <w:rsid w:val="00D3018A"/>
    <w:rsid w:val="00D372FE"/>
    <w:rsid w:val="00D403DB"/>
    <w:rsid w:val="00D41500"/>
    <w:rsid w:val="00D45B2C"/>
    <w:rsid w:val="00D471F8"/>
    <w:rsid w:val="00D52807"/>
    <w:rsid w:val="00D56E09"/>
    <w:rsid w:val="00D57959"/>
    <w:rsid w:val="00D627B8"/>
    <w:rsid w:val="00D63289"/>
    <w:rsid w:val="00D63D9D"/>
    <w:rsid w:val="00D64C7B"/>
    <w:rsid w:val="00D67F7A"/>
    <w:rsid w:val="00D75B4B"/>
    <w:rsid w:val="00D7736E"/>
    <w:rsid w:val="00D8036D"/>
    <w:rsid w:val="00D83F9F"/>
    <w:rsid w:val="00D85BC1"/>
    <w:rsid w:val="00D85D03"/>
    <w:rsid w:val="00D8682D"/>
    <w:rsid w:val="00D86EE0"/>
    <w:rsid w:val="00D86EE5"/>
    <w:rsid w:val="00D86FF9"/>
    <w:rsid w:val="00D87B03"/>
    <w:rsid w:val="00D92232"/>
    <w:rsid w:val="00DA0FDD"/>
    <w:rsid w:val="00DA12C0"/>
    <w:rsid w:val="00DA434B"/>
    <w:rsid w:val="00DB009C"/>
    <w:rsid w:val="00DB220A"/>
    <w:rsid w:val="00DB3F6B"/>
    <w:rsid w:val="00DB6E93"/>
    <w:rsid w:val="00DC1E82"/>
    <w:rsid w:val="00DC4E46"/>
    <w:rsid w:val="00DC55D6"/>
    <w:rsid w:val="00DE07BD"/>
    <w:rsid w:val="00DE0ED6"/>
    <w:rsid w:val="00DE67C1"/>
    <w:rsid w:val="00DF1FBA"/>
    <w:rsid w:val="00DF2F1E"/>
    <w:rsid w:val="00DF4B76"/>
    <w:rsid w:val="00E00335"/>
    <w:rsid w:val="00E02961"/>
    <w:rsid w:val="00E06835"/>
    <w:rsid w:val="00E13506"/>
    <w:rsid w:val="00E142B7"/>
    <w:rsid w:val="00E232B5"/>
    <w:rsid w:val="00E23581"/>
    <w:rsid w:val="00E25455"/>
    <w:rsid w:val="00E27040"/>
    <w:rsid w:val="00E31BAC"/>
    <w:rsid w:val="00E339BB"/>
    <w:rsid w:val="00E352AF"/>
    <w:rsid w:val="00E352BD"/>
    <w:rsid w:val="00E53B51"/>
    <w:rsid w:val="00E71087"/>
    <w:rsid w:val="00E7518A"/>
    <w:rsid w:val="00E76DF1"/>
    <w:rsid w:val="00E816A5"/>
    <w:rsid w:val="00E87A0D"/>
    <w:rsid w:val="00E87DFB"/>
    <w:rsid w:val="00E90D97"/>
    <w:rsid w:val="00E977F5"/>
    <w:rsid w:val="00EA6261"/>
    <w:rsid w:val="00EA672A"/>
    <w:rsid w:val="00EA6B26"/>
    <w:rsid w:val="00EA7208"/>
    <w:rsid w:val="00EB055E"/>
    <w:rsid w:val="00EB32DA"/>
    <w:rsid w:val="00EB3D5F"/>
    <w:rsid w:val="00EB6778"/>
    <w:rsid w:val="00EB7522"/>
    <w:rsid w:val="00EC2404"/>
    <w:rsid w:val="00EC2630"/>
    <w:rsid w:val="00EC3C79"/>
    <w:rsid w:val="00EC43E6"/>
    <w:rsid w:val="00ED148A"/>
    <w:rsid w:val="00ED4967"/>
    <w:rsid w:val="00EE2422"/>
    <w:rsid w:val="00EE3CA1"/>
    <w:rsid w:val="00EE591F"/>
    <w:rsid w:val="00EE740C"/>
    <w:rsid w:val="00EF1D9E"/>
    <w:rsid w:val="00EF4973"/>
    <w:rsid w:val="00EF59C5"/>
    <w:rsid w:val="00EF6657"/>
    <w:rsid w:val="00F0082C"/>
    <w:rsid w:val="00F01D12"/>
    <w:rsid w:val="00F025C3"/>
    <w:rsid w:val="00F05ACE"/>
    <w:rsid w:val="00F255DC"/>
    <w:rsid w:val="00F3304B"/>
    <w:rsid w:val="00F34488"/>
    <w:rsid w:val="00F358B0"/>
    <w:rsid w:val="00F36F14"/>
    <w:rsid w:val="00F40A61"/>
    <w:rsid w:val="00F41C65"/>
    <w:rsid w:val="00F4467C"/>
    <w:rsid w:val="00F5037E"/>
    <w:rsid w:val="00F52DB1"/>
    <w:rsid w:val="00F53653"/>
    <w:rsid w:val="00F536FE"/>
    <w:rsid w:val="00F54570"/>
    <w:rsid w:val="00F61AAE"/>
    <w:rsid w:val="00F62712"/>
    <w:rsid w:val="00F635F0"/>
    <w:rsid w:val="00F722DD"/>
    <w:rsid w:val="00F727D3"/>
    <w:rsid w:val="00F72B0F"/>
    <w:rsid w:val="00F74B26"/>
    <w:rsid w:val="00F76D4D"/>
    <w:rsid w:val="00F773B1"/>
    <w:rsid w:val="00F77F05"/>
    <w:rsid w:val="00F81102"/>
    <w:rsid w:val="00F81D97"/>
    <w:rsid w:val="00F83C02"/>
    <w:rsid w:val="00F87A74"/>
    <w:rsid w:val="00F9161A"/>
    <w:rsid w:val="00F94502"/>
    <w:rsid w:val="00F9458F"/>
    <w:rsid w:val="00F97166"/>
    <w:rsid w:val="00FA028C"/>
    <w:rsid w:val="00FA2B5E"/>
    <w:rsid w:val="00FA4BB5"/>
    <w:rsid w:val="00FA603C"/>
    <w:rsid w:val="00FB255F"/>
    <w:rsid w:val="00FB26C7"/>
    <w:rsid w:val="00FB3CAA"/>
    <w:rsid w:val="00FB5084"/>
    <w:rsid w:val="00FB7974"/>
    <w:rsid w:val="00FC30C4"/>
    <w:rsid w:val="00FD1B6F"/>
    <w:rsid w:val="00FD35BB"/>
    <w:rsid w:val="00FD67E0"/>
    <w:rsid w:val="00FD770E"/>
    <w:rsid w:val="00FE1CEC"/>
    <w:rsid w:val="00FE3AF4"/>
    <w:rsid w:val="00FE47C5"/>
    <w:rsid w:val="00FE6784"/>
    <w:rsid w:val="00FF0354"/>
    <w:rsid w:val="00FF0D71"/>
    <w:rsid w:val="00FF1521"/>
    <w:rsid w:val="00FF5400"/>
    <w:rsid w:val="00F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ECAF"/>
  <w15:docId w15:val="{C94698D9-A54B-4042-A824-E6D7F838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A3353B"/>
    <w:pPr>
      <w:numPr>
        <w:numId w:val="2"/>
      </w:numPr>
      <w:spacing w:line="480" w:lineRule="auto"/>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A3353B"/>
    <w:pPr>
      <w:numPr>
        <w:ilvl w:val="1"/>
        <w:numId w:val="2"/>
      </w:numPr>
      <w:spacing w:line="480" w:lineRule="auto"/>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7E"/>
    <w:pPr>
      <w:ind w:left="720"/>
      <w:contextualSpacing/>
    </w:pPr>
  </w:style>
  <w:style w:type="paragraph" w:styleId="FootnoteText">
    <w:name w:val="footnote text"/>
    <w:basedOn w:val="Normal"/>
    <w:link w:val="FootnoteTextChar"/>
    <w:uiPriority w:val="99"/>
    <w:semiHidden/>
    <w:unhideWhenUsed/>
    <w:rsid w:val="00942A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A69"/>
    <w:rPr>
      <w:sz w:val="20"/>
      <w:szCs w:val="20"/>
    </w:rPr>
  </w:style>
  <w:style w:type="character" w:styleId="FootnoteReference">
    <w:name w:val="footnote reference"/>
    <w:basedOn w:val="DefaultParagraphFont"/>
    <w:uiPriority w:val="99"/>
    <w:semiHidden/>
    <w:unhideWhenUsed/>
    <w:rsid w:val="00942A69"/>
    <w:rPr>
      <w:vertAlign w:val="superscript"/>
    </w:rPr>
  </w:style>
  <w:style w:type="paragraph" w:styleId="Header">
    <w:name w:val="header"/>
    <w:basedOn w:val="Normal"/>
    <w:link w:val="HeaderChar"/>
    <w:uiPriority w:val="99"/>
    <w:unhideWhenUsed/>
    <w:rsid w:val="00F77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F05"/>
  </w:style>
  <w:style w:type="paragraph" w:styleId="Footer">
    <w:name w:val="footer"/>
    <w:basedOn w:val="Normal"/>
    <w:link w:val="FooterChar"/>
    <w:uiPriority w:val="99"/>
    <w:unhideWhenUsed/>
    <w:rsid w:val="00F77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F05"/>
  </w:style>
  <w:style w:type="character" w:customStyle="1" w:styleId="Heading1Char">
    <w:name w:val="Heading 1 Char"/>
    <w:basedOn w:val="DefaultParagraphFont"/>
    <w:link w:val="Heading1"/>
    <w:uiPriority w:val="9"/>
    <w:rsid w:val="00A3353B"/>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A3353B"/>
    <w:rPr>
      <w:rFonts w:ascii="Times New Roman" w:hAnsi="Times New Roman" w:cs="Times New Roman"/>
      <w:b/>
      <w:bCs/>
      <w:sz w:val="24"/>
      <w:szCs w:val="24"/>
    </w:rPr>
  </w:style>
  <w:style w:type="character" w:styleId="Hyperlink">
    <w:name w:val="Hyperlink"/>
    <w:basedOn w:val="DefaultParagraphFont"/>
    <w:uiPriority w:val="99"/>
    <w:unhideWhenUsed/>
    <w:rsid w:val="00B910B9"/>
    <w:rPr>
      <w:color w:val="0563C1" w:themeColor="hyperlink"/>
      <w:u w:val="single"/>
    </w:rPr>
  </w:style>
  <w:style w:type="character" w:styleId="UnresolvedMention">
    <w:name w:val="Unresolved Mention"/>
    <w:basedOn w:val="DefaultParagraphFont"/>
    <w:uiPriority w:val="99"/>
    <w:semiHidden/>
    <w:unhideWhenUsed/>
    <w:rsid w:val="00B910B9"/>
    <w:rPr>
      <w:color w:val="605E5C"/>
      <w:shd w:val="clear" w:color="auto" w:fill="E1DFDD"/>
    </w:rPr>
  </w:style>
  <w:style w:type="paragraph" w:styleId="TOCHeading">
    <w:name w:val="TOC Heading"/>
    <w:basedOn w:val="Heading1"/>
    <w:next w:val="Normal"/>
    <w:uiPriority w:val="39"/>
    <w:unhideWhenUsed/>
    <w:qFormat/>
    <w:rsid w:val="00516523"/>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16523"/>
    <w:pPr>
      <w:spacing w:after="100"/>
    </w:pPr>
  </w:style>
  <w:style w:type="paragraph" w:styleId="TOC2">
    <w:name w:val="toc 2"/>
    <w:basedOn w:val="Normal"/>
    <w:next w:val="Normal"/>
    <w:autoRedefine/>
    <w:uiPriority w:val="39"/>
    <w:unhideWhenUsed/>
    <w:rsid w:val="005165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841773">
      <w:bodyDiv w:val="1"/>
      <w:marLeft w:val="0"/>
      <w:marRight w:val="0"/>
      <w:marTop w:val="0"/>
      <w:marBottom w:val="0"/>
      <w:divBdr>
        <w:top w:val="none" w:sz="0" w:space="0" w:color="auto"/>
        <w:left w:val="none" w:sz="0" w:space="0" w:color="auto"/>
        <w:bottom w:val="none" w:sz="0" w:space="0" w:color="auto"/>
        <w:right w:val="none" w:sz="0" w:space="0" w:color="auto"/>
      </w:divBdr>
      <w:divsChild>
        <w:div w:id="1612273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ACC8-0B88-4EEA-BDD1-33130F12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22</Pages>
  <Words>4942</Words>
  <Characters>28319</Characters>
  <Application>Microsoft Office Word</Application>
  <DocSecurity>0</DocSecurity>
  <Lines>404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Mansheim</dc:creator>
  <cp:keywords/>
  <dc:description/>
  <cp:lastModifiedBy>Kevin Mansheim</cp:lastModifiedBy>
  <cp:revision>225</cp:revision>
  <dcterms:created xsi:type="dcterms:W3CDTF">2023-12-14T06:05:00Z</dcterms:created>
  <dcterms:modified xsi:type="dcterms:W3CDTF">2023-12-14T19:42:00Z</dcterms:modified>
</cp:coreProperties>
</file>