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51146" w:rsidRPr="00AE1495" w14:paraId="01909C91" w14:textId="77777777" w:rsidTr="00E51146">
        <w:tc>
          <w:tcPr>
            <w:tcW w:w="4675" w:type="dxa"/>
          </w:tcPr>
          <w:p w14:paraId="3F9BD643" w14:textId="77777777" w:rsidR="00DE254E" w:rsidRPr="00DF3C92" w:rsidRDefault="00DE254E" w:rsidP="00DE254E">
            <w:pPr>
              <w:jc w:val="center"/>
              <w:rPr>
                <w:b/>
                <w:bCs/>
                <w:lang w:val="en-GB"/>
              </w:rPr>
            </w:pPr>
            <w:r w:rsidRPr="00DF3C92">
              <w:rPr>
                <w:b/>
                <w:bCs/>
                <w:lang w:val="en-GB"/>
              </w:rPr>
              <w:t>Christopher Yukins</w:t>
            </w:r>
          </w:p>
          <w:p w14:paraId="58779464" w14:textId="77777777" w:rsidR="00DE254E" w:rsidRPr="00DF3C92" w:rsidRDefault="00DE254E" w:rsidP="00DE254E">
            <w:pPr>
              <w:jc w:val="center"/>
              <w:rPr>
                <w:lang w:val="en-GB"/>
              </w:rPr>
            </w:pPr>
            <w:r w:rsidRPr="00DF3C92">
              <w:rPr>
                <w:lang w:val="en-GB"/>
              </w:rPr>
              <w:t>Lynn David Research Professor in Government Procurement Law</w:t>
            </w:r>
          </w:p>
          <w:p w14:paraId="7E84A82D" w14:textId="77777777" w:rsidR="00DE254E" w:rsidRPr="00DF3C92" w:rsidRDefault="00DE254E" w:rsidP="00DE254E">
            <w:pPr>
              <w:jc w:val="center"/>
              <w:rPr>
                <w:lang w:val="en-GB"/>
              </w:rPr>
            </w:pPr>
            <w:r w:rsidRPr="00DF3C92">
              <w:rPr>
                <w:lang w:val="en-GB"/>
              </w:rPr>
              <w:t>George Washington University Law School</w:t>
            </w:r>
          </w:p>
          <w:p w14:paraId="4234BD1C" w14:textId="77777777" w:rsidR="00DE254E" w:rsidRPr="00DF3C92" w:rsidRDefault="00DE254E" w:rsidP="00DE254E">
            <w:pPr>
              <w:jc w:val="center"/>
              <w:rPr>
                <w:lang w:val="en-GB"/>
              </w:rPr>
            </w:pPr>
            <w:r w:rsidRPr="00DF3C92">
              <w:rPr>
                <w:lang w:val="en-GB"/>
              </w:rPr>
              <w:t>Washington, DC 20052</w:t>
            </w:r>
          </w:p>
          <w:p w14:paraId="7C47B143" w14:textId="77777777" w:rsidR="00DE254E" w:rsidRPr="00AE1495" w:rsidRDefault="00DE254E" w:rsidP="00DE254E">
            <w:pPr>
              <w:jc w:val="center"/>
              <w:rPr>
                <w:lang w:val="de-AT"/>
              </w:rPr>
            </w:pPr>
            <w:r w:rsidRPr="00AE1495">
              <w:rPr>
                <w:lang w:val="de-AT"/>
              </w:rPr>
              <w:t>Tel. +1.703.304.4773 (m)</w:t>
            </w:r>
          </w:p>
          <w:p w14:paraId="3C395811" w14:textId="5054DFCF" w:rsidR="006B54BF" w:rsidRPr="00412FB5" w:rsidRDefault="00412FB5" w:rsidP="00DE254E">
            <w:pPr>
              <w:jc w:val="center"/>
              <w:rPr>
                <w:b/>
                <w:bCs/>
                <w:lang w:val="es-ES"/>
              </w:rPr>
            </w:pPr>
            <w:hyperlink r:id="rId7" w:history="1">
              <w:r w:rsidRPr="00412FB5">
                <w:rPr>
                  <w:rStyle w:val="Hyperlink"/>
                  <w:lang w:val="es-ES"/>
                </w:rPr>
                <w:t>cyukins@law.gwu.edu</w:t>
              </w:r>
            </w:hyperlink>
            <w:r w:rsidRPr="00412FB5">
              <w:rPr>
                <w:lang w:val="es-ES"/>
              </w:rPr>
              <w:t xml:space="preserve"> </w:t>
            </w:r>
          </w:p>
        </w:tc>
        <w:tc>
          <w:tcPr>
            <w:tcW w:w="4675" w:type="dxa"/>
          </w:tcPr>
          <w:p w14:paraId="1485920D" w14:textId="77777777" w:rsidR="00DE254E" w:rsidRPr="00DF3C92" w:rsidRDefault="00DE254E" w:rsidP="00DE254E">
            <w:pPr>
              <w:jc w:val="center"/>
              <w:rPr>
                <w:b/>
                <w:bCs/>
                <w:lang w:val="en-GB"/>
              </w:rPr>
            </w:pPr>
            <w:r w:rsidRPr="00DF3C92">
              <w:rPr>
                <w:b/>
                <w:bCs/>
                <w:lang w:val="en-GB"/>
              </w:rPr>
              <w:t>Caroline Nicholas</w:t>
            </w:r>
          </w:p>
          <w:p w14:paraId="6340AC9A" w14:textId="4137CE2C" w:rsidR="00DE254E" w:rsidRPr="00DF3C92" w:rsidRDefault="00851BAD" w:rsidP="00DE254E">
            <w:pPr>
              <w:jc w:val="center"/>
              <w:rPr>
                <w:lang w:val="en-GB"/>
              </w:rPr>
            </w:pPr>
            <w:r w:rsidRPr="00DF3C92">
              <w:rPr>
                <w:lang w:val="en-GB"/>
              </w:rPr>
              <w:t>Independent consultant</w:t>
            </w:r>
          </w:p>
          <w:p w14:paraId="432A6C68" w14:textId="6A6AE603" w:rsidR="00DE254E" w:rsidRPr="00DF3C92" w:rsidRDefault="00851BAD" w:rsidP="00DE254E">
            <w:pPr>
              <w:jc w:val="center"/>
              <w:rPr>
                <w:lang w:val="en-GB"/>
              </w:rPr>
            </w:pPr>
            <w:r w:rsidRPr="00DF3C92">
              <w:rPr>
                <w:lang w:val="en-GB"/>
              </w:rPr>
              <w:t>Steinberg-Frank-Weg 9</w:t>
            </w:r>
            <w:r w:rsidR="00DE254E" w:rsidRPr="00DF3C92">
              <w:rPr>
                <w:lang w:val="en-GB"/>
              </w:rPr>
              <w:t xml:space="preserve"> </w:t>
            </w:r>
          </w:p>
          <w:p w14:paraId="03C5DBDE" w14:textId="77777777" w:rsidR="00E51146" w:rsidRPr="00DF3C92" w:rsidRDefault="00851BAD" w:rsidP="00DE254E">
            <w:pPr>
              <w:jc w:val="center"/>
              <w:rPr>
                <w:b/>
                <w:bCs/>
                <w:lang w:val="en-GB"/>
              </w:rPr>
            </w:pPr>
            <w:r w:rsidRPr="00DF3C92">
              <w:rPr>
                <w:lang w:val="en-GB"/>
              </w:rPr>
              <w:t>1220 Vienna</w:t>
            </w:r>
          </w:p>
          <w:p w14:paraId="7E7D0573" w14:textId="79A6430F" w:rsidR="003D0A82" w:rsidRPr="00AE1495" w:rsidRDefault="00DF3C92" w:rsidP="00DE254E">
            <w:pPr>
              <w:jc w:val="center"/>
              <w:rPr>
                <w:lang w:val="es-ES"/>
              </w:rPr>
            </w:pPr>
            <w:r w:rsidRPr="00AE1495">
              <w:rPr>
                <w:lang w:val="es-ES"/>
              </w:rPr>
              <w:t>Austria</w:t>
            </w:r>
          </w:p>
          <w:p w14:paraId="492A0244" w14:textId="216A1A3B" w:rsidR="003D0A82" w:rsidRPr="00AE1495" w:rsidRDefault="003D0A82" w:rsidP="00DE254E">
            <w:pPr>
              <w:jc w:val="center"/>
              <w:rPr>
                <w:lang w:val="es-ES"/>
              </w:rPr>
            </w:pPr>
            <w:r w:rsidRPr="00AE1495">
              <w:rPr>
                <w:lang w:val="es-ES"/>
              </w:rPr>
              <w:t>Tel+ + 43 660 174 7967 (m)</w:t>
            </w:r>
          </w:p>
          <w:p w14:paraId="021AC878" w14:textId="67E6CB7B" w:rsidR="003D0A82" w:rsidRPr="00AE1495" w:rsidRDefault="00DF3C92" w:rsidP="00DE254E">
            <w:pPr>
              <w:jc w:val="center"/>
              <w:rPr>
                <w:lang w:val="es-ES"/>
              </w:rPr>
            </w:pPr>
            <w:hyperlink r:id="rId8" w:history="1">
              <w:r w:rsidRPr="00AE1495">
                <w:rPr>
                  <w:rStyle w:val="Hyperlink"/>
                  <w:lang w:val="es-ES"/>
                </w:rPr>
                <w:t>carolinenich@outlook.com</w:t>
              </w:r>
            </w:hyperlink>
          </w:p>
          <w:p w14:paraId="7413CA84" w14:textId="77777777" w:rsidR="00DF3C92" w:rsidRPr="00AE1495" w:rsidRDefault="00DF3C92" w:rsidP="00DE254E">
            <w:pPr>
              <w:jc w:val="center"/>
              <w:rPr>
                <w:lang w:val="es-ES"/>
              </w:rPr>
            </w:pPr>
          </w:p>
          <w:p w14:paraId="7EF469ED" w14:textId="1DA681D3" w:rsidR="003D0A82" w:rsidRPr="00AE1495" w:rsidRDefault="003D0A82" w:rsidP="00DE254E">
            <w:pPr>
              <w:jc w:val="center"/>
              <w:rPr>
                <w:lang w:val="es-ES"/>
              </w:rPr>
            </w:pPr>
          </w:p>
        </w:tc>
      </w:tr>
    </w:tbl>
    <w:p w14:paraId="3159C096" w14:textId="576032E2" w:rsidR="00DF3C92" w:rsidRPr="00AE1495" w:rsidRDefault="00DF3C92">
      <w:pPr>
        <w:pBdr>
          <w:bottom w:val="single" w:sz="12" w:space="1" w:color="auto"/>
        </w:pBdr>
        <w:rPr>
          <w:lang w:val="es-ES"/>
        </w:rPr>
      </w:pPr>
    </w:p>
    <w:p w14:paraId="482F3DBC" w14:textId="77777777" w:rsidR="00DF3C92" w:rsidRPr="00AE1495" w:rsidRDefault="00DF3C92">
      <w:pPr>
        <w:rPr>
          <w:lang w:val="es-ES"/>
        </w:rPr>
      </w:pPr>
    </w:p>
    <w:p w14:paraId="774E562B" w14:textId="77777777" w:rsidR="00DF3C92" w:rsidRPr="00AE1495" w:rsidRDefault="00DF3C92">
      <w:pPr>
        <w:rPr>
          <w:lang w:val="es-ES"/>
        </w:rPr>
      </w:pPr>
    </w:p>
    <w:p w14:paraId="7218C70A" w14:textId="5B3E123B" w:rsidR="00423B12" w:rsidRPr="00DF3C92" w:rsidRDefault="00423B12">
      <w:pPr>
        <w:rPr>
          <w:lang w:val="en-GB"/>
        </w:rPr>
      </w:pPr>
      <w:r w:rsidRPr="00DF3C92">
        <w:rPr>
          <w:lang w:val="en-GB"/>
        </w:rPr>
        <w:t xml:space="preserve">February </w:t>
      </w:r>
      <w:r w:rsidR="00DF3C92">
        <w:rPr>
          <w:lang w:val="en-GB"/>
        </w:rPr>
        <w:t xml:space="preserve">3, </w:t>
      </w:r>
      <w:r w:rsidRPr="00DF3C92">
        <w:rPr>
          <w:lang w:val="en-GB"/>
        </w:rPr>
        <w:t>2026</w:t>
      </w:r>
    </w:p>
    <w:p w14:paraId="05FE8862" w14:textId="00781F77" w:rsidR="006B54BF" w:rsidRPr="00DF3C92" w:rsidRDefault="006B54BF">
      <w:pPr>
        <w:rPr>
          <w:b/>
          <w:bCs/>
          <w:lang w:val="en-GB"/>
        </w:rPr>
      </w:pPr>
      <w:r w:rsidRPr="00DF3C92">
        <w:rPr>
          <w:b/>
          <w:bCs/>
          <w:lang w:val="en-GB"/>
        </w:rPr>
        <w:t>BY ELECTRONIC MAIL</w:t>
      </w:r>
    </w:p>
    <w:p w14:paraId="5AFE1792" w14:textId="77777777" w:rsidR="006D4C5B" w:rsidRDefault="006D4C5B" w:rsidP="006D4C5B">
      <w:pPr>
        <w:spacing w:after="0" w:line="240" w:lineRule="auto"/>
        <w:rPr>
          <w:lang w:val="en-GB"/>
        </w:rPr>
      </w:pPr>
      <w:r>
        <w:rPr>
          <w:lang w:val="en-GB"/>
        </w:rPr>
        <w:t>To:</w:t>
      </w:r>
    </w:p>
    <w:p w14:paraId="2494F2B1" w14:textId="77777777" w:rsidR="006D4C5B" w:rsidRDefault="006D4C5B" w:rsidP="006D4C5B">
      <w:pPr>
        <w:spacing w:after="0" w:line="240" w:lineRule="auto"/>
        <w:rPr>
          <w:lang w:val="en-GB"/>
        </w:rPr>
      </w:pPr>
    </w:p>
    <w:p w14:paraId="59CD0220" w14:textId="69FCDC1B" w:rsidR="00894559" w:rsidRPr="00DF3C92" w:rsidRDefault="00894559" w:rsidP="006D4C5B">
      <w:pPr>
        <w:spacing w:after="0" w:line="240" w:lineRule="auto"/>
        <w:rPr>
          <w:lang w:val="en-GB"/>
        </w:rPr>
      </w:pPr>
      <w:r w:rsidRPr="00DF3C92">
        <w:rPr>
          <w:lang w:val="en-GB"/>
        </w:rPr>
        <w:t>Benjamin Herisset</w:t>
      </w:r>
      <w:r w:rsidRPr="00DF3C92">
        <w:rPr>
          <w:lang w:val="en-GB"/>
        </w:rPr>
        <w:br/>
        <w:t>Legal Officer</w:t>
      </w:r>
    </w:p>
    <w:p w14:paraId="4ACB848D" w14:textId="68FA5D37" w:rsidR="00F23014" w:rsidRDefault="00BA2B43" w:rsidP="006D4C5B">
      <w:pPr>
        <w:spacing w:after="0" w:line="240" w:lineRule="auto"/>
        <w:rPr>
          <w:lang w:val="en-GB"/>
        </w:rPr>
      </w:pPr>
      <w:r w:rsidRPr="00DF3C92">
        <w:rPr>
          <w:lang w:val="en-GB"/>
        </w:rPr>
        <w:t>International Trade Law Division</w:t>
      </w:r>
      <w:r w:rsidRPr="00DF3C92">
        <w:rPr>
          <w:lang w:val="en-GB"/>
        </w:rPr>
        <w:br/>
        <w:t>(UNCITRAL secretariat)</w:t>
      </w:r>
      <w:r w:rsidRPr="00DF3C92">
        <w:rPr>
          <w:lang w:val="en-GB"/>
        </w:rPr>
        <w:br/>
        <w:t>United Nations Office of Legal Affairs</w:t>
      </w:r>
      <w:r w:rsidRPr="00DF3C92">
        <w:rPr>
          <w:lang w:val="en-GB"/>
        </w:rPr>
        <w:br/>
        <w:t>Vienna International Centre</w:t>
      </w:r>
      <w:r w:rsidRPr="00DF3C92">
        <w:rPr>
          <w:lang w:val="en-GB"/>
        </w:rPr>
        <w:br/>
        <w:t>P.O. Box 500, A-1400, Vienna</w:t>
      </w:r>
      <w:r w:rsidRPr="00DF3C92">
        <w:rPr>
          <w:lang w:val="en-GB"/>
        </w:rPr>
        <w:br/>
      </w:r>
      <w:r w:rsidR="006D4C5B">
        <w:rPr>
          <w:lang w:val="en-GB"/>
        </w:rPr>
        <w:t xml:space="preserve">Email: </w:t>
      </w:r>
      <w:hyperlink r:id="rId9" w:history="1">
        <w:r w:rsidR="006D4C5B" w:rsidRPr="00071695">
          <w:rPr>
            <w:rStyle w:val="Hyperlink"/>
            <w:lang w:val="en-GB"/>
          </w:rPr>
          <w:t>benjamin.herisset@un.org</w:t>
        </w:r>
      </w:hyperlink>
    </w:p>
    <w:p w14:paraId="77620C35" w14:textId="77777777" w:rsidR="006D4C5B" w:rsidRPr="00DF3C92" w:rsidRDefault="006D4C5B" w:rsidP="006D4C5B">
      <w:pPr>
        <w:spacing w:after="0" w:line="240" w:lineRule="auto"/>
        <w:rPr>
          <w:lang w:val="en-GB"/>
        </w:rPr>
      </w:pPr>
    </w:p>
    <w:p w14:paraId="53868082" w14:textId="77777777" w:rsidR="006D4C5B" w:rsidRPr="00AE1495" w:rsidRDefault="00894559" w:rsidP="006D4C5B">
      <w:pPr>
        <w:spacing w:line="240" w:lineRule="auto"/>
        <w:rPr>
          <w:lang w:val="es-ES"/>
        </w:rPr>
      </w:pPr>
      <w:proofErr w:type="spellStart"/>
      <w:r w:rsidRPr="00AE1495">
        <w:rPr>
          <w:lang w:val="es-ES"/>
        </w:rPr>
        <w:t>cc</w:t>
      </w:r>
      <w:proofErr w:type="spellEnd"/>
      <w:r w:rsidRPr="00AE1495">
        <w:rPr>
          <w:lang w:val="es-ES"/>
        </w:rPr>
        <w:t xml:space="preserve">: </w:t>
      </w:r>
    </w:p>
    <w:p w14:paraId="0D9B1FFF" w14:textId="61004E73" w:rsidR="006D4C5B" w:rsidRPr="00AE1495" w:rsidRDefault="002C1F60" w:rsidP="006D4C5B">
      <w:pPr>
        <w:spacing w:after="0" w:line="240" w:lineRule="auto"/>
        <w:rPr>
          <w:lang w:val="es-ES"/>
        </w:rPr>
      </w:pPr>
      <w:r w:rsidRPr="00AE1495">
        <w:rPr>
          <w:lang w:val="es-ES"/>
        </w:rPr>
        <w:t>Samira Musayeva &lt;</w:t>
      </w:r>
      <w:hyperlink r:id="rId10" w:history="1">
        <w:r w:rsidRPr="00AE1495">
          <w:rPr>
            <w:rStyle w:val="Hyperlink"/>
            <w:lang w:val="es-ES"/>
          </w:rPr>
          <w:t>samira.musayeva@un.org</w:t>
        </w:r>
      </w:hyperlink>
      <w:r w:rsidRPr="00AE1495">
        <w:rPr>
          <w:lang w:val="es-ES"/>
        </w:rPr>
        <w:t>&gt;</w:t>
      </w:r>
    </w:p>
    <w:p w14:paraId="3CCE95E5" w14:textId="012F45F3" w:rsidR="00A63525" w:rsidRPr="00DF3C92" w:rsidRDefault="002C1F60" w:rsidP="006D4C5B">
      <w:pPr>
        <w:spacing w:after="0" w:line="240" w:lineRule="auto"/>
        <w:rPr>
          <w:lang w:val="en-GB"/>
        </w:rPr>
      </w:pPr>
      <w:r w:rsidRPr="00DF3C92">
        <w:rPr>
          <w:lang w:val="en-GB"/>
        </w:rPr>
        <w:t>Neale Harding Bergman &lt;</w:t>
      </w:r>
      <w:hyperlink r:id="rId11" w:history="1">
        <w:r w:rsidRPr="00DF3C92">
          <w:rPr>
            <w:rStyle w:val="Hyperlink"/>
            <w:lang w:val="en-GB"/>
          </w:rPr>
          <w:t>neale.bergman@un.org</w:t>
        </w:r>
      </w:hyperlink>
      <w:r w:rsidRPr="00DF3C92">
        <w:rPr>
          <w:lang w:val="en-GB"/>
        </w:rPr>
        <w:t>&gt;</w:t>
      </w:r>
      <w:r w:rsidR="00BA2B43" w:rsidRPr="00DF3C92">
        <w:rPr>
          <w:lang w:val="en-GB"/>
        </w:rPr>
        <w:br/>
      </w:r>
      <w:r w:rsidR="00A63525" w:rsidRPr="00DF3C92">
        <w:rPr>
          <w:lang w:val="en-GB"/>
        </w:rPr>
        <w:t xml:space="preserve"> </w:t>
      </w:r>
    </w:p>
    <w:p w14:paraId="3DD11C5B" w14:textId="6F9E7EE8" w:rsidR="009F772A" w:rsidRPr="00DF3C92" w:rsidRDefault="009F772A" w:rsidP="009F772A">
      <w:pPr>
        <w:spacing w:after="0" w:line="240" w:lineRule="auto"/>
        <w:ind w:left="1440" w:hanging="810"/>
        <w:rPr>
          <w:lang w:val="en-GB"/>
        </w:rPr>
      </w:pPr>
      <w:r w:rsidRPr="00DF3C92">
        <w:rPr>
          <w:lang w:val="en-GB"/>
        </w:rPr>
        <w:t>Re:</w:t>
      </w:r>
      <w:r w:rsidRPr="00DF3C92">
        <w:rPr>
          <w:lang w:val="en-GB"/>
        </w:rPr>
        <w:tab/>
        <w:t>Request for Inputs Regarding Possible Updates to the UNCITRAL Model Law on Public Procurement and related texts (26 Jan. 2026)</w:t>
      </w:r>
    </w:p>
    <w:p w14:paraId="38E0A1A0" w14:textId="77777777" w:rsidR="009F772A" w:rsidRPr="00DF3C92" w:rsidRDefault="009F772A" w:rsidP="009F772A">
      <w:pPr>
        <w:rPr>
          <w:lang w:val="en-GB"/>
        </w:rPr>
      </w:pPr>
    </w:p>
    <w:p w14:paraId="0BF212FC" w14:textId="208CDCEC" w:rsidR="009F772A" w:rsidRPr="00DF3C92" w:rsidRDefault="009F772A" w:rsidP="009F772A">
      <w:pPr>
        <w:rPr>
          <w:lang w:val="en-GB"/>
        </w:rPr>
      </w:pPr>
      <w:r w:rsidRPr="00DF3C92">
        <w:rPr>
          <w:lang w:val="en-GB"/>
        </w:rPr>
        <w:t xml:space="preserve">Dear </w:t>
      </w:r>
      <w:r w:rsidR="002C1F60" w:rsidRPr="00DF3C92">
        <w:rPr>
          <w:lang w:val="en-GB"/>
        </w:rPr>
        <w:t>Benjamin and colleagues in the UNCITRAL Secretariat</w:t>
      </w:r>
      <w:r w:rsidR="00D41A31" w:rsidRPr="00DF3C92">
        <w:rPr>
          <w:lang w:val="en-GB"/>
        </w:rPr>
        <w:t>,</w:t>
      </w:r>
    </w:p>
    <w:p w14:paraId="5E88027E" w14:textId="0FD0D806" w:rsidR="009F772A" w:rsidRPr="00DF3C92" w:rsidRDefault="009F772A" w:rsidP="009F772A">
      <w:pPr>
        <w:rPr>
          <w:lang w:val="en-GB"/>
        </w:rPr>
      </w:pPr>
      <w:r w:rsidRPr="00DF3C92">
        <w:rPr>
          <w:lang w:val="en-GB"/>
        </w:rPr>
        <w:t>W</w:t>
      </w:r>
      <w:r w:rsidR="00B20FF3" w:rsidRPr="00DF3C92">
        <w:rPr>
          <w:lang w:val="en-GB"/>
        </w:rPr>
        <w:t xml:space="preserve">ith reference to the above request, </w:t>
      </w:r>
      <w:r w:rsidR="00F208E9" w:rsidRPr="00DF3C92">
        <w:rPr>
          <w:lang w:val="en-GB"/>
        </w:rPr>
        <w:t xml:space="preserve">Professor Christopher Yukins and Ms. Caroline Nicholas have </w:t>
      </w:r>
      <w:r w:rsidR="00D13997" w:rsidRPr="00DF3C92">
        <w:rPr>
          <w:lang w:val="en-GB"/>
        </w:rPr>
        <w:t>consulted on the issues raised. W</w:t>
      </w:r>
      <w:r w:rsidRPr="00DF3C92">
        <w:rPr>
          <w:lang w:val="en-GB"/>
        </w:rPr>
        <w:t>e are hono</w:t>
      </w:r>
      <w:r w:rsidR="00D13997" w:rsidRPr="00DF3C92">
        <w:rPr>
          <w:lang w:val="en-GB"/>
        </w:rPr>
        <w:t>u</w:t>
      </w:r>
      <w:r w:rsidRPr="00DF3C92">
        <w:rPr>
          <w:lang w:val="en-GB"/>
        </w:rPr>
        <w:t>red to submit this response to the request for inputs</w:t>
      </w:r>
      <w:r w:rsidR="004F678D" w:rsidRPr="00DF3C92">
        <w:rPr>
          <w:lang w:val="en-GB"/>
        </w:rPr>
        <w:t xml:space="preserve"> </w:t>
      </w:r>
      <w:r w:rsidRPr="00DF3C92">
        <w:rPr>
          <w:lang w:val="en-GB"/>
        </w:rPr>
        <w:t>possible updates to the UN Commission on International Trade Law (UNCITRAL) Model Law on Public Procurement (2011) and related texts</w:t>
      </w:r>
      <w:r w:rsidR="002A6473" w:rsidRPr="00DF3C92">
        <w:rPr>
          <w:lang w:val="en-GB"/>
        </w:rPr>
        <w:t>.</w:t>
      </w:r>
    </w:p>
    <w:p w14:paraId="383B0BEA" w14:textId="538A4396" w:rsidR="00CD22A0" w:rsidRPr="00DF3C92" w:rsidRDefault="00CD22A0" w:rsidP="00CD22A0">
      <w:pPr>
        <w:pStyle w:val="Heading1"/>
        <w:rPr>
          <w:b/>
          <w:bCs/>
          <w:color w:val="auto"/>
          <w:sz w:val="24"/>
          <w:szCs w:val="24"/>
          <w:lang w:val="en-GB"/>
        </w:rPr>
      </w:pPr>
      <w:r w:rsidRPr="00DF3C92">
        <w:rPr>
          <w:b/>
          <w:bCs/>
          <w:color w:val="auto"/>
          <w:sz w:val="24"/>
          <w:szCs w:val="24"/>
          <w:lang w:val="en-GB"/>
        </w:rPr>
        <w:lastRenderedPageBreak/>
        <w:t>Our Extensive Work with the UNCITRAL Model Law on Public Procurement</w:t>
      </w:r>
    </w:p>
    <w:p w14:paraId="7A78BB63" w14:textId="095B9618" w:rsidR="007D6562" w:rsidRPr="00DF3C92" w:rsidRDefault="009F772A" w:rsidP="009F772A">
      <w:pPr>
        <w:rPr>
          <w:lang w:val="en-GB"/>
        </w:rPr>
      </w:pPr>
      <w:r w:rsidRPr="00DF3C92">
        <w:rPr>
          <w:lang w:val="en-GB"/>
        </w:rPr>
        <w:t xml:space="preserve">We were both closely involved in the drafting of the 2011 version of the Model Law and its accompanying </w:t>
      </w:r>
      <w:r w:rsidR="00626FC9" w:rsidRPr="00DF3C92">
        <w:rPr>
          <w:lang w:val="en-GB"/>
        </w:rPr>
        <w:t>texts</w:t>
      </w:r>
      <w:r w:rsidRPr="00DF3C92">
        <w:rPr>
          <w:lang w:val="en-GB"/>
        </w:rPr>
        <w:t xml:space="preserve">. </w:t>
      </w:r>
    </w:p>
    <w:p w14:paraId="7FF5311B" w14:textId="0BDFFCA8" w:rsidR="00A63525" w:rsidRPr="00DF3C92" w:rsidRDefault="009F772A" w:rsidP="009F772A">
      <w:pPr>
        <w:rPr>
          <w:lang w:val="en-GB"/>
        </w:rPr>
      </w:pPr>
      <w:r w:rsidRPr="00DF3C92">
        <w:rPr>
          <w:lang w:val="en-GB"/>
        </w:rPr>
        <w:t xml:space="preserve">Professor Yukins served as an advisor to the U.S. delegation during the </w:t>
      </w:r>
      <w:r w:rsidR="00625E9F" w:rsidRPr="00DF3C92">
        <w:rPr>
          <w:lang w:val="en-GB"/>
        </w:rPr>
        <w:t xml:space="preserve">most recent </w:t>
      </w:r>
      <w:r w:rsidRPr="00DF3C92">
        <w:rPr>
          <w:lang w:val="en-GB"/>
        </w:rPr>
        <w:t xml:space="preserve">revision of the </w:t>
      </w:r>
      <w:r w:rsidR="007D6562" w:rsidRPr="00DF3C92">
        <w:rPr>
          <w:lang w:val="en-GB"/>
        </w:rPr>
        <w:t>model procurement law</w:t>
      </w:r>
      <w:r w:rsidRPr="00DF3C92">
        <w:rPr>
          <w:lang w:val="en-GB"/>
        </w:rPr>
        <w:t xml:space="preserve">. He joined the drafting effort at its inception in </w:t>
      </w:r>
      <w:proofErr w:type="gramStart"/>
      <w:r w:rsidRPr="00DF3C92">
        <w:rPr>
          <w:lang w:val="en-GB"/>
        </w:rPr>
        <w:t>2003, and</w:t>
      </w:r>
      <w:proofErr w:type="gramEnd"/>
      <w:r w:rsidRPr="00DF3C92">
        <w:rPr>
          <w:lang w:val="en-GB"/>
        </w:rPr>
        <w:t xml:space="preserve"> worked on the Model Law and its Guide to Enactment throughout the drafting period.</w:t>
      </w:r>
      <w:r w:rsidR="007D6562" w:rsidRPr="00DF3C92">
        <w:rPr>
          <w:lang w:val="en-GB"/>
        </w:rPr>
        <w:t xml:space="preserve"> P</w:t>
      </w:r>
      <w:r w:rsidR="00A63525" w:rsidRPr="00DF3C92">
        <w:rPr>
          <w:lang w:val="en-GB"/>
        </w:rPr>
        <w:t>rofessor Yukins continues to serve as the Lynn David R</w:t>
      </w:r>
      <w:r w:rsidR="00423B12" w:rsidRPr="00DF3C92">
        <w:rPr>
          <w:lang w:val="en-GB"/>
        </w:rPr>
        <w:t>esearch Professor in Government Procurement Law at the George Washington University Law School. He also serves as the Academic Advisor to the ongoing reform of the American Bar Association’s Model Procurement Law for State and Local Governments, a model law which is used across the United States.</w:t>
      </w:r>
    </w:p>
    <w:p w14:paraId="44F72502" w14:textId="76E9D1A0" w:rsidR="00731BC4" w:rsidRPr="00DF3C92" w:rsidRDefault="00731BC4" w:rsidP="009F772A">
      <w:pPr>
        <w:rPr>
          <w:lang w:val="en-GB"/>
        </w:rPr>
      </w:pPr>
      <w:r w:rsidRPr="00DF3C92">
        <w:rPr>
          <w:lang w:val="en-GB"/>
        </w:rPr>
        <w:t xml:space="preserve">Ms. Nicholas served as the Secretary to the UNCITRAL Working Group that drafted the </w:t>
      </w:r>
      <w:r w:rsidR="00CC69FC" w:rsidRPr="00DF3C92">
        <w:rPr>
          <w:lang w:val="en-GB"/>
        </w:rPr>
        <w:t xml:space="preserve">2011 iteration of the </w:t>
      </w:r>
      <w:r w:rsidRPr="00DF3C92">
        <w:rPr>
          <w:lang w:val="en-GB"/>
        </w:rPr>
        <w:t>Model Law. Ms. Nicholas also worked extensively on the UNCITRAL Model Legislative Provisions on Public-Private Partnerships (2019)</w:t>
      </w:r>
      <w:r w:rsidR="00CC69FC" w:rsidRPr="00DF3C92">
        <w:rPr>
          <w:lang w:val="en-GB"/>
        </w:rPr>
        <w:t xml:space="preserve">, and </w:t>
      </w:r>
      <w:r w:rsidRPr="00DF3C92">
        <w:rPr>
          <w:lang w:val="en-GB"/>
        </w:rPr>
        <w:t xml:space="preserve">currently </w:t>
      </w:r>
      <w:r w:rsidR="00CC69FC" w:rsidRPr="00DF3C92">
        <w:rPr>
          <w:lang w:val="en-GB"/>
        </w:rPr>
        <w:t xml:space="preserve">supports international organizations in its implementation, use and on supporting tools. </w:t>
      </w:r>
    </w:p>
    <w:p w14:paraId="3A09CE38" w14:textId="40D6099F" w:rsidR="009F772A" w:rsidRPr="00DF3C92" w:rsidRDefault="009F772A" w:rsidP="009F772A">
      <w:pPr>
        <w:rPr>
          <w:lang w:val="en-GB"/>
        </w:rPr>
      </w:pPr>
      <w:r w:rsidRPr="00DF3C92">
        <w:rPr>
          <w:lang w:val="en-GB"/>
        </w:rPr>
        <w:t xml:space="preserve">Together we have developed proposals for </w:t>
      </w:r>
      <w:r w:rsidR="00C45F03" w:rsidRPr="00DF3C92">
        <w:rPr>
          <w:lang w:val="en-GB"/>
        </w:rPr>
        <w:t xml:space="preserve">updating the </w:t>
      </w:r>
      <w:r w:rsidRPr="00DF3C92">
        <w:rPr>
          <w:lang w:val="en-GB"/>
        </w:rPr>
        <w:t xml:space="preserve">Model Law </w:t>
      </w:r>
      <w:r w:rsidR="00C45F03" w:rsidRPr="00DF3C92">
        <w:rPr>
          <w:lang w:val="en-GB"/>
        </w:rPr>
        <w:t xml:space="preserve">since it </w:t>
      </w:r>
      <w:r w:rsidRPr="00DF3C92">
        <w:rPr>
          <w:lang w:val="en-GB"/>
        </w:rPr>
        <w:t>was finalized in 2011, including t</w:t>
      </w:r>
      <w:r w:rsidR="00626FC9" w:rsidRPr="00DF3C92">
        <w:rPr>
          <w:lang w:val="en-GB"/>
        </w:rPr>
        <w:t xml:space="preserve">hose discussed in </w:t>
      </w:r>
      <w:r w:rsidR="00DF3C92">
        <w:rPr>
          <w:lang w:val="en-GB"/>
        </w:rPr>
        <w:t xml:space="preserve">a recently published chapter, </w:t>
      </w:r>
      <w:r w:rsidRPr="00DF3C92">
        <w:rPr>
          <w:lang w:val="en-GB"/>
        </w:rPr>
        <w:t xml:space="preserve">Christopher R. Yukins &amp; Caroline Nicholas, </w:t>
      </w:r>
      <w:r w:rsidRPr="00DF3C92">
        <w:rPr>
          <w:i/>
          <w:iCs/>
          <w:lang w:val="en-GB"/>
        </w:rPr>
        <w:t xml:space="preserve">The UNCITRAL Model Law on Public Procurement: Potential Next Steps, </w:t>
      </w:r>
      <w:r w:rsidRPr="00DF3C92">
        <w:rPr>
          <w:lang w:val="en-GB"/>
        </w:rPr>
        <w:t xml:space="preserve">in </w:t>
      </w:r>
      <w:r w:rsidRPr="00DF3C92">
        <w:rPr>
          <w:i/>
          <w:iCs/>
          <w:lang w:val="en-GB"/>
        </w:rPr>
        <w:t>Elgar Companion to UNCITRAL</w:t>
      </w:r>
      <w:r w:rsidRPr="00DF3C92">
        <w:rPr>
          <w:lang w:val="en-GB"/>
        </w:rPr>
        <w:t xml:space="preserve"> (Rishi Gulati, Thomas John &amp; Ben Koehler, eds.) (Edward Elgar Publishing Ltd., 2023), </w:t>
      </w:r>
      <w:r w:rsidRPr="00DF3C92">
        <w:rPr>
          <w:i/>
          <w:iCs/>
          <w:lang w:val="en-GB"/>
        </w:rPr>
        <w:t>available at</w:t>
      </w:r>
      <w:r w:rsidRPr="00DF3C92">
        <w:rPr>
          <w:lang w:val="en-GB"/>
        </w:rPr>
        <w:t xml:space="preserve"> </w:t>
      </w:r>
      <w:hyperlink r:id="rId12" w:history="1">
        <w:r w:rsidRPr="00DF3C92">
          <w:rPr>
            <w:rStyle w:val="Hyperlink"/>
            <w:lang w:val="en-GB"/>
          </w:rPr>
          <w:t>https://ssrn.com/abstract=4293959</w:t>
        </w:r>
      </w:hyperlink>
      <w:r w:rsidR="00E81440" w:rsidRPr="00DF3C92">
        <w:rPr>
          <w:lang w:val="en-GB"/>
        </w:rPr>
        <w:t>.</w:t>
      </w:r>
      <w:r w:rsidR="002A6473" w:rsidRPr="00DF3C92">
        <w:rPr>
          <w:lang w:val="en-GB"/>
        </w:rPr>
        <w:t xml:space="preserve"> </w:t>
      </w:r>
    </w:p>
    <w:p w14:paraId="5D612E11" w14:textId="31BF33E0" w:rsidR="00CD22A0" w:rsidRPr="00DF3C92" w:rsidRDefault="00CD22A0" w:rsidP="00CD22A0">
      <w:pPr>
        <w:pStyle w:val="Heading1"/>
        <w:rPr>
          <w:b/>
          <w:bCs/>
          <w:color w:val="auto"/>
          <w:sz w:val="24"/>
          <w:szCs w:val="24"/>
          <w:lang w:val="en-GB"/>
        </w:rPr>
      </w:pPr>
      <w:r w:rsidRPr="00DF3C92">
        <w:rPr>
          <w:b/>
          <w:bCs/>
          <w:color w:val="auto"/>
          <w:sz w:val="24"/>
          <w:szCs w:val="24"/>
          <w:lang w:val="en-GB"/>
        </w:rPr>
        <w:t>Inputs in Response to Requests</w:t>
      </w:r>
    </w:p>
    <w:p w14:paraId="06C34BDA" w14:textId="528F56F6" w:rsidR="00584E22" w:rsidRPr="00DF3C92" w:rsidRDefault="002A6473" w:rsidP="009F772A">
      <w:pPr>
        <w:rPr>
          <w:lang w:val="en-GB"/>
        </w:rPr>
      </w:pPr>
      <w:r w:rsidRPr="00DF3C92">
        <w:rPr>
          <w:lang w:val="en-GB"/>
        </w:rPr>
        <w:t xml:space="preserve">Our </w:t>
      </w:r>
      <w:r w:rsidR="007B2139" w:rsidRPr="00DF3C92">
        <w:rPr>
          <w:lang w:val="en-GB"/>
        </w:rPr>
        <w:t xml:space="preserve">2023 piece, cited above, </w:t>
      </w:r>
      <w:r w:rsidR="00423B12" w:rsidRPr="00DF3C92">
        <w:rPr>
          <w:lang w:val="en-GB"/>
        </w:rPr>
        <w:t>addresse</w:t>
      </w:r>
      <w:r w:rsidR="00053E74" w:rsidRPr="00DF3C92">
        <w:rPr>
          <w:lang w:val="en-GB"/>
        </w:rPr>
        <w:t>d</w:t>
      </w:r>
      <w:r w:rsidR="00423B12" w:rsidRPr="00DF3C92">
        <w:rPr>
          <w:lang w:val="en-GB"/>
        </w:rPr>
        <w:t xml:space="preserve"> many of the issues raised by the </w:t>
      </w:r>
      <w:r w:rsidR="004469DF" w:rsidRPr="00DF3C92">
        <w:rPr>
          <w:lang w:val="en-GB"/>
        </w:rPr>
        <w:t xml:space="preserve">referenced </w:t>
      </w:r>
      <w:r w:rsidR="00423B12" w:rsidRPr="00DF3C92">
        <w:rPr>
          <w:lang w:val="en-GB"/>
        </w:rPr>
        <w:t xml:space="preserve">request for inputs, as the table </w:t>
      </w:r>
      <w:r w:rsidR="004469DF" w:rsidRPr="00DF3C92">
        <w:rPr>
          <w:lang w:val="en-GB"/>
        </w:rPr>
        <w:t xml:space="preserve">below </w:t>
      </w:r>
      <w:r w:rsidR="00423B12" w:rsidRPr="00DF3C92">
        <w:rPr>
          <w:lang w:val="en-GB"/>
        </w:rPr>
        <w:t>reflects</w:t>
      </w:r>
      <w:r w:rsidR="00053E74" w:rsidRPr="00DF3C92">
        <w:rPr>
          <w:lang w:val="en-GB"/>
        </w:rPr>
        <w:t xml:space="preserve">. These are many of the same issues proposed for review by the UNCITRAL secretariat (see </w:t>
      </w:r>
      <w:hyperlink r:id="rId13" w:history="1">
        <w:r w:rsidR="00053E74" w:rsidRPr="00DF3C92">
          <w:rPr>
            <w:rStyle w:val="Hyperlink"/>
            <w:lang w:val="en-GB"/>
          </w:rPr>
          <w:t>A/CN.9/1230</w:t>
        </w:r>
      </w:hyperlink>
      <w:r w:rsidR="00DC6A1B" w:rsidRPr="00DF3C92">
        <w:rPr>
          <w:lang w:val="en-GB"/>
        </w:rPr>
        <w:t xml:space="preserve">, paras. </w:t>
      </w:r>
      <w:r w:rsidR="00BC3C53" w:rsidRPr="00DF3C92">
        <w:rPr>
          <w:lang w:val="en-GB"/>
        </w:rPr>
        <w:t>17</w:t>
      </w:r>
      <w:r w:rsidR="00DC6A1B" w:rsidRPr="00DF3C92">
        <w:rPr>
          <w:lang w:val="en-GB"/>
        </w:rPr>
        <w:t>-26</w:t>
      </w:r>
      <w:r w:rsidR="00053E74" w:rsidRPr="00DF3C92">
        <w:rPr>
          <w:lang w:val="en-GB"/>
        </w:rPr>
        <w:t xml:space="preserve">), </w:t>
      </w:r>
      <w:r w:rsidR="00B37BCB" w:rsidRPr="00DF3C92">
        <w:rPr>
          <w:lang w:val="en-GB"/>
        </w:rPr>
        <w:t xml:space="preserve">which </w:t>
      </w:r>
      <w:r w:rsidR="00053E74" w:rsidRPr="00DF3C92">
        <w:rPr>
          <w:lang w:val="en-GB"/>
        </w:rPr>
        <w:t>the Commission</w:t>
      </w:r>
      <w:r w:rsidR="003D40E4" w:rsidRPr="00DF3C92">
        <w:rPr>
          <w:lang w:val="en-GB"/>
        </w:rPr>
        <w:t xml:space="preserve"> </w:t>
      </w:r>
      <w:r w:rsidR="00B37BCB" w:rsidRPr="00DF3C92">
        <w:rPr>
          <w:lang w:val="en-GB"/>
        </w:rPr>
        <w:t>favo</w:t>
      </w:r>
      <w:r w:rsidR="00584E22" w:rsidRPr="00DF3C92">
        <w:rPr>
          <w:lang w:val="en-GB"/>
        </w:rPr>
        <w:t>u</w:t>
      </w:r>
      <w:r w:rsidR="00B37BCB" w:rsidRPr="00DF3C92">
        <w:rPr>
          <w:lang w:val="en-GB"/>
        </w:rPr>
        <w:t xml:space="preserve">rably </w:t>
      </w:r>
      <w:r w:rsidR="00053E74" w:rsidRPr="00DF3C92">
        <w:rPr>
          <w:lang w:val="en-GB"/>
        </w:rPr>
        <w:t xml:space="preserve">considered </w:t>
      </w:r>
      <w:r w:rsidR="00B37BCB" w:rsidRPr="00DF3C92">
        <w:rPr>
          <w:lang w:val="en-GB"/>
        </w:rPr>
        <w:t xml:space="preserve">in asking the secretariat to undertake this preparatory work for a possible update of the model law (see </w:t>
      </w:r>
      <w:hyperlink r:id="rId14" w:history="1">
        <w:r w:rsidR="00B37BCB" w:rsidRPr="00DF3C92">
          <w:rPr>
            <w:rStyle w:val="Hyperlink"/>
            <w:lang w:val="en-GB"/>
          </w:rPr>
          <w:t>A/80/17</w:t>
        </w:r>
      </w:hyperlink>
      <w:r w:rsidR="00B37BCB" w:rsidRPr="00DF3C92">
        <w:rPr>
          <w:lang w:val="en-GB"/>
        </w:rPr>
        <w:t>, para. 219).</w:t>
      </w:r>
      <w:r w:rsidR="00D94977" w:rsidRPr="00DF3C92">
        <w:rPr>
          <w:lang w:val="en-GB"/>
        </w:rPr>
        <w:t xml:space="preserve"> We hope that the</w:t>
      </w:r>
      <w:r w:rsidR="009479E9" w:rsidRPr="00DF3C92">
        <w:rPr>
          <w:lang w:val="en-GB"/>
        </w:rPr>
        <w:t xml:space="preserve"> comments and</w:t>
      </w:r>
      <w:r w:rsidR="00D94977" w:rsidRPr="00DF3C92">
        <w:rPr>
          <w:lang w:val="en-GB"/>
        </w:rPr>
        <w:t xml:space="preserve"> references </w:t>
      </w:r>
      <w:r w:rsidR="00F6263C" w:rsidRPr="00DF3C92">
        <w:rPr>
          <w:lang w:val="en-GB"/>
        </w:rPr>
        <w:t xml:space="preserve">below </w:t>
      </w:r>
      <w:r w:rsidR="00D94977" w:rsidRPr="00DF3C92">
        <w:rPr>
          <w:lang w:val="en-GB"/>
        </w:rPr>
        <w:t>are of use to the Secretariat</w:t>
      </w:r>
      <w:r w:rsidR="00E43CD1" w:rsidRPr="00DF3C92">
        <w:rPr>
          <w:lang w:val="en-GB"/>
        </w:rPr>
        <w:t>.</w:t>
      </w:r>
    </w:p>
    <w:p w14:paraId="3B817C14" w14:textId="77777777" w:rsidR="00584E22" w:rsidRPr="00DF3C92" w:rsidRDefault="00584E22">
      <w:pPr>
        <w:rPr>
          <w:lang w:val="en-GB"/>
        </w:rPr>
      </w:pPr>
      <w:r w:rsidRPr="00DF3C92">
        <w:rPr>
          <w:lang w:val="en-GB"/>
        </w:rPr>
        <w:br w:type="page"/>
      </w:r>
    </w:p>
    <w:p w14:paraId="6D31F059" w14:textId="77777777" w:rsidR="00D92ED2" w:rsidRPr="00DF3C92" w:rsidRDefault="00D92ED2" w:rsidP="009F772A">
      <w:pPr>
        <w:rPr>
          <w:lang w:val="en-GB"/>
        </w:rPr>
        <w:sectPr w:rsidR="00D92ED2" w:rsidRPr="00DF3C92">
          <w:footerReference w:type="default" r:id="rId15"/>
          <w:pgSz w:w="12240" w:h="15840"/>
          <w:pgMar w:top="1440" w:right="1440" w:bottom="1440" w:left="1440" w:header="720" w:footer="720" w:gutter="0"/>
          <w:cols w:space="720"/>
          <w:docGrid w:linePitch="360"/>
        </w:sectPr>
      </w:pPr>
    </w:p>
    <w:p w14:paraId="512D070D" w14:textId="77777777" w:rsidR="00F6263C" w:rsidRPr="00DF3C92" w:rsidRDefault="00F6263C" w:rsidP="009F772A">
      <w:pPr>
        <w:rPr>
          <w:lang w:val="en-GB"/>
        </w:rPr>
      </w:pPr>
    </w:p>
    <w:tbl>
      <w:tblPr>
        <w:tblStyle w:val="TableGrid"/>
        <w:tblW w:w="5316" w:type="pct"/>
        <w:tblLayout w:type="fixed"/>
        <w:tblLook w:val="04A0" w:firstRow="1" w:lastRow="0" w:firstColumn="1" w:lastColumn="0" w:noHBand="0" w:noVBand="1"/>
      </w:tblPr>
      <w:tblGrid>
        <w:gridCol w:w="2065"/>
        <w:gridCol w:w="1616"/>
        <w:gridCol w:w="4987"/>
        <w:gridCol w:w="5100"/>
      </w:tblGrid>
      <w:tr w:rsidR="00D32521" w:rsidRPr="009753D7" w14:paraId="64967000" w14:textId="5E5329BF" w:rsidTr="006D4C5B">
        <w:trPr>
          <w:tblHeader/>
        </w:trPr>
        <w:tc>
          <w:tcPr>
            <w:tcW w:w="750" w:type="pct"/>
          </w:tcPr>
          <w:p w14:paraId="1EFD8DD3" w14:textId="2C94D9F6" w:rsidR="008F663E" w:rsidRPr="00DF3C92" w:rsidRDefault="008F663E" w:rsidP="009F772A">
            <w:pPr>
              <w:rPr>
                <w:b/>
                <w:bCs/>
                <w:lang w:val="en-GB"/>
              </w:rPr>
            </w:pPr>
            <w:r w:rsidRPr="00DF3C92">
              <w:rPr>
                <w:b/>
                <w:bCs/>
                <w:lang w:val="en-GB"/>
              </w:rPr>
              <w:t>Topic</w:t>
            </w:r>
          </w:p>
        </w:tc>
        <w:tc>
          <w:tcPr>
            <w:tcW w:w="587" w:type="pct"/>
          </w:tcPr>
          <w:p w14:paraId="0036A715" w14:textId="1656D235" w:rsidR="008F663E" w:rsidRPr="00DF3C92" w:rsidRDefault="008D22F7" w:rsidP="009F772A">
            <w:pPr>
              <w:rPr>
                <w:b/>
                <w:bCs/>
                <w:lang w:val="en-GB"/>
              </w:rPr>
            </w:pPr>
            <w:hyperlink r:id="rId16" w:history="1">
              <w:r w:rsidRPr="00DF3C92">
                <w:rPr>
                  <w:rStyle w:val="Hyperlink"/>
                  <w:b/>
                  <w:bCs/>
                  <w:lang w:val="en-GB"/>
                </w:rPr>
                <w:t>A/80/17</w:t>
              </w:r>
            </w:hyperlink>
            <w:r>
              <w:rPr>
                <w:b/>
                <w:bCs/>
                <w:lang w:val="en-GB"/>
              </w:rPr>
              <w:t xml:space="preserve"> </w:t>
            </w:r>
            <w:r w:rsidR="008F663E" w:rsidRPr="00DF3C92">
              <w:rPr>
                <w:b/>
                <w:bCs/>
                <w:lang w:val="en-GB"/>
              </w:rPr>
              <w:t xml:space="preserve">References </w:t>
            </w:r>
          </w:p>
        </w:tc>
        <w:tc>
          <w:tcPr>
            <w:tcW w:w="1811" w:type="pct"/>
          </w:tcPr>
          <w:p w14:paraId="155866C1" w14:textId="0138FB25" w:rsidR="008F663E" w:rsidRPr="00DF3C92" w:rsidRDefault="008F663E" w:rsidP="009F772A">
            <w:pPr>
              <w:rPr>
                <w:b/>
                <w:bCs/>
                <w:lang w:val="en-GB"/>
              </w:rPr>
            </w:pPr>
            <w:r w:rsidRPr="00DF3C92">
              <w:rPr>
                <w:b/>
                <w:bCs/>
                <w:lang w:val="en-GB"/>
              </w:rPr>
              <w:t>Summary Points</w:t>
            </w:r>
          </w:p>
        </w:tc>
        <w:tc>
          <w:tcPr>
            <w:tcW w:w="1852" w:type="pct"/>
          </w:tcPr>
          <w:p w14:paraId="21028C85" w14:textId="77777777" w:rsidR="008F663E" w:rsidRPr="00DF3C92" w:rsidRDefault="008F663E" w:rsidP="009F772A">
            <w:pPr>
              <w:rPr>
                <w:b/>
                <w:bCs/>
                <w:lang w:val="en-GB"/>
              </w:rPr>
            </w:pPr>
            <w:r w:rsidRPr="00DF3C92">
              <w:rPr>
                <w:b/>
                <w:bCs/>
                <w:lang w:val="en-GB"/>
              </w:rPr>
              <w:t>Literature References</w:t>
            </w:r>
          </w:p>
          <w:p w14:paraId="37755F80" w14:textId="020F0413" w:rsidR="00F655DE" w:rsidRPr="00DF3C92" w:rsidRDefault="00F655DE" w:rsidP="009F772A">
            <w:pPr>
              <w:rPr>
                <w:b/>
                <w:bCs/>
                <w:lang w:val="en-GB"/>
              </w:rPr>
            </w:pPr>
          </w:p>
        </w:tc>
      </w:tr>
      <w:tr w:rsidR="00D32521" w:rsidRPr="009753D7" w14:paraId="75B85757" w14:textId="77777777" w:rsidTr="006D4C5B">
        <w:tc>
          <w:tcPr>
            <w:tcW w:w="750" w:type="pct"/>
          </w:tcPr>
          <w:p w14:paraId="7340E3DA" w14:textId="38A75632" w:rsidR="00200314" w:rsidRPr="00DF3C92" w:rsidRDefault="00200314" w:rsidP="00200314">
            <w:pPr>
              <w:rPr>
                <w:lang w:val="en-GB"/>
              </w:rPr>
            </w:pPr>
            <w:r w:rsidRPr="00DF3C92">
              <w:rPr>
                <w:lang w:val="en-GB"/>
              </w:rPr>
              <w:t>Green Procurement</w:t>
            </w:r>
          </w:p>
        </w:tc>
        <w:tc>
          <w:tcPr>
            <w:tcW w:w="587" w:type="pct"/>
          </w:tcPr>
          <w:p w14:paraId="1B721EA7" w14:textId="74319E9E" w:rsidR="00200314" w:rsidRPr="00DF3C92" w:rsidRDefault="008D22F7" w:rsidP="00200314">
            <w:pPr>
              <w:rPr>
                <w:lang w:val="en-GB"/>
              </w:rPr>
            </w:pPr>
            <w:r>
              <w:rPr>
                <w:lang w:val="en-GB"/>
              </w:rPr>
              <w:t>P</w:t>
            </w:r>
            <w:r w:rsidR="00200314" w:rsidRPr="00DF3C92">
              <w:rPr>
                <w:lang w:val="en-GB"/>
              </w:rPr>
              <w:t>ara. 218 (deferring consideration)</w:t>
            </w:r>
            <w:r w:rsidR="0062463C">
              <w:rPr>
                <w:lang w:val="en-GB"/>
              </w:rPr>
              <w:t>; Para. 216</w:t>
            </w:r>
          </w:p>
        </w:tc>
        <w:tc>
          <w:tcPr>
            <w:tcW w:w="1811" w:type="pct"/>
          </w:tcPr>
          <w:p w14:paraId="7B49460E" w14:textId="65D60A1B" w:rsidR="0024451A" w:rsidRPr="00DF3C92" w:rsidRDefault="00200314" w:rsidP="00957541">
            <w:pPr>
              <w:pStyle w:val="ListParagraph"/>
              <w:ind w:left="31"/>
              <w:rPr>
                <w:lang w:val="en-GB"/>
              </w:rPr>
            </w:pPr>
            <w:r w:rsidRPr="00DF3C92">
              <w:rPr>
                <w:lang w:val="en-GB"/>
              </w:rPr>
              <w:t xml:space="preserve">While the Commission declined to take up issues of “green procurement” (environmentally sustainable procurement), a key issue here is one of trade – the Commission’s core area of expertise. </w:t>
            </w:r>
          </w:p>
          <w:p w14:paraId="0AF0D63A" w14:textId="77777777" w:rsidR="0024451A" w:rsidRPr="00DF3C92" w:rsidRDefault="0024451A" w:rsidP="00957541">
            <w:pPr>
              <w:pStyle w:val="ListParagraph"/>
              <w:ind w:left="31"/>
              <w:rPr>
                <w:lang w:val="en-GB"/>
              </w:rPr>
            </w:pPr>
          </w:p>
          <w:p w14:paraId="467F6084" w14:textId="77777777" w:rsidR="0024451A" w:rsidRPr="00DF3C92" w:rsidRDefault="00200314" w:rsidP="00957541">
            <w:pPr>
              <w:pStyle w:val="ListParagraph"/>
              <w:ind w:left="31"/>
              <w:rPr>
                <w:lang w:val="en-GB"/>
              </w:rPr>
            </w:pPr>
            <w:r w:rsidRPr="00DF3C92">
              <w:rPr>
                <w:lang w:val="en-GB"/>
              </w:rPr>
              <w:t xml:space="preserve">As a practical matter one of the most common strategies used for green procurement is ecolabels that denote environmentally sustainable products. </w:t>
            </w:r>
          </w:p>
          <w:p w14:paraId="57C0802E" w14:textId="77777777" w:rsidR="0024451A" w:rsidRPr="00DF3C92" w:rsidRDefault="0024451A" w:rsidP="00957541">
            <w:pPr>
              <w:pStyle w:val="ListParagraph"/>
              <w:ind w:left="31"/>
              <w:rPr>
                <w:lang w:val="en-GB"/>
              </w:rPr>
            </w:pPr>
          </w:p>
          <w:p w14:paraId="53C0F854" w14:textId="1013E192" w:rsidR="00DF3C92" w:rsidRDefault="00957E32" w:rsidP="00DF3C92">
            <w:pPr>
              <w:pStyle w:val="ListParagraph"/>
              <w:ind w:left="31"/>
              <w:rPr>
                <w:lang w:val="en-GB"/>
              </w:rPr>
            </w:pPr>
            <w:r w:rsidRPr="00DF3C92">
              <w:rPr>
                <w:lang w:val="en-GB"/>
              </w:rPr>
              <w:t>A</w:t>
            </w:r>
            <w:r w:rsidR="00200314" w:rsidRPr="00DF3C92">
              <w:rPr>
                <w:lang w:val="en-GB"/>
              </w:rPr>
              <w:t>s overhauled by the current U.S. administration,</w:t>
            </w:r>
            <w:r w:rsidR="001D252D" w:rsidRPr="00DF3C92">
              <w:rPr>
                <w:lang w:val="en-GB"/>
              </w:rPr>
              <w:t xml:space="preserve"> FAR </w:t>
            </w:r>
            <w:r w:rsidR="00F524EA" w:rsidRPr="00DF3C92">
              <w:rPr>
                <w:lang w:val="en-GB"/>
              </w:rPr>
              <w:t>23.</w:t>
            </w:r>
            <w:r w:rsidR="001D252D" w:rsidRPr="00DF3C92">
              <w:rPr>
                <w:lang w:val="en-GB"/>
              </w:rPr>
              <w:t>101</w:t>
            </w:r>
            <w:r w:rsidR="00F524EA" w:rsidRPr="00DF3C92">
              <w:rPr>
                <w:lang w:val="en-GB"/>
              </w:rPr>
              <w:t xml:space="preserve"> requires </w:t>
            </w:r>
            <w:r w:rsidR="00200314" w:rsidRPr="00DF3C92">
              <w:rPr>
                <w:lang w:val="en-GB"/>
              </w:rPr>
              <w:t>agencies to “procure sustainable products to the maximum extent practicable</w:t>
            </w:r>
            <w:r w:rsidR="005C2B3C">
              <w:rPr>
                <w:lang w:val="en-GB"/>
              </w:rPr>
              <w:t>,</w:t>
            </w:r>
            <w:r w:rsidR="00D32521">
              <w:rPr>
                <w:lang w:val="en-GB"/>
              </w:rPr>
              <w:t>”</w:t>
            </w:r>
            <w:r w:rsidR="005C2B3C">
              <w:rPr>
                <w:lang w:val="en-GB"/>
              </w:rPr>
              <w:t xml:space="preserve"> </w:t>
            </w:r>
            <w:r w:rsidR="00200314" w:rsidRPr="00DF3C92">
              <w:rPr>
                <w:lang w:val="en-GB"/>
              </w:rPr>
              <w:t xml:space="preserve">looking to approved products and </w:t>
            </w:r>
            <w:r w:rsidR="005C2B3C">
              <w:rPr>
                <w:lang w:val="en-GB"/>
              </w:rPr>
              <w:t>eco</w:t>
            </w:r>
            <w:r w:rsidR="00200314" w:rsidRPr="00DF3C92">
              <w:rPr>
                <w:lang w:val="en-GB"/>
              </w:rPr>
              <w:t xml:space="preserve">labels. </w:t>
            </w:r>
          </w:p>
          <w:p w14:paraId="7B22C1C5" w14:textId="77777777" w:rsidR="00DF3C92" w:rsidRDefault="00DF3C92" w:rsidP="00DF3C92">
            <w:pPr>
              <w:pStyle w:val="ListParagraph"/>
              <w:ind w:left="31"/>
              <w:rPr>
                <w:lang w:val="en-GB"/>
              </w:rPr>
            </w:pPr>
          </w:p>
          <w:p w14:paraId="040EBB46" w14:textId="2D03856F" w:rsidR="00200314" w:rsidRPr="00DF3C92" w:rsidRDefault="00200314" w:rsidP="00DF3C92">
            <w:pPr>
              <w:pStyle w:val="ListParagraph"/>
              <w:ind w:left="31"/>
              <w:rPr>
                <w:lang w:val="en-GB"/>
              </w:rPr>
            </w:pPr>
            <w:r w:rsidRPr="00DF3C92">
              <w:rPr>
                <w:lang w:val="en-GB"/>
              </w:rPr>
              <w:t>Ecolabels that vary from nation to nation can raise barriers to trade; the Commission may wish to focus on these issues, to update the Model Law to ensure that environmental sustainability does not raise artificial barriers to trade.</w:t>
            </w:r>
          </w:p>
        </w:tc>
        <w:tc>
          <w:tcPr>
            <w:tcW w:w="1852" w:type="pct"/>
          </w:tcPr>
          <w:p w14:paraId="4824CDB8" w14:textId="3B62B04D" w:rsidR="00DD2574" w:rsidRPr="00DF3C92" w:rsidRDefault="00DD2574" w:rsidP="00200314">
            <w:pPr>
              <w:rPr>
                <w:lang w:val="en-GB"/>
              </w:rPr>
            </w:pPr>
            <w:hyperlink r:id="rId17" w:history="1">
              <w:r w:rsidRPr="00DF3C92">
                <w:rPr>
                  <w:rStyle w:val="Hyperlink"/>
                  <w:lang w:val="en-GB"/>
                </w:rPr>
                <w:t>Yukins &amp; Nicholas</w:t>
              </w:r>
            </w:hyperlink>
            <w:r w:rsidRPr="00DF3C92">
              <w:rPr>
                <w:lang w:val="en-GB"/>
              </w:rPr>
              <w:t xml:space="preserve"> § 4.1 (citing authorities and solutions for green procurement)</w:t>
            </w:r>
            <w:r w:rsidR="005C2B3C">
              <w:rPr>
                <w:lang w:val="en-GB"/>
              </w:rPr>
              <w:t xml:space="preserve">; C. Yukins, </w:t>
            </w:r>
            <w:hyperlink r:id="rId18" w:history="1">
              <w:r w:rsidR="005C2B3C" w:rsidRPr="005C2B3C">
                <w:rPr>
                  <w:rStyle w:val="Hyperlink"/>
                  <w:i/>
                  <w:iCs/>
                  <w:lang w:val="en-GB"/>
                </w:rPr>
                <w:t>Updating the UNCITRAL Model Law for Green Procurement</w:t>
              </w:r>
            </w:hyperlink>
            <w:r w:rsidR="005C2B3C">
              <w:rPr>
                <w:lang w:val="en-GB"/>
              </w:rPr>
              <w:t xml:space="preserve"> (2024)</w:t>
            </w:r>
          </w:p>
          <w:p w14:paraId="1926D2A6" w14:textId="77777777" w:rsidR="00DD2574" w:rsidRPr="00DF3C92" w:rsidRDefault="00DD2574" w:rsidP="00200314">
            <w:pPr>
              <w:rPr>
                <w:lang w:val="en-GB"/>
              </w:rPr>
            </w:pPr>
          </w:p>
          <w:p w14:paraId="1F0A5C50" w14:textId="77777777" w:rsidR="00F524EA" w:rsidRPr="00DF3C92" w:rsidRDefault="00F524EA" w:rsidP="00200314">
            <w:pPr>
              <w:rPr>
                <w:lang w:val="en-GB"/>
              </w:rPr>
            </w:pPr>
          </w:p>
          <w:p w14:paraId="3C0774BF" w14:textId="266067D3" w:rsidR="0024451A" w:rsidRPr="00DF3C92" w:rsidRDefault="0024451A" w:rsidP="00200314">
            <w:pPr>
              <w:rPr>
                <w:lang w:val="en-GB"/>
              </w:rPr>
            </w:pPr>
            <w:r w:rsidRPr="00DF3C92">
              <w:rPr>
                <w:lang w:val="en-GB"/>
              </w:rPr>
              <w:t xml:space="preserve">EU Procurement Directive 2014/24/EU, Art. </w:t>
            </w:r>
            <w:proofErr w:type="gramStart"/>
            <w:r w:rsidRPr="00DF3C92">
              <w:rPr>
                <w:lang w:val="en-GB"/>
              </w:rPr>
              <w:t>43</w:t>
            </w:r>
            <w:r w:rsidR="00DF3C92">
              <w:rPr>
                <w:lang w:val="en-GB"/>
              </w:rPr>
              <w:t xml:space="preserve">; </w:t>
            </w:r>
            <w:r w:rsidRPr="00DF3C92">
              <w:rPr>
                <w:lang w:val="en-GB"/>
              </w:rPr>
              <w:t xml:space="preserve"> </w:t>
            </w:r>
            <w:r w:rsidR="005C2B3C" w:rsidRPr="005C2B3C">
              <w:rPr>
                <w:lang w:val="en-GB"/>
              </w:rPr>
              <w:t>Marta</w:t>
            </w:r>
            <w:proofErr w:type="gramEnd"/>
            <w:r w:rsidR="005C2B3C" w:rsidRPr="005C2B3C">
              <w:rPr>
                <w:lang w:val="en-GB"/>
              </w:rPr>
              <w:t xml:space="preserve"> Andhov &amp; Christopher Yukins, </w:t>
            </w:r>
            <w:hyperlink r:id="rId19" w:history="1">
              <w:r w:rsidR="005C2B3C" w:rsidRPr="005C2B3C">
                <w:rPr>
                  <w:rStyle w:val="Hyperlink"/>
                  <w:lang w:val="en-GB"/>
                </w:rPr>
                <w:t>66 Gov. Contractor ¶ 60</w:t>
              </w:r>
            </w:hyperlink>
            <w:r w:rsidR="005C2B3C" w:rsidRPr="005C2B3C">
              <w:rPr>
                <w:lang w:val="en-GB"/>
              </w:rPr>
              <w:t xml:space="preserve"> (Thomson Reuters, 2024). </w:t>
            </w:r>
          </w:p>
          <w:p w14:paraId="37AD1AF1" w14:textId="77777777" w:rsidR="0024451A" w:rsidRPr="00DF3C92" w:rsidRDefault="0024451A" w:rsidP="00200314">
            <w:pPr>
              <w:rPr>
                <w:lang w:val="en-GB"/>
              </w:rPr>
            </w:pPr>
          </w:p>
          <w:p w14:paraId="5A82CBC7" w14:textId="77777777" w:rsidR="00D32521" w:rsidRDefault="00D32521" w:rsidP="00200314">
            <w:pPr>
              <w:rPr>
                <w:lang w:val="en-GB"/>
              </w:rPr>
            </w:pPr>
          </w:p>
          <w:p w14:paraId="5C8A6D56" w14:textId="1D838B46" w:rsidR="0024451A" w:rsidRPr="00DF3C92" w:rsidRDefault="0024451A" w:rsidP="00200314">
            <w:pPr>
              <w:rPr>
                <w:lang w:val="en-GB"/>
              </w:rPr>
            </w:pPr>
            <w:r w:rsidRPr="00DF3C92">
              <w:rPr>
                <w:lang w:val="en-GB"/>
              </w:rPr>
              <w:t>U.S. Federal Acquisition Regulation 23.101</w:t>
            </w:r>
            <w:r w:rsidR="00957E32" w:rsidRPr="00DF3C92">
              <w:rPr>
                <w:lang w:val="en-GB"/>
              </w:rPr>
              <w:t xml:space="preserve">, </w:t>
            </w:r>
            <w:hyperlink r:id="rId20" w:history="1">
              <w:r w:rsidR="00957E32" w:rsidRPr="00DF3C92">
                <w:rPr>
                  <w:rStyle w:val="Hyperlink"/>
                  <w:lang w:val="en-GB"/>
                </w:rPr>
                <w:t>https://www.acquisition.gov/far-overhaul/far-part-deviation-guide/far-overhaul-part-23</w:t>
              </w:r>
            </w:hyperlink>
            <w:r w:rsidR="00DF3C92">
              <w:rPr>
                <w:lang w:val="en-GB"/>
              </w:rPr>
              <w:t xml:space="preserve"> (as revised)</w:t>
            </w:r>
          </w:p>
          <w:p w14:paraId="0210C816" w14:textId="77777777" w:rsidR="00F524EA" w:rsidRPr="009753D7" w:rsidRDefault="00F524EA" w:rsidP="00200314">
            <w:pPr>
              <w:rPr>
                <w:lang w:val="en-GB"/>
              </w:rPr>
            </w:pPr>
          </w:p>
          <w:p w14:paraId="5E6AC130" w14:textId="77777777" w:rsidR="00F524EA" w:rsidRPr="009753D7" w:rsidRDefault="00F524EA" w:rsidP="00200314">
            <w:pPr>
              <w:rPr>
                <w:lang w:val="en-GB"/>
              </w:rPr>
            </w:pPr>
          </w:p>
          <w:p w14:paraId="524547D6" w14:textId="106FD2F6" w:rsidR="00F524EA" w:rsidRPr="00DF3C92" w:rsidRDefault="00F524EA" w:rsidP="00F524EA">
            <w:pPr>
              <w:rPr>
                <w:lang w:val="en-GB"/>
              </w:rPr>
            </w:pPr>
            <w:r w:rsidRPr="00DF3C92">
              <w:rPr>
                <w:lang w:val="en-GB"/>
              </w:rPr>
              <w:t>Ensure environmental or sustainability requirements do not lead to unjust discrimination by procuring entities, in line with the WTO GPA</w:t>
            </w:r>
            <w:r w:rsidR="00DF3C92">
              <w:rPr>
                <w:lang w:val="en-GB"/>
              </w:rPr>
              <w:t xml:space="preserve"> </w:t>
            </w:r>
            <w:r w:rsidRPr="00DF3C92">
              <w:rPr>
                <w:lang w:val="en-GB"/>
              </w:rPr>
              <w:t>(</w:t>
            </w:r>
            <w:hyperlink r:id="rId21" w:history="1">
              <w:r w:rsidR="00DF3C92" w:rsidRPr="005C2B3C">
                <w:rPr>
                  <w:rStyle w:val="Hyperlink"/>
                  <w:lang w:val="en-GB"/>
                </w:rPr>
                <w:t>A/80/17</w:t>
              </w:r>
            </w:hyperlink>
            <w:r w:rsidR="00DF3C92">
              <w:rPr>
                <w:b/>
                <w:bCs/>
                <w:lang w:val="en-GB"/>
              </w:rPr>
              <w:t xml:space="preserve">, </w:t>
            </w:r>
            <w:r w:rsidRPr="00DF3C92">
              <w:rPr>
                <w:lang w:val="en-GB"/>
              </w:rPr>
              <w:t>para. 216)</w:t>
            </w:r>
            <w:r w:rsidR="0062463C">
              <w:rPr>
                <w:lang w:val="en-GB"/>
              </w:rPr>
              <w:t>.</w:t>
            </w:r>
          </w:p>
          <w:p w14:paraId="44330E4C" w14:textId="63B91B4F" w:rsidR="00F524EA" w:rsidRPr="00DF3C92" w:rsidRDefault="00F524EA" w:rsidP="00200314">
            <w:pPr>
              <w:rPr>
                <w:lang w:val="en-GB"/>
              </w:rPr>
            </w:pPr>
          </w:p>
        </w:tc>
      </w:tr>
      <w:tr w:rsidR="00D32521" w:rsidRPr="009753D7" w14:paraId="449002E8" w14:textId="77777777" w:rsidTr="006D4C5B">
        <w:tc>
          <w:tcPr>
            <w:tcW w:w="750" w:type="pct"/>
          </w:tcPr>
          <w:p w14:paraId="767D3D25" w14:textId="0FA93D22" w:rsidR="00957541" w:rsidRPr="00DF3C92" w:rsidRDefault="00957541" w:rsidP="00957541">
            <w:pPr>
              <w:rPr>
                <w:lang w:val="en-GB"/>
              </w:rPr>
            </w:pPr>
            <w:r w:rsidRPr="00DF3C92">
              <w:rPr>
                <w:lang w:val="en-GB"/>
              </w:rPr>
              <w:t>Green Procurement</w:t>
            </w:r>
          </w:p>
        </w:tc>
        <w:tc>
          <w:tcPr>
            <w:tcW w:w="587" w:type="pct"/>
          </w:tcPr>
          <w:p w14:paraId="3D9FB9E4" w14:textId="1ABCB3F2" w:rsidR="00957541" w:rsidRPr="00DF3C92" w:rsidRDefault="008D22F7" w:rsidP="00957541">
            <w:pPr>
              <w:rPr>
                <w:lang w:val="en-GB"/>
              </w:rPr>
            </w:pPr>
            <w:r>
              <w:rPr>
                <w:lang w:val="en-GB"/>
              </w:rPr>
              <w:t>P</w:t>
            </w:r>
            <w:r w:rsidR="00957541" w:rsidRPr="00DF3C92">
              <w:rPr>
                <w:lang w:val="en-GB"/>
              </w:rPr>
              <w:t xml:space="preserve">aras. 216, 218-219 (deferring consideration of climate </w:t>
            </w:r>
            <w:r w:rsidR="00957541" w:rsidRPr="00DF3C92">
              <w:rPr>
                <w:lang w:val="en-GB"/>
              </w:rPr>
              <w:lastRenderedPageBreak/>
              <w:t>change mitigation, adaptation and resilience</w:t>
            </w:r>
            <w:r w:rsidR="009F7A69">
              <w:rPr>
                <w:lang w:val="en-GB"/>
              </w:rPr>
              <w:t>)</w:t>
            </w:r>
          </w:p>
        </w:tc>
        <w:tc>
          <w:tcPr>
            <w:tcW w:w="1811" w:type="pct"/>
          </w:tcPr>
          <w:p w14:paraId="561F55A5" w14:textId="523922B1" w:rsidR="00957541" w:rsidRPr="00DF3C92" w:rsidRDefault="00957541" w:rsidP="00957541">
            <w:pPr>
              <w:rPr>
                <w:lang w:val="en-GB"/>
              </w:rPr>
            </w:pPr>
            <w:r w:rsidRPr="00DF3C92">
              <w:rPr>
                <w:lang w:val="en-GB"/>
              </w:rPr>
              <w:lastRenderedPageBreak/>
              <w:t xml:space="preserve">While the Commission declined to take up issues of “green procurement” (environmentally sustainable procurement), a </w:t>
            </w:r>
            <w:r w:rsidR="005052B7">
              <w:rPr>
                <w:lang w:val="en-GB"/>
              </w:rPr>
              <w:t>second</w:t>
            </w:r>
            <w:r w:rsidRPr="00DF3C92">
              <w:rPr>
                <w:lang w:val="en-GB"/>
              </w:rPr>
              <w:t xml:space="preserve"> key issue here is one of consistency with other international texts</w:t>
            </w:r>
            <w:r w:rsidR="008E1709">
              <w:rPr>
                <w:lang w:val="en-GB"/>
              </w:rPr>
              <w:t xml:space="preserve"> and ensuring the </w:t>
            </w:r>
            <w:r w:rsidR="008E1709">
              <w:rPr>
                <w:lang w:val="en-GB"/>
              </w:rPr>
              <w:lastRenderedPageBreak/>
              <w:t xml:space="preserve">widest possible use of the </w:t>
            </w:r>
            <w:r w:rsidR="008E1709">
              <w:rPr>
                <w:i/>
                <w:iCs/>
                <w:lang w:val="en-GB"/>
              </w:rPr>
              <w:t>Mo</w:t>
            </w:r>
            <w:r w:rsidR="003B49CF">
              <w:rPr>
                <w:i/>
                <w:iCs/>
                <w:lang w:val="en-GB"/>
              </w:rPr>
              <w:t>del Law</w:t>
            </w:r>
            <w:r w:rsidRPr="00DF3C92">
              <w:rPr>
                <w:lang w:val="en-GB"/>
              </w:rPr>
              <w:t xml:space="preserve">, as noted in the Commission report and </w:t>
            </w:r>
            <w:r w:rsidRPr="00DF3C92">
              <w:rPr>
                <w:i/>
                <w:iCs/>
                <w:lang w:val="en-GB"/>
              </w:rPr>
              <w:t>Guide to Enactment</w:t>
            </w:r>
            <w:r w:rsidR="005052B7">
              <w:rPr>
                <w:i/>
                <w:iCs/>
                <w:lang w:val="en-GB"/>
              </w:rPr>
              <w:t>.</w:t>
            </w:r>
          </w:p>
          <w:p w14:paraId="0B256D11" w14:textId="77777777" w:rsidR="00957541" w:rsidRPr="00DF3C92" w:rsidRDefault="00957541" w:rsidP="00957541">
            <w:pPr>
              <w:rPr>
                <w:lang w:val="en-GB"/>
              </w:rPr>
            </w:pPr>
          </w:p>
          <w:p w14:paraId="35D5DBA6" w14:textId="347210B0" w:rsidR="00957541" w:rsidRPr="00DF3C92" w:rsidRDefault="00957541" w:rsidP="00957541">
            <w:pPr>
              <w:rPr>
                <w:lang w:val="en-GB"/>
              </w:rPr>
            </w:pPr>
            <w:r w:rsidRPr="00DF3C92">
              <w:rPr>
                <w:lang w:val="en-GB"/>
              </w:rPr>
              <w:t>International organizations, notably the World Bank and other multilateral financial institutions, include green procurement as part of their approach to strategic procurement and in procurement for projects they finance</w:t>
            </w:r>
            <w:r w:rsidR="00016D57" w:rsidRPr="00DF3C92">
              <w:rPr>
                <w:lang w:val="en-GB"/>
              </w:rPr>
              <w:t>.</w:t>
            </w:r>
            <w:r w:rsidRPr="00DF3C92">
              <w:rPr>
                <w:lang w:val="en-GB"/>
              </w:rPr>
              <w:t xml:space="preserve"> </w:t>
            </w:r>
          </w:p>
          <w:p w14:paraId="68584B2A" w14:textId="77777777" w:rsidR="00957541" w:rsidRPr="00DF3C92" w:rsidRDefault="00957541" w:rsidP="00957541">
            <w:pPr>
              <w:rPr>
                <w:lang w:val="en-GB"/>
              </w:rPr>
            </w:pPr>
          </w:p>
          <w:p w14:paraId="41699599" w14:textId="77777777" w:rsidR="00016D57" w:rsidRPr="00DF3C92" w:rsidRDefault="00016D57" w:rsidP="00957541">
            <w:pPr>
              <w:rPr>
                <w:lang w:val="en-GB"/>
              </w:rPr>
            </w:pPr>
          </w:p>
          <w:p w14:paraId="103A4D5B" w14:textId="77777777" w:rsidR="005052B7" w:rsidRDefault="005052B7" w:rsidP="00957541">
            <w:pPr>
              <w:rPr>
                <w:lang w:val="en-GB"/>
              </w:rPr>
            </w:pPr>
          </w:p>
          <w:p w14:paraId="702CC8F3" w14:textId="77777777" w:rsidR="00F67082" w:rsidRDefault="00F67082" w:rsidP="00957541">
            <w:pPr>
              <w:rPr>
                <w:lang w:val="en-GB"/>
              </w:rPr>
            </w:pPr>
          </w:p>
          <w:p w14:paraId="5CE07C0E" w14:textId="77777777" w:rsidR="00F67082" w:rsidRDefault="00F67082" w:rsidP="00957541">
            <w:pPr>
              <w:rPr>
                <w:lang w:val="en-GB"/>
              </w:rPr>
            </w:pPr>
          </w:p>
          <w:p w14:paraId="1E487EA0" w14:textId="0D0D248E" w:rsidR="00957541" w:rsidRPr="00DF3C92" w:rsidRDefault="00957541" w:rsidP="00957541">
            <w:pPr>
              <w:rPr>
                <w:lang w:val="en-GB"/>
              </w:rPr>
            </w:pPr>
            <w:r w:rsidRPr="00DF3C92">
              <w:rPr>
                <w:lang w:val="en-GB"/>
              </w:rPr>
              <w:t>The WTO has issued catalogues of green public procurement-related provisions at the international level and among GPA parties</w:t>
            </w:r>
            <w:r w:rsidR="00762EF7">
              <w:rPr>
                <w:lang w:val="en-GB"/>
              </w:rPr>
              <w:t>.</w:t>
            </w:r>
          </w:p>
          <w:p w14:paraId="5E2E76F9" w14:textId="77777777" w:rsidR="00957541" w:rsidRPr="00DF3C92" w:rsidRDefault="00957541" w:rsidP="00957541">
            <w:pPr>
              <w:rPr>
                <w:lang w:val="en-GB"/>
              </w:rPr>
            </w:pPr>
          </w:p>
          <w:p w14:paraId="55D8CA53" w14:textId="77777777" w:rsidR="00D32521" w:rsidRDefault="00D32521" w:rsidP="00957541">
            <w:pPr>
              <w:pStyle w:val="ListParagraph"/>
              <w:ind w:left="31"/>
              <w:rPr>
                <w:lang w:val="en-GB"/>
              </w:rPr>
            </w:pPr>
          </w:p>
          <w:p w14:paraId="5F48F8AB" w14:textId="77777777" w:rsidR="00D32521" w:rsidRDefault="00D32521" w:rsidP="00957541">
            <w:pPr>
              <w:pStyle w:val="ListParagraph"/>
              <w:ind w:left="31"/>
              <w:rPr>
                <w:lang w:val="en-GB"/>
              </w:rPr>
            </w:pPr>
          </w:p>
          <w:p w14:paraId="33AB26A3" w14:textId="78D6B0C9" w:rsidR="00957541" w:rsidRPr="00DF3C92" w:rsidRDefault="00957541" w:rsidP="00957541">
            <w:pPr>
              <w:pStyle w:val="ListParagraph"/>
              <w:ind w:left="31"/>
              <w:rPr>
                <w:lang w:val="en-GB"/>
              </w:rPr>
            </w:pPr>
            <w:r w:rsidRPr="00DF3C92">
              <w:rPr>
                <w:lang w:val="en-GB"/>
              </w:rPr>
              <w:t xml:space="preserve">While the </w:t>
            </w:r>
            <w:r w:rsidRPr="00DF3C92">
              <w:rPr>
                <w:i/>
                <w:iCs/>
                <w:lang w:val="en-GB"/>
              </w:rPr>
              <w:t>Model Law</w:t>
            </w:r>
            <w:r w:rsidRPr="00DF3C92">
              <w:rPr>
                <w:lang w:val="en-GB"/>
              </w:rPr>
              <w:t xml:space="preserve"> has effective enabling provisions for green procurement, commentators including the present authors have noted that the considerable flexibility in the </w:t>
            </w:r>
            <w:r w:rsidRPr="00DF3C92">
              <w:rPr>
                <w:i/>
                <w:iCs/>
                <w:lang w:val="en-GB"/>
              </w:rPr>
              <w:t>Model Law</w:t>
            </w:r>
            <w:r w:rsidRPr="00DF3C92">
              <w:rPr>
                <w:lang w:val="en-GB"/>
              </w:rPr>
              <w:t xml:space="preserve"> in this regard is insufficiently understood by users of the text, and the provisions are under-utilized</w:t>
            </w:r>
            <w:r w:rsidR="00947D33" w:rsidRPr="00DF3C92">
              <w:rPr>
                <w:lang w:val="en-GB"/>
              </w:rPr>
              <w:t xml:space="preserve">. The Commission may wish to review the </w:t>
            </w:r>
            <w:r w:rsidR="00947D33" w:rsidRPr="00DF3C92">
              <w:rPr>
                <w:i/>
                <w:iCs/>
                <w:lang w:val="en-GB"/>
              </w:rPr>
              <w:t xml:space="preserve">Model </w:t>
            </w:r>
            <w:r w:rsidR="00947D33" w:rsidRPr="00DF3C92">
              <w:rPr>
                <w:i/>
                <w:iCs/>
                <w:lang w:val="en-GB"/>
              </w:rPr>
              <w:lastRenderedPageBreak/>
              <w:t>Law</w:t>
            </w:r>
            <w:r w:rsidR="00947D33" w:rsidRPr="00DF3C92">
              <w:rPr>
                <w:lang w:val="en-GB"/>
              </w:rPr>
              <w:t xml:space="preserve"> and </w:t>
            </w:r>
            <w:r w:rsidR="00947D33" w:rsidRPr="00DF3C92">
              <w:rPr>
                <w:i/>
                <w:iCs/>
                <w:lang w:val="en-GB"/>
              </w:rPr>
              <w:t>Guide</w:t>
            </w:r>
            <w:r w:rsidR="00947D33" w:rsidRPr="00DF3C92">
              <w:rPr>
                <w:lang w:val="en-GB"/>
              </w:rPr>
              <w:t xml:space="preserve"> to ensure that the objectives of the tex</w:t>
            </w:r>
            <w:r w:rsidR="009753D7" w:rsidRPr="00DF3C92">
              <w:rPr>
                <w:lang w:val="en-GB"/>
              </w:rPr>
              <w:t>ts</w:t>
            </w:r>
            <w:r w:rsidR="00947D33" w:rsidRPr="00DF3C92">
              <w:rPr>
                <w:lang w:val="en-GB"/>
              </w:rPr>
              <w:t xml:space="preserve"> are appropriately </w:t>
            </w:r>
            <w:r w:rsidR="003B49CF">
              <w:rPr>
                <w:lang w:val="en-GB"/>
              </w:rPr>
              <w:t>elucidated</w:t>
            </w:r>
            <w:r w:rsidR="009753D7" w:rsidRPr="00DF3C92">
              <w:rPr>
                <w:lang w:val="en-GB"/>
              </w:rPr>
              <w:t xml:space="preserve"> and </w:t>
            </w:r>
            <w:r w:rsidR="003B49CF">
              <w:rPr>
                <w:lang w:val="en-GB"/>
              </w:rPr>
              <w:t xml:space="preserve">thus </w:t>
            </w:r>
            <w:r w:rsidR="009753D7" w:rsidRPr="00DF3C92">
              <w:rPr>
                <w:lang w:val="en-GB"/>
              </w:rPr>
              <w:t xml:space="preserve">the widest possible use of the </w:t>
            </w:r>
            <w:r w:rsidR="009753D7" w:rsidRPr="00DF3C92">
              <w:rPr>
                <w:i/>
                <w:iCs/>
                <w:lang w:val="en-GB"/>
              </w:rPr>
              <w:t>Model Law</w:t>
            </w:r>
            <w:r w:rsidR="009753D7" w:rsidRPr="00DF3C92">
              <w:rPr>
                <w:lang w:val="en-GB"/>
              </w:rPr>
              <w:t>.</w:t>
            </w:r>
          </w:p>
        </w:tc>
        <w:tc>
          <w:tcPr>
            <w:tcW w:w="1852" w:type="pct"/>
          </w:tcPr>
          <w:p w14:paraId="37EC9FDE" w14:textId="077F7DF8" w:rsidR="00957541" w:rsidRPr="00DF3C92" w:rsidRDefault="00957541" w:rsidP="00957541">
            <w:pPr>
              <w:rPr>
                <w:lang w:val="en-GB"/>
              </w:rPr>
            </w:pPr>
            <w:hyperlink r:id="rId22" w:history="1">
              <w:r w:rsidRPr="00DF3C92">
                <w:rPr>
                  <w:rStyle w:val="Hyperlink"/>
                  <w:lang w:val="en-GB"/>
                </w:rPr>
                <w:t>Yukins &amp; Nicholas</w:t>
              </w:r>
            </w:hyperlink>
            <w:r w:rsidRPr="00DF3C92">
              <w:rPr>
                <w:lang w:val="en-GB"/>
              </w:rPr>
              <w:t xml:space="preserve"> § 4.1 (citing authorities and solutions for green procurement)</w:t>
            </w:r>
          </w:p>
          <w:p w14:paraId="7E14B5F4" w14:textId="77777777" w:rsidR="009B507E" w:rsidRDefault="009B507E" w:rsidP="00957541">
            <w:pPr>
              <w:rPr>
                <w:lang w:val="en-GB"/>
              </w:rPr>
            </w:pPr>
          </w:p>
          <w:p w14:paraId="0F498108" w14:textId="3BA9D9C9" w:rsidR="00957541" w:rsidRPr="00DF3C92" w:rsidRDefault="00957541" w:rsidP="00957541">
            <w:pPr>
              <w:rPr>
                <w:lang w:val="en-GB"/>
              </w:rPr>
            </w:pPr>
            <w:r w:rsidRPr="00DF3C92">
              <w:rPr>
                <w:lang w:val="en-GB"/>
              </w:rPr>
              <w:t>Ensure consistent approaches at the global level (</w:t>
            </w:r>
            <w:hyperlink r:id="rId23" w:history="1">
              <w:r w:rsidRPr="00DF3C92">
                <w:rPr>
                  <w:rStyle w:val="Hyperlink"/>
                  <w:lang w:val="en-GB"/>
                </w:rPr>
                <w:t>A/80/17</w:t>
              </w:r>
            </w:hyperlink>
            <w:r w:rsidRPr="00DF3C92">
              <w:rPr>
                <w:lang w:val="en-GB"/>
              </w:rPr>
              <w:t>, para. 216)</w:t>
            </w:r>
            <w:r w:rsidR="003B49CF">
              <w:rPr>
                <w:lang w:val="en-GB"/>
              </w:rPr>
              <w:t>.</w:t>
            </w:r>
          </w:p>
          <w:p w14:paraId="11E7D55E" w14:textId="77777777" w:rsidR="00957541" w:rsidRPr="00DF3C92" w:rsidRDefault="00957541" w:rsidP="00957541">
            <w:pPr>
              <w:rPr>
                <w:lang w:val="en-GB"/>
              </w:rPr>
            </w:pPr>
          </w:p>
          <w:p w14:paraId="57262F2A" w14:textId="77777777" w:rsidR="005052B7" w:rsidRDefault="005052B7" w:rsidP="00957541">
            <w:pPr>
              <w:rPr>
                <w:i/>
                <w:iCs/>
                <w:lang w:val="en-GB"/>
              </w:rPr>
            </w:pPr>
          </w:p>
          <w:p w14:paraId="45E67ADC" w14:textId="77777777" w:rsidR="005052B7" w:rsidRDefault="005052B7" w:rsidP="00957541">
            <w:pPr>
              <w:rPr>
                <w:i/>
                <w:iCs/>
                <w:lang w:val="en-GB"/>
              </w:rPr>
            </w:pPr>
          </w:p>
          <w:p w14:paraId="122D9495" w14:textId="77777777" w:rsidR="00957541" w:rsidRPr="009753D7" w:rsidRDefault="00957541" w:rsidP="00957541">
            <w:pPr>
              <w:rPr>
                <w:lang w:val="en-GB"/>
              </w:rPr>
            </w:pPr>
          </w:p>
          <w:p w14:paraId="79A9CD2D" w14:textId="017B3979" w:rsidR="00957541" w:rsidRDefault="009B507E" w:rsidP="00957541">
            <w:pPr>
              <w:rPr>
                <w:lang w:val="en-GB"/>
              </w:rPr>
            </w:pPr>
            <w:r>
              <w:rPr>
                <w:lang w:val="en-GB"/>
              </w:rPr>
              <w:t xml:space="preserve">World Bank, </w:t>
            </w:r>
            <w:hyperlink r:id="rId24" w:history="1">
              <w:r w:rsidRPr="009B507E">
                <w:rPr>
                  <w:rStyle w:val="Hyperlink"/>
                  <w:lang w:val="en-GB"/>
                </w:rPr>
                <w:t xml:space="preserve">Implementing Sustainable Procurement </w:t>
              </w:r>
            </w:hyperlink>
          </w:p>
          <w:p w14:paraId="34EB7D2B" w14:textId="77777777" w:rsidR="009B507E" w:rsidRDefault="009B507E" w:rsidP="00957541">
            <w:pPr>
              <w:rPr>
                <w:lang w:val="en-GB"/>
              </w:rPr>
            </w:pPr>
          </w:p>
          <w:p w14:paraId="77827AC8" w14:textId="52A8E851" w:rsidR="009B507E" w:rsidRPr="00DF3C92" w:rsidRDefault="009B507E" w:rsidP="00957541">
            <w:pPr>
              <w:rPr>
                <w:lang w:val="en-GB"/>
              </w:rPr>
            </w:pPr>
            <w:r>
              <w:rPr>
                <w:lang w:val="en-GB"/>
              </w:rPr>
              <w:t xml:space="preserve">European Bank for Reconstruction and Development, </w:t>
            </w:r>
            <w:hyperlink r:id="rId25" w:history="1">
              <w:r w:rsidR="00D32521" w:rsidRPr="00D32521">
                <w:rPr>
                  <w:rStyle w:val="Hyperlink"/>
                  <w:i/>
                  <w:iCs/>
                  <w:lang w:val="en-GB"/>
                </w:rPr>
                <w:t>Procurement Policies and Rules</w:t>
              </w:r>
            </w:hyperlink>
            <w:r w:rsidR="00D32521">
              <w:rPr>
                <w:i/>
                <w:iCs/>
                <w:lang w:val="en-GB"/>
              </w:rPr>
              <w:t xml:space="preserve">, </w:t>
            </w:r>
            <w:r w:rsidR="00D32521">
              <w:rPr>
                <w:lang w:val="en-GB"/>
              </w:rPr>
              <w:t>para. 1.5 (2022)</w:t>
            </w:r>
          </w:p>
          <w:p w14:paraId="3ACD88B6" w14:textId="27EF4BE7" w:rsidR="00D32521" w:rsidRDefault="00D32521" w:rsidP="00957541">
            <w:pPr>
              <w:rPr>
                <w:lang w:val="en-GB"/>
              </w:rPr>
            </w:pPr>
          </w:p>
          <w:p w14:paraId="7C737A46" w14:textId="7067CA6C" w:rsidR="00D32521" w:rsidRPr="00D32521" w:rsidRDefault="00D32521" w:rsidP="00957541">
            <w:pPr>
              <w:rPr>
                <w:lang w:val="en-GB"/>
              </w:rPr>
            </w:pPr>
            <w:r>
              <w:rPr>
                <w:lang w:val="en-GB"/>
              </w:rPr>
              <w:t xml:space="preserve">European Bank for Reconstruction and Development, </w:t>
            </w:r>
            <w:hyperlink r:id="rId26" w:history="1">
              <w:r w:rsidRPr="00D32521">
                <w:rPr>
                  <w:rStyle w:val="Hyperlink"/>
                  <w:i/>
                  <w:iCs/>
                  <w:lang w:val="en-GB"/>
                </w:rPr>
                <w:t>Environmental and Social Policy</w:t>
              </w:r>
            </w:hyperlink>
            <w:r>
              <w:rPr>
                <w:i/>
                <w:iCs/>
                <w:lang w:val="en-GB"/>
              </w:rPr>
              <w:t xml:space="preserve">, </w:t>
            </w:r>
            <w:r>
              <w:rPr>
                <w:lang w:val="en-GB"/>
              </w:rPr>
              <w:t xml:space="preserve">Sec. 7 (2024) </w:t>
            </w:r>
          </w:p>
          <w:p w14:paraId="131180AC" w14:textId="77777777" w:rsidR="00D32521" w:rsidRPr="00DF3C92" w:rsidRDefault="00D32521" w:rsidP="00957541">
            <w:pPr>
              <w:rPr>
                <w:lang w:val="en-GB"/>
              </w:rPr>
            </w:pPr>
          </w:p>
          <w:p w14:paraId="10E79D68" w14:textId="6A7F1380" w:rsidR="00D32521" w:rsidRDefault="00D32521" w:rsidP="00957541">
            <w:pPr>
              <w:rPr>
                <w:lang w:val="en-GB"/>
              </w:rPr>
            </w:pPr>
            <w:r>
              <w:rPr>
                <w:lang w:val="en-GB"/>
              </w:rPr>
              <w:t xml:space="preserve">WTO, </w:t>
            </w:r>
            <w:hyperlink r:id="rId27" w:history="1">
              <w:r w:rsidRPr="00D32521">
                <w:rPr>
                  <w:rStyle w:val="Hyperlink"/>
                  <w:i/>
                  <w:iCs/>
                  <w:lang w:val="en-GB"/>
                </w:rPr>
                <w:t>Catalogues Covering Green Public Procurement (GPP)-Related Provisions That Certain GPA Parties Have (I) Implemented in Domestic Laws and Policies and (II)</w:t>
              </w:r>
              <w:r w:rsidRPr="00D32521">
                <w:rPr>
                  <w:rStyle w:val="Hyperlink"/>
                  <w:lang w:val="en-GB"/>
                </w:rPr>
                <w:t xml:space="preserve"> </w:t>
              </w:r>
              <w:r w:rsidRPr="00D32521">
                <w:rPr>
                  <w:rStyle w:val="Hyperlink"/>
                  <w:i/>
                  <w:iCs/>
                  <w:lang w:val="en-GB"/>
                </w:rPr>
                <w:t>Incorporated in International Instruments</w:t>
              </w:r>
            </w:hyperlink>
          </w:p>
          <w:p w14:paraId="3C783DD7" w14:textId="77777777" w:rsidR="00F67082" w:rsidRDefault="00F67082" w:rsidP="00957541">
            <w:pPr>
              <w:rPr>
                <w:lang w:val="en-GB"/>
              </w:rPr>
            </w:pPr>
          </w:p>
          <w:p w14:paraId="68E814B8" w14:textId="39E1AF61" w:rsidR="00F67082" w:rsidRPr="009753D7" w:rsidRDefault="00F67082" w:rsidP="00F67082">
            <w:pPr>
              <w:rPr>
                <w:lang w:val="en-GB"/>
              </w:rPr>
            </w:pPr>
            <w:r w:rsidRPr="00342764">
              <w:rPr>
                <w:i/>
                <w:iCs/>
                <w:lang w:val="en-GB"/>
              </w:rPr>
              <w:t>Guide to Enactment</w:t>
            </w:r>
            <w:r w:rsidRPr="009753D7">
              <w:rPr>
                <w:lang w:val="en-GB"/>
              </w:rPr>
              <w:t>, Part One, para. 36: “A key concern of UNCITRAL is to allow the widest possible use of the Model Law. In this regard, it has sought to enhance its usefulness by harmonizing the text to the extent possible with other international texts on procurement, so that it can be used by parties to them without major amendment</w:t>
            </w:r>
            <w:r>
              <w:rPr>
                <w:lang w:val="en-GB"/>
              </w:rPr>
              <w:t>.</w:t>
            </w:r>
            <w:r w:rsidRPr="009753D7">
              <w:rPr>
                <w:lang w:val="en-GB"/>
              </w:rPr>
              <w:t>”</w:t>
            </w:r>
          </w:p>
          <w:p w14:paraId="47F607A4" w14:textId="073710E3" w:rsidR="00F67082" w:rsidRPr="00DF3C92" w:rsidRDefault="00F67082" w:rsidP="00957541">
            <w:pPr>
              <w:rPr>
                <w:lang w:val="en-GB"/>
              </w:rPr>
            </w:pPr>
          </w:p>
        </w:tc>
      </w:tr>
      <w:tr w:rsidR="00D32521" w:rsidRPr="009753D7" w14:paraId="5BDDE644" w14:textId="01AF4A03" w:rsidTr="006D4C5B">
        <w:tc>
          <w:tcPr>
            <w:tcW w:w="750" w:type="pct"/>
          </w:tcPr>
          <w:p w14:paraId="63542125" w14:textId="0DEE645D" w:rsidR="00957541" w:rsidRPr="00DF3C92" w:rsidRDefault="00957541" w:rsidP="00957541">
            <w:pPr>
              <w:rPr>
                <w:lang w:val="en-GB"/>
              </w:rPr>
            </w:pPr>
            <w:r w:rsidRPr="00DF3C92">
              <w:rPr>
                <w:lang w:val="en-GB"/>
              </w:rPr>
              <w:lastRenderedPageBreak/>
              <w:t>Suspension and Debarment</w:t>
            </w:r>
          </w:p>
        </w:tc>
        <w:tc>
          <w:tcPr>
            <w:tcW w:w="587" w:type="pct"/>
          </w:tcPr>
          <w:p w14:paraId="2D8886B2" w14:textId="0B6857D2" w:rsidR="00957541" w:rsidRPr="00DF3C92" w:rsidRDefault="00957541" w:rsidP="00957541">
            <w:pPr>
              <w:rPr>
                <w:lang w:val="en-GB"/>
              </w:rPr>
            </w:pPr>
            <w:r w:rsidRPr="00DF3C92">
              <w:rPr>
                <w:lang w:val="en-GB"/>
              </w:rPr>
              <w:t xml:space="preserve"> </w:t>
            </w:r>
            <w:r w:rsidR="009F7A69">
              <w:rPr>
                <w:lang w:val="en-GB"/>
              </w:rPr>
              <w:t>P</w:t>
            </w:r>
            <w:r w:rsidRPr="00DF3C92">
              <w:rPr>
                <w:lang w:val="en-GB"/>
              </w:rPr>
              <w:t>ara. 217</w:t>
            </w:r>
          </w:p>
        </w:tc>
        <w:tc>
          <w:tcPr>
            <w:tcW w:w="1811" w:type="pct"/>
          </w:tcPr>
          <w:p w14:paraId="6E7E5BB1" w14:textId="2FCD51F3" w:rsidR="00957541" w:rsidRDefault="00957541" w:rsidP="00957541">
            <w:pPr>
              <w:rPr>
                <w:lang w:val="en-GB"/>
              </w:rPr>
            </w:pPr>
            <w:r w:rsidRPr="00DF3C92">
              <w:rPr>
                <w:lang w:val="en-GB"/>
              </w:rPr>
              <w:t xml:space="preserve">The Commission has indicated that it may wish to expand the </w:t>
            </w:r>
            <w:r w:rsidRPr="00DF3C92">
              <w:rPr>
                <w:i/>
                <w:iCs/>
                <w:lang w:val="en-GB"/>
              </w:rPr>
              <w:t xml:space="preserve">Model Law </w:t>
            </w:r>
            <w:r w:rsidRPr="00DF3C92">
              <w:rPr>
                <w:lang w:val="en-GB"/>
              </w:rPr>
              <w:t xml:space="preserve">and </w:t>
            </w:r>
            <w:r w:rsidRPr="00DF3C92">
              <w:rPr>
                <w:i/>
                <w:iCs/>
                <w:lang w:val="en-GB"/>
              </w:rPr>
              <w:t xml:space="preserve">Guide to Enactment </w:t>
            </w:r>
            <w:r w:rsidRPr="00DF3C92">
              <w:rPr>
                <w:lang w:val="en-GB"/>
              </w:rPr>
              <w:t xml:space="preserve">on </w:t>
            </w:r>
            <w:r w:rsidR="004A3C9D">
              <w:rPr>
                <w:lang w:val="en-GB"/>
              </w:rPr>
              <w:t xml:space="preserve">exclusion and </w:t>
            </w:r>
            <w:r w:rsidRPr="00DF3C92">
              <w:rPr>
                <w:lang w:val="en-GB"/>
              </w:rPr>
              <w:t>debarment</w:t>
            </w:r>
            <w:r w:rsidR="004A3C9D">
              <w:rPr>
                <w:lang w:val="en-GB"/>
              </w:rPr>
              <w:t xml:space="preserve"> – the process, an inherent part of contractor qualification, by which a public purchaser excludes contractors that pose unacceptable performance or reputational risks</w:t>
            </w:r>
            <w:r w:rsidRPr="00DF3C92">
              <w:rPr>
                <w:lang w:val="en-GB"/>
              </w:rPr>
              <w:t xml:space="preserve">. In keeping with its focus on transborder trade, the Commission may wish to </w:t>
            </w:r>
            <w:r w:rsidR="004A3C9D">
              <w:rPr>
                <w:lang w:val="en-GB"/>
              </w:rPr>
              <w:t xml:space="preserve">look to </w:t>
            </w:r>
            <w:r w:rsidRPr="00DF3C92">
              <w:rPr>
                <w:lang w:val="en-GB"/>
              </w:rPr>
              <w:t>how debarment and exclusion might be addressed optimally in a global economy</w:t>
            </w:r>
            <w:r w:rsidR="00237D62">
              <w:rPr>
                <w:lang w:val="en-GB"/>
              </w:rPr>
              <w:t>, among cooperating nations.</w:t>
            </w:r>
            <w:r w:rsidRPr="00DF3C92">
              <w:rPr>
                <w:lang w:val="en-GB"/>
              </w:rPr>
              <w:t xml:space="preserve"> This means addressing: (1) </w:t>
            </w:r>
            <w:r w:rsidRPr="00DF3C92">
              <w:rPr>
                <w:i/>
                <w:iCs/>
                <w:lang w:val="en-GB"/>
              </w:rPr>
              <w:t xml:space="preserve">how </w:t>
            </w:r>
            <w:r w:rsidRPr="00DF3C92">
              <w:rPr>
                <w:lang w:val="en-GB"/>
              </w:rPr>
              <w:t xml:space="preserve">exclusion and debarment are done, through established rules that balance rights to transparency and due process with a government’s need to address risk in its public supply chain; (2) </w:t>
            </w:r>
            <w:r w:rsidRPr="00DF3C92">
              <w:rPr>
                <w:i/>
                <w:iCs/>
                <w:lang w:val="en-GB"/>
              </w:rPr>
              <w:t xml:space="preserve">who </w:t>
            </w:r>
            <w:r w:rsidRPr="00DF3C92">
              <w:rPr>
                <w:lang w:val="en-GB"/>
              </w:rPr>
              <w:t xml:space="preserve">is being excluded or debarred, by ensuring publication </w:t>
            </w:r>
            <w:r w:rsidR="00237D62">
              <w:rPr>
                <w:lang w:val="en-GB"/>
              </w:rPr>
              <w:t xml:space="preserve">of those excluded </w:t>
            </w:r>
            <w:r w:rsidRPr="00DF3C92">
              <w:rPr>
                <w:lang w:val="en-GB"/>
              </w:rPr>
              <w:t xml:space="preserve">and </w:t>
            </w:r>
            <w:r w:rsidR="00237D62">
              <w:rPr>
                <w:lang w:val="en-GB"/>
              </w:rPr>
              <w:t xml:space="preserve">potentially assessing </w:t>
            </w:r>
            <w:r w:rsidRPr="00DF3C92">
              <w:rPr>
                <w:lang w:val="en-GB"/>
              </w:rPr>
              <w:t xml:space="preserve">beneficial ownership – the linchpins to addressing </w:t>
            </w:r>
            <w:r w:rsidR="00237D62">
              <w:rPr>
                <w:lang w:val="en-GB"/>
              </w:rPr>
              <w:t xml:space="preserve">the </w:t>
            </w:r>
            <w:r w:rsidRPr="00DF3C92">
              <w:rPr>
                <w:lang w:val="en-GB"/>
              </w:rPr>
              <w:t>risk</w:t>
            </w:r>
            <w:r w:rsidR="00237D62">
              <w:rPr>
                <w:lang w:val="en-GB"/>
              </w:rPr>
              <w:t>s inherent when unqualified persons exercise corporate control;</w:t>
            </w:r>
            <w:r w:rsidRPr="00DF3C92">
              <w:rPr>
                <w:lang w:val="en-GB"/>
              </w:rPr>
              <w:t xml:space="preserve"> (3) </w:t>
            </w:r>
            <w:r w:rsidRPr="00DF3C92">
              <w:rPr>
                <w:i/>
                <w:iCs/>
                <w:lang w:val="en-GB"/>
              </w:rPr>
              <w:t xml:space="preserve">why </w:t>
            </w:r>
            <w:r w:rsidRPr="00DF3C92">
              <w:rPr>
                <w:lang w:val="en-GB"/>
              </w:rPr>
              <w:t xml:space="preserve">an entity was excluded or debarred, which can mean publishing an explanation for debarment as part of a broader sharing of </w:t>
            </w:r>
            <w:r w:rsidR="00CE6CC6">
              <w:rPr>
                <w:lang w:val="en-GB"/>
              </w:rPr>
              <w:t>supplier</w:t>
            </w:r>
            <w:r w:rsidRPr="00DF3C92">
              <w:rPr>
                <w:lang w:val="en-GB"/>
              </w:rPr>
              <w:t xml:space="preserve"> </w:t>
            </w:r>
            <w:r w:rsidRPr="00DF3C92">
              <w:rPr>
                <w:lang w:val="en-GB"/>
              </w:rPr>
              <w:lastRenderedPageBreak/>
              <w:t xml:space="preserve">qualification information across borders. As the Secretariat suggested, the Commission </w:t>
            </w:r>
            <w:r w:rsidR="00237D62">
              <w:rPr>
                <w:lang w:val="en-GB"/>
              </w:rPr>
              <w:t xml:space="preserve">also </w:t>
            </w:r>
            <w:r w:rsidRPr="00DF3C92">
              <w:rPr>
                <w:lang w:val="en-GB"/>
              </w:rPr>
              <w:t>may wish to address whether bidders can be “readmitted through corrective measures or program</w:t>
            </w:r>
            <w:r w:rsidR="009753D7" w:rsidRPr="00DF3C92">
              <w:rPr>
                <w:lang w:val="en-GB"/>
              </w:rPr>
              <w:t>me</w:t>
            </w:r>
            <w:r w:rsidRPr="00DF3C92">
              <w:rPr>
                <w:lang w:val="en-GB"/>
              </w:rPr>
              <w:t xml:space="preserve">s (e.g., self-cleaning).” This is standard practice internationally, as exclusion is commonly viewed as a risk-mitigation measure that can be lifted if the affected </w:t>
            </w:r>
            <w:r w:rsidR="00CE6CC6">
              <w:rPr>
                <w:lang w:val="en-GB"/>
              </w:rPr>
              <w:t>supplier</w:t>
            </w:r>
            <w:r w:rsidRPr="00DF3C92">
              <w:rPr>
                <w:lang w:val="en-GB"/>
              </w:rPr>
              <w:t xml:space="preserve"> can mitigate risks through enhanced corporate controls</w:t>
            </w:r>
            <w:r w:rsidR="00237D62">
              <w:rPr>
                <w:lang w:val="en-GB"/>
              </w:rPr>
              <w:t>.</w:t>
            </w:r>
          </w:p>
          <w:p w14:paraId="5A6DBF34" w14:textId="77777777" w:rsidR="00237D62" w:rsidRDefault="00237D62" w:rsidP="00957541">
            <w:pPr>
              <w:rPr>
                <w:lang w:val="en-GB"/>
              </w:rPr>
            </w:pPr>
          </w:p>
          <w:p w14:paraId="0D83F0B0" w14:textId="29711535" w:rsidR="00237D62" w:rsidRDefault="00237D62" w:rsidP="00957541">
            <w:r>
              <w:t>M</w:t>
            </w:r>
            <w:r w:rsidRPr="00237D62">
              <w:t xml:space="preserve">odern policy is shifting from </w:t>
            </w:r>
            <w:r>
              <w:t xml:space="preserve">a </w:t>
            </w:r>
            <w:r w:rsidRPr="00237D62">
              <w:t>punitive approach</w:t>
            </w:r>
            <w:r>
              <w:t xml:space="preserve"> </w:t>
            </w:r>
            <w:r w:rsidRPr="00237D62">
              <w:t xml:space="preserve">to </w:t>
            </w:r>
            <w:r>
              <w:t xml:space="preserve">a more </w:t>
            </w:r>
            <w:r w:rsidRPr="00237D62">
              <w:t>rehabilitative/risk-based one</w:t>
            </w:r>
            <w:r>
              <w:t xml:space="preserve">. In practice, this means </w:t>
            </w:r>
            <w:r w:rsidRPr="00237D62">
              <w:t xml:space="preserve">authorities are expected to </w:t>
            </w:r>
            <w:r w:rsidR="006D4C5B">
              <w:t xml:space="preserve">take into account </w:t>
            </w:r>
            <w:hyperlink r:id="rId28" w:anchor=":~:text=check%20the%20central%20debarment%20list,in%20the%20CMA%20case%20list" w:history="1">
              <w:r w:rsidRPr="00237D62">
                <w:rPr>
                  <w:rStyle w:val="Hyperlink"/>
                </w:rPr>
                <w:t xml:space="preserve">“self cleaning” </w:t>
              </w:r>
            </w:hyperlink>
            <w:r w:rsidRPr="00237D62">
              <w:t xml:space="preserve">by the supplier (and connected persons) when deciding </w:t>
            </w:r>
            <w:r>
              <w:t xml:space="preserve">whether </w:t>
            </w:r>
            <w:r w:rsidRPr="00237D62">
              <w:t>to exclude</w:t>
            </w:r>
            <w:r>
              <w:t>.</w:t>
            </w:r>
          </w:p>
          <w:p w14:paraId="64471B2E" w14:textId="77777777" w:rsidR="006D4C5B" w:rsidRDefault="006D4C5B" w:rsidP="00957541"/>
          <w:p w14:paraId="43475DBA" w14:textId="00A47727" w:rsidR="006D4C5B" w:rsidRPr="00237D62" w:rsidRDefault="006D4C5B" w:rsidP="00957541"/>
          <w:p w14:paraId="43DB9D98" w14:textId="77777777" w:rsidR="00237D62" w:rsidRDefault="00237D62" w:rsidP="00957541">
            <w:pPr>
              <w:rPr>
                <w:lang w:val="en-GB"/>
              </w:rPr>
            </w:pPr>
          </w:p>
          <w:p w14:paraId="14F6C725" w14:textId="046B0F55" w:rsidR="00237D62" w:rsidRPr="00DF3C92" w:rsidRDefault="00237D62" w:rsidP="00957541">
            <w:pPr>
              <w:rPr>
                <w:lang w:val="en-GB"/>
              </w:rPr>
            </w:pPr>
          </w:p>
        </w:tc>
        <w:tc>
          <w:tcPr>
            <w:tcW w:w="1852" w:type="pct"/>
          </w:tcPr>
          <w:p w14:paraId="698C440B" w14:textId="77777777" w:rsidR="00237D62" w:rsidRDefault="00957541" w:rsidP="00957541">
            <w:pPr>
              <w:rPr>
                <w:lang w:val="en-GB"/>
              </w:rPr>
            </w:pPr>
            <w:hyperlink r:id="rId29" w:history="1">
              <w:r w:rsidRPr="00DF3C92">
                <w:rPr>
                  <w:rStyle w:val="Hyperlink"/>
                  <w:lang w:val="en-GB"/>
                </w:rPr>
                <w:t>Yukins &amp; Nicholas</w:t>
              </w:r>
            </w:hyperlink>
            <w:r w:rsidRPr="00DF3C92">
              <w:rPr>
                <w:lang w:val="en-GB"/>
              </w:rPr>
              <w:t xml:space="preserve"> § 4.3 (citing authorities)</w:t>
            </w:r>
          </w:p>
          <w:p w14:paraId="44E48DC3" w14:textId="77777777" w:rsidR="00237D62" w:rsidRDefault="00237D62" w:rsidP="00957541">
            <w:pPr>
              <w:rPr>
                <w:lang w:val="en-GB"/>
              </w:rPr>
            </w:pPr>
          </w:p>
          <w:p w14:paraId="19226092" w14:textId="07682963" w:rsidR="00237D62" w:rsidRDefault="00957541" w:rsidP="00957541">
            <w:pPr>
              <w:rPr>
                <w:lang w:val="en-GB"/>
              </w:rPr>
            </w:pPr>
            <w:r w:rsidRPr="00DF3C92">
              <w:rPr>
                <w:lang w:val="en-GB"/>
              </w:rPr>
              <w:t xml:space="preserve">Silva, Yukins &amp; Avelar,  </w:t>
            </w:r>
            <w:hyperlink r:id="rId30" w:history="1">
              <w:r w:rsidRPr="00237D62">
                <w:rPr>
                  <w:rStyle w:val="Hyperlink"/>
                  <w:i/>
                  <w:iCs/>
                  <w:lang w:val="en-GB"/>
                </w:rPr>
                <w:t>A Comparative View of Debarment and Suspension of Contractors in Brazil and in the USA</w:t>
              </w:r>
            </w:hyperlink>
            <w:r w:rsidRPr="00DF3C92">
              <w:rPr>
                <w:i/>
                <w:iCs/>
                <w:lang w:val="en-GB"/>
              </w:rPr>
              <w:t xml:space="preserve">, </w:t>
            </w:r>
            <w:r w:rsidRPr="00DF3C92">
              <w:rPr>
                <w:lang w:val="en-GB"/>
              </w:rPr>
              <w:t xml:space="preserve">66 Admin. &amp; </w:t>
            </w:r>
            <w:proofErr w:type="spellStart"/>
            <w:r w:rsidRPr="00DF3C92">
              <w:rPr>
                <w:lang w:val="en-GB"/>
              </w:rPr>
              <w:t>Constit</w:t>
            </w:r>
            <w:proofErr w:type="spellEnd"/>
            <w:r w:rsidRPr="00DF3C92">
              <w:rPr>
                <w:lang w:val="en-GB"/>
              </w:rPr>
              <w:t xml:space="preserve">. L. Rev. 61 (Brazil 2016), </w:t>
            </w:r>
          </w:p>
          <w:p w14:paraId="57ADA4CB" w14:textId="77777777" w:rsidR="00237D62" w:rsidRDefault="00237D62" w:rsidP="00957541">
            <w:pPr>
              <w:rPr>
                <w:lang w:val="en-GB"/>
              </w:rPr>
            </w:pPr>
          </w:p>
          <w:p w14:paraId="2678C342" w14:textId="65791D57" w:rsidR="00237D62" w:rsidRDefault="00957541" w:rsidP="00957541">
            <w:pPr>
              <w:rPr>
                <w:lang w:val="en-GB"/>
              </w:rPr>
            </w:pPr>
            <w:r w:rsidRPr="00DF3C92">
              <w:rPr>
                <w:lang w:val="en-GB"/>
              </w:rPr>
              <w:t xml:space="preserve">Yukins &amp; Kania, </w:t>
            </w:r>
            <w:hyperlink r:id="rId31" w:history="1">
              <w:r w:rsidRPr="00237D62">
                <w:rPr>
                  <w:rStyle w:val="Hyperlink"/>
                  <w:i/>
                  <w:iCs/>
                  <w:lang w:val="en-GB"/>
                </w:rPr>
                <w:t>Suspension and Debarment in the U.S. Government: Comparative Lessons for the EU’s Next Steps in Procurement</w:t>
              </w:r>
            </w:hyperlink>
            <w:r w:rsidRPr="00DF3C92">
              <w:rPr>
                <w:lang w:val="en-GB"/>
              </w:rPr>
              <w:t>,19-2 UrT 47 (2019)</w:t>
            </w:r>
            <w:r w:rsidR="00237D62">
              <w:rPr>
                <w:lang w:val="en-GB"/>
              </w:rPr>
              <w:t xml:space="preserve"> (Swedish procurement journal)</w:t>
            </w:r>
          </w:p>
          <w:p w14:paraId="28E68E66" w14:textId="77777777" w:rsidR="00237D62" w:rsidRDefault="00237D62" w:rsidP="00957541">
            <w:pPr>
              <w:rPr>
                <w:lang w:val="en-GB"/>
              </w:rPr>
            </w:pPr>
          </w:p>
          <w:p w14:paraId="445D44FC" w14:textId="7632C619" w:rsidR="00957541" w:rsidRDefault="00957541" w:rsidP="00957541">
            <w:pPr>
              <w:rPr>
                <w:lang w:val="en-GB"/>
              </w:rPr>
            </w:pPr>
            <w:r w:rsidRPr="00DF3C92">
              <w:rPr>
                <w:lang w:val="en-GB"/>
              </w:rPr>
              <w:t xml:space="preserve">World Bank, </w:t>
            </w:r>
            <w:hyperlink r:id="rId32" w:history="1">
              <w:r w:rsidRPr="00DF3C92">
                <w:rPr>
                  <w:rStyle w:val="Hyperlink"/>
                  <w:i/>
                  <w:iCs/>
                  <w:lang w:val="en-GB"/>
                </w:rPr>
                <w:t>Global Suspension &amp; Debarment Directory 2025</w:t>
              </w:r>
            </w:hyperlink>
            <w:r w:rsidR="00237D62">
              <w:rPr>
                <w:lang w:val="en-GB"/>
              </w:rPr>
              <w:t xml:space="preserve"> </w:t>
            </w:r>
            <w:r w:rsidR="00237D62" w:rsidRPr="00DF3C92">
              <w:rPr>
                <w:lang w:val="en-GB"/>
              </w:rPr>
              <w:t>(vast majority of jurisdictions surveyed allow mitigation by compliance measures)</w:t>
            </w:r>
          </w:p>
          <w:p w14:paraId="0145F135" w14:textId="77777777" w:rsidR="006A2539" w:rsidRDefault="006A2539" w:rsidP="00957541">
            <w:pPr>
              <w:rPr>
                <w:lang w:val="en-GB"/>
              </w:rPr>
            </w:pPr>
          </w:p>
          <w:p w14:paraId="5B9E6BE1" w14:textId="1FFCB639" w:rsidR="00547F05" w:rsidRDefault="006D4C5B" w:rsidP="006D4C5B">
            <w:pPr>
              <w:rPr>
                <w:lang w:val="en-GB"/>
              </w:rPr>
            </w:pPr>
            <w:r>
              <w:rPr>
                <w:lang w:val="en-GB"/>
              </w:rPr>
              <w:t>OECD,</w:t>
            </w:r>
            <w:r w:rsidRPr="006D4C5B">
              <w:rPr>
                <w:i/>
                <w:iCs/>
                <w:lang w:val="en-GB"/>
              </w:rPr>
              <w:t xml:space="preserve"> </w:t>
            </w:r>
            <w:hyperlink r:id="rId33" w:history="1">
              <w:r w:rsidRPr="006D4C5B">
                <w:rPr>
                  <w:rStyle w:val="Hyperlink"/>
                  <w:i/>
                  <w:iCs/>
                  <w:lang w:val="en-GB"/>
                </w:rPr>
                <w:t>Managing risks in the public procurement of goods, services and infrastructure</w:t>
              </w:r>
            </w:hyperlink>
            <w:r>
              <w:rPr>
                <w:i/>
                <w:iCs/>
                <w:lang w:val="en-GB"/>
              </w:rPr>
              <w:t xml:space="preserve"> </w:t>
            </w:r>
            <w:r>
              <w:rPr>
                <w:lang w:val="en-GB"/>
              </w:rPr>
              <w:t>22 (2023)</w:t>
            </w:r>
          </w:p>
          <w:p w14:paraId="1E0E8E47" w14:textId="77777777" w:rsidR="00547F05" w:rsidRDefault="00547F05" w:rsidP="00957541">
            <w:pPr>
              <w:rPr>
                <w:lang w:val="en-GB"/>
              </w:rPr>
            </w:pPr>
          </w:p>
          <w:p w14:paraId="1C505211" w14:textId="77777777" w:rsidR="00547F05" w:rsidRDefault="00547F05" w:rsidP="00957541">
            <w:pPr>
              <w:rPr>
                <w:lang w:val="en-GB"/>
              </w:rPr>
            </w:pPr>
          </w:p>
          <w:p w14:paraId="37E5BD37" w14:textId="77777777" w:rsidR="00547F05" w:rsidRDefault="00547F05" w:rsidP="00957541">
            <w:pPr>
              <w:rPr>
                <w:lang w:val="en-GB"/>
              </w:rPr>
            </w:pPr>
          </w:p>
          <w:p w14:paraId="5CADED54" w14:textId="77777777" w:rsidR="00547F05" w:rsidRDefault="00547F05" w:rsidP="00957541">
            <w:pPr>
              <w:rPr>
                <w:lang w:val="en-GB"/>
              </w:rPr>
            </w:pPr>
          </w:p>
          <w:p w14:paraId="3A0D1365" w14:textId="77777777" w:rsidR="00547F05" w:rsidRDefault="00547F05" w:rsidP="00957541">
            <w:pPr>
              <w:rPr>
                <w:lang w:val="en-GB"/>
              </w:rPr>
            </w:pPr>
          </w:p>
          <w:p w14:paraId="02695C51" w14:textId="77777777" w:rsidR="00547F05" w:rsidRDefault="00547F05" w:rsidP="00957541">
            <w:pPr>
              <w:rPr>
                <w:lang w:val="en-GB"/>
              </w:rPr>
            </w:pPr>
          </w:p>
          <w:p w14:paraId="7564C0AA" w14:textId="77777777" w:rsidR="00547F05" w:rsidRDefault="00547F05" w:rsidP="00957541">
            <w:pPr>
              <w:rPr>
                <w:lang w:val="en-GB"/>
              </w:rPr>
            </w:pPr>
          </w:p>
          <w:p w14:paraId="7CFF1879" w14:textId="77777777" w:rsidR="00547F05" w:rsidRDefault="00547F05" w:rsidP="00957541">
            <w:pPr>
              <w:rPr>
                <w:lang w:val="en-GB"/>
              </w:rPr>
            </w:pPr>
          </w:p>
          <w:p w14:paraId="4B4266F9" w14:textId="77777777" w:rsidR="00547F05" w:rsidRDefault="00547F05" w:rsidP="00957541">
            <w:pPr>
              <w:rPr>
                <w:lang w:val="en-GB"/>
              </w:rPr>
            </w:pPr>
          </w:p>
          <w:p w14:paraId="35FA8617" w14:textId="77777777" w:rsidR="00547F05" w:rsidRDefault="00547F05" w:rsidP="00957541">
            <w:pPr>
              <w:rPr>
                <w:lang w:val="en-GB"/>
              </w:rPr>
            </w:pPr>
          </w:p>
          <w:p w14:paraId="48A00204" w14:textId="77777777" w:rsidR="00547F05" w:rsidRDefault="00547F05" w:rsidP="00957541">
            <w:pPr>
              <w:rPr>
                <w:lang w:val="en-GB"/>
              </w:rPr>
            </w:pPr>
          </w:p>
          <w:p w14:paraId="6C636FA7" w14:textId="77777777" w:rsidR="00547F05" w:rsidRDefault="00547F05" w:rsidP="00957541">
            <w:pPr>
              <w:rPr>
                <w:lang w:val="en-GB"/>
              </w:rPr>
            </w:pPr>
          </w:p>
          <w:p w14:paraId="083A2822" w14:textId="77777777" w:rsidR="00547F05" w:rsidRDefault="00547F05" w:rsidP="00957541">
            <w:pPr>
              <w:rPr>
                <w:lang w:val="en-GB"/>
              </w:rPr>
            </w:pPr>
          </w:p>
          <w:p w14:paraId="11CF93A1" w14:textId="77777777" w:rsidR="00547F05" w:rsidRDefault="00547F05" w:rsidP="00957541">
            <w:pPr>
              <w:rPr>
                <w:lang w:val="en-GB"/>
              </w:rPr>
            </w:pPr>
          </w:p>
          <w:p w14:paraId="39F21E7C" w14:textId="77777777" w:rsidR="00547F05" w:rsidRDefault="00547F05" w:rsidP="00957541">
            <w:pPr>
              <w:rPr>
                <w:lang w:val="en-GB"/>
              </w:rPr>
            </w:pPr>
          </w:p>
          <w:p w14:paraId="06BA9092" w14:textId="77777777" w:rsidR="00547F05" w:rsidRDefault="00547F05" w:rsidP="00957541">
            <w:pPr>
              <w:rPr>
                <w:lang w:val="en-GB"/>
              </w:rPr>
            </w:pPr>
          </w:p>
          <w:p w14:paraId="4BF66517" w14:textId="178BAA17" w:rsidR="00547F05" w:rsidRDefault="00237D62" w:rsidP="00957541">
            <w:pPr>
              <w:rPr>
                <w:i/>
                <w:iCs/>
              </w:rPr>
            </w:pPr>
            <w:r w:rsidRPr="00237D62">
              <w:t xml:space="preserve">UK Procurement Act 2023, </w:t>
            </w:r>
            <w:hyperlink r:id="rId34" w:history="1">
              <w:r w:rsidRPr="006D4C5B">
                <w:rPr>
                  <w:rStyle w:val="Hyperlink"/>
                </w:rPr>
                <w:t>Sec.</w:t>
              </w:r>
              <w:r w:rsidRPr="00237D62">
                <w:rPr>
                  <w:rStyle w:val="Hyperlink"/>
                </w:rPr>
                <w:t xml:space="preserve"> 57</w:t>
              </w:r>
            </w:hyperlink>
            <w:r w:rsidRPr="00237D62">
              <w:t xml:space="preserve">, which makes it clear that a </w:t>
            </w:r>
            <w:r>
              <w:t xml:space="preserve">procuring agency, in weighing exclusion, must assess </w:t>
            </w:r>
            <w:r w:rsidRPr="00237D62">
              <w:t xml:space="preserve">not only </w:t>
            </w:r>
            <w:r>
              <w:t xml:space="preserve">whether the </w:t>
            </w:r>
            <w:r w:rsidR="00CE6CC6">
              <w:t>supplier</w:t>
            </w:r>
            <w:r>
              <w:t xml:space="preserve"> </w:t>
            </w:r>
            <w:r w:rsidRPr="00237D62">
              <w:t>meet</w:t>
            </w:r>
            <w:r>
              <w:t>s</w:t>
            </w:r>
            <w:r w:rsidRPr="00237D62">
              <w:t xml:space="preserve"> one of the mandatory or discretionary grounds for exclusion, but also</w:t>
            </w:r>
            <w:r>
              <w:t xml:space="preserve"> whether the “</w:t>
            </w:r>
            <w:r w:rsidRPr="00237D62">
              <w:rPr>
                <w:i/>
                <w:iCs/>
              </w:rPr>
              <w:t>circumstances giving rise to the application of the exclusion ground are continuing or likely to occur again.”</w:t>
            </w:r>
          </w:p>
          <w:p w14:paraId="43A754D4" w14:textId="77777777" w:rsidR="00237D62" w:rsidRDefault="00237D62" w:rsidP="00957541">
            <w:pPr>
              <w:rPr>
                <w:i/>
                <w:iCs/>
              </w:rPr>
            </w:pPr>
          </w:p>
          <w:p w14:paraId="3CB6F935" w14:textId="09499D64" w:rsidR="00237D62" w:rsidRPr="00237D62" w:rsidRDefault="006D4C5B" w:rsidP="00957541">
            <w:r>
              <w:t xml:space="preserve">UK Government, Competition and Markets Authority, </w:t>
            </w:r>
            <w:hyperlink r:id="rId35" w:anchor=":~:text=check%20the%20central%20debarment%20list,in%20the%20CMA%20case%20list" w:history="1">
              <w:r w:rsidR="00237D62" w:rsidRPr="006D4C5B">
                <w:rPr>
                  <w:rStyle w:val="Hyperlink"/>
                  <w:i/>
                  <w:iCs/>
                </w:rPr>
                <w:t>Exclusion and debarment on competition grounds - what suppliers and contractors need to know</w:t>
              </w:r>
            </w:hyperlink>
            <w:r>
              <w:t xml:space="preserve"> (2025)</w:t>
            </w:r>
            <w:r w:rsidR="00237D62">
              <w:t xml:space="preserve"> </w:t>
            </w:r>
          </w:p>
        </w:tc>
      </w:tr>
      <w:tr w:rsidR="00D32521" w:rsidRPr="009753D7" w14:paraId="6DFE2B74" w14:textId="3F4AED2A" w:rsidTr="006D4C5B">
        <w:tc>
          <w:tcPr>
            <w:tcW w:w="750" w:type="pct"/>
          </w:tcPr>
          <w:p w14:paraId="3C150F15" w14:textId="00F73970" w:rsidR="00957541" w:rsidRPr="00DF3C92" w:rsidRDefault="00957541" w:rsidP="00957541">
            <w:pPr>
              <w:rPr>
                <w:lang w:val="en-GB"/>
              </w:rPr>
            </w:pPr>
            <w:r w:rsidRPr="00DF3C92">
              <w:rPr>
                <w:lang w:val="en-GB"/>
              </w:rPr>
              <w:lastRenderedPageBreak/>
              <w:t>Recent Developments in E-procurement</w:t>
            </w:r>
          </w:p>
        </w:tc>
        <w:tc>
          <w:tcPr>
            <w:tcW w:w="587" w:type="pct"/>
          </w:tcPr>
          <w:p w14:paraId="0EF07D30" w14:textId="3CE7756F" w:rsidR="00957541" w:rsidRPr="00DF3C92" w:rsidRDefault="009F7A69" w:rsidP="00957541">
            <w:pPr>
              <w:rPr>
                <w:lang w:val="en-GB"/>
              </w:rPr>
            </w:pPr>
            <w:r>
              <w:rPr>
                <w:lang w:val="en-GB"/>
              </w:rPr>
              <w:t>P</w:t>
            </w:r>
            <w:r w:rsidR="00957541" w:rsidRPr="00DF3C92">
              <w:rPr>
                <w:lang w:val="en-GB"/>
              </w:rPr>
              <w:t>ara. 217</w:t>
            </w:r>
          </w:p>
        </w:tc>
        <w:tc>
          <w:tcPr>
            <w:tcW w:w="1811" w:type="pct"/>
          </w:tcPr>
          <w:p w14:paraId="0E11DE10" w14:textId="77777777" w:rsidR="00957541" w:rsidRDefault="0015091C" w:rsidP="00957541">
            <w:pPr>
              <w:rPr>
                <w:lang w:val="en-GB"/>
              </w:rPr>
            </w:pPr>
            <w:r>
              <w:rPr>
                <w:lang w:val="en-GB"/>
              </w:rPr>
              <w:t>Modern e</w:t>
            </w:r>
            <w:r w:rsidR="009B6C16">
              <w:rPr>
                <w:lang w:val="en-GB"/>
              </w:rPr>
              <w:t>-procurement</w:t>
            </w:r>
            <w:r w:rsidR="009C034E">
              <w:rPr>
                <w:lang w:val="en-GB"/>
              </w:rPr>
              <w:t xml:space="preserve"> systems are</w:t>
            </w:r>
            <w:r>
              <w:rPr>
                <w:lang w:val="en-GB"/>
              </w:rPr>
              <w:t xml:space="preserve"> increasingly supporting transparency and accountability </w:t>
            </w:r>
            <w:proofErr w:type="gramStart"/>
            <w:r>
              <w:rPr>
                <w:lang w:val="en-GB"/>
              </w:rPr>
              <w:t>through the use of</w:t>
            </w:r>
            <w:proofErr w:type="gramEnd"/>
            <w:r>
              <w:rPr>
                <w:lang w:val="en-GB"/>
              </w:rPr>
              <w:t xml:space="preserve"> </w:t>
            </w:r>
            <w:r w:rsidR="00D97E87">
              <w:rPr>
                <w:lang w:val="en-GB"/>
              </w:rPr>
              <w:t xml:space="preserve">the </w:t>
            </w:r>
            <w:r>
              <w:rPr>
                <w:lang w:val="en-GB"/>
              </w:rPr>
              <w:t xml:space="preserve">Open </w:t>
            </w:r>
            <w:r w:rsidR="00D97E87">
              <w:rPr>
                <w:lang w:val="en-GB"/>
              </w:rPr>
              <w:t>Contracting D</w:t>
            </w:r>
            <w:r>
              <w:rPr>
                <w:lang w:val="en-GB"/>
              </w:rPr>
              <w:t>ata</w:t>
            </w:r>
            <w:r w:rsidR="00D97E87">
              <w:rPr>
                <w:lang w:val="en-GB"/>
              </w:rPr>
              <w:t xml:space="preserve"> Standard</w:t>
            </w:r>
            <w:r>
              <w:rPr>
                <w:lang w:val="en-GB"/>
              </w:rPr>
              <w:t>, such as</w:t>
            </w:r>
            <w:r w:rsidR="00D97E87">
              <w:rPr>
                <w:lang w:val="en-GB"/>
              </w:rPr>
              <w:t xml:space="preserve"> applied in</w:t>
            </w:r>
            <w:r>
              <w:rPr>
                <w:lang w:val="en-GB"/>
              </w:rPr>
              <w:t xml:space="preserve"> </w:t>
            </w:r>
            <w:proofErr w:type="spellStart"/>
            <w:r>
              <w:rPr>
                <w:lang w:val="en-GB"/>
              </w:rPr>
              <w:lastRenderedPageBreak/>
              <w:t>MTender</w:t>
            </w:r>
            <w:proofErr w:type="spellEnd"/>
            <w:r>
              <w:rPr>
                <w:lang w:val="en-GB"/>
              </w:rPr>
              <w:t xml:space="preserve"> in Mol</w:t>
            </w:r>
            <w:r w:rsidR="00993DCB">
              <w:rPr>
                <w:lang w:val="en-GB"/>
              </w:rPr>
              <w:t>dova</w:t>
            </w:r>
            <w:r w:rsidR="00722E22">
              <w:rPr>
                <w:lang w:val="en-GB"/>
              </w:rPr>
              <w:t xml:space="preserve">.  In that system, </w:t>
            </w:r>
            <w:r w:rsidR="00993DCB" w:rsidRPr="00993DCB">
              <w:rPr>
                <w:lang w:val="en-GB"/>
              </w:rPr>
              <w:t>any input by users (</w:t>
            </w:r>
            <w:r w:rsidR="00722E22">
              <w:rPr>
                <w:lang w:val="en-GB"/>
              </w:rPr>
              <w:t>procuring entities or</w:t>
            </w:r>
            <w:r w:rsidR="00993DCB" w:rsidRPr="00993DCB">
              <w:rPr>
                <w:lang w:val="en-GB"/>
              </w:rPr>
              <w:t xml:space="preserve"> suppliers) flows immediately into the central data store and becomes part of the official procurement record without further manual consolidation</w:t>
            </w:r>
            <w:r w:rsidR="00722E22">
              <w:rPr>
                <w:lang w:val="en-GB"/>
              </w:rPr>
              <w:t xml:space="preserve">. </w:t>
            </w:r>
          </w:p>
          <w:p w14:paraId="52828285" w14:textId="77777777" w:rsidR="00894C8F" w:rsidRDefault="00894C8F" w:rsidP="00957541">
            <w:pPr>
              <w:rPr>
                <w:lang w:val="en-GB"/>
              </w:rPr>
            </w:pPr>
          </w:p>
          <w:p w14:paraId="151FDA0A" w14:textId="77777777" w:rsidR="00894C8F" w:rsidRDefault="006C193B" w:rsidP="00957541">
            <w:r>
              <w:rPr>
                <w:lang w:val="en-GB"/>
              </w:rPr>
              <w:t xml:space="preserve">E-procurement tools are also being used to support strategic objectives, such as </w:t>
            </w:r>
            <w:r w:rsidR="00774055">
              <w:rPr>
                <w:lang w:val="en-GB"/>
              </w:rPr>
              <w:t xml:space="preserve">anti-corruption/money-laundering initiatives.  </w:t>
            </w:r>
            <w:r w:rsidR="00774055" w:rsidRPr="00774055">
              <w:t xml:space="preserve">Chile’s </w:t>
            </w:r>
            <w:r w:rsidR="00774055" w:rsidRPr="00DF3C92">
              <w:t xml:space="preserve">public procurement agency </w:t>
            </w:r>
            <w:proofErr w:type="spellStart"/>
            <w:r w:rsidR="00774055" w:rsidRPr="00DF3C92">
              <w:t>ChileCompra</w:t>
            </w:r>
            <w:proofErr w:type="spellEnd"/>
            <w:r w:rsidR="00774055" w:rsidRPr="00774055">
              <w:t xml:space="preserve"> has introduced </w:t>
            </w:r>
            <w:r w:rsidR="00774055" w:rsidRPr="00DF3C92">
              <w:t>beneficial ownership (BO) data</w:t>
            </w:r>
            <w:r w:rsidR="00774055" w:rsidRPr="00774055">
              <w:t xml:space="preserve"> into its procurement system</w:t>
            </w:r>
            <w:r w:rsidR="00800080">
              <w:t xml:space="preserve"> to </w:t>
            </w:r>
            <w:r w:rsidR="00800080" w:rsidRPr="00800080">
              <w:t xml:space="preserve">collect, use and publish information on the </w:t>
            </w:r>
            <w:r w:rsidR="00800080" w:rsidRPr="00DF3C92">
              <w:t xml:space="preserve">individuals who own or control </w:t>
            </w:r>
            <w:r w:rsidR="00800080">
              <w:t>participating suppliers.</w:t>
            </w:r>
          </w:p>
          <w:p w14:paraId="15E5C615" w14:textId="77777777" w:rsidR="00AB6943" w:rsidRDefault="00AB6943" w:rsidP="00957541">
            <w:pPr>
              <w:rPr>
                <w:lang w:val="en-GB"/>
              </w:rPr>
            </w:pPr>
          </w:p>
          <w:p w14:paraId="3F51E4C9" w14:textId="0CC4796B" w:rsidR="00AB6943" w:rsidRPr="00DF3C92" w:rsidRDefault="00436A0F" w:rsidP="00957541">
            <w:pPr>
              <w:rPr>
                <w:lang w:val="en-GB"/>
              </w:rPr>
            </w:pPr>
            <w:r>
              <w:rPr>
                <w:lang w:val="en-GB"/>
              </w:rPr>
              <w:t>As regards t</w:t>
            </w:r>
            <w:r w:rsidR="001477D7">
              <w:rPr>
                <w:lang w:val="en-GB"/>
              </w:rPr>
              <w:t>he procurement of AI</w:t>
            </w:r>
            <w:r>
              <w:rPr>
                <w:lang w:val="en-GB"/>
              </w:rPr>
              <w:t>, the Commission may wish to consider lessons learned from the procurement of IT</w:t>
            </w:r>
            <w:r w:rsidR="00CD3D0C">
              <w:rPr>
                <w:lang w:val="en-GB"/>
              </w:rPr>
              <w:t xml:space="preserve"> projects, the need for new evaluation criteria, enhanced governance, ownership and control of data used to build </w:t>
            </w:r>
            <w:r w:rsidR="00D44C12">
              <w:rPr>
                <w:lang w:val="en-GB"/>
              </w:rPr>
              <w:t>large language models (</w:t>
            </w:r>
            <w:r w:rsidR="00CD3D0C">
              <w:rPr>
                <w:lang w:val="en-GB"/>
              </w:rPr>
              <w:t>LLM</w:t>
            </w:r>
            <w:r w:rsidR="002E413A">
              <w:rPr>
                <w:lang w:val="en-GB"/>
              </w:rPr>
              <w:t>s</w:t>
            </w:r>
            <w:r w:rsidR="00D44C12">
              <w:rPr>
                <w:lang w:val="en-GB"/>
              </w:rPr>
              <w:t xml:space="preserve">) </w:t>
            </w:r>
            <w:r w:rsidR="007A3DBF">
              <w:rPr>
                <w:lang w:val="en-GB"/>
              </w:rPr>
              <w:t>and of the public sector data used in operating LLMs</w:t>
            </w:r>
            <w:r w:rsidR="00CD3D0C">
              <w:rPr>
                <w:lang w:val="en-GB"/>
              </w:rPr>
              <w:t xml:space="preserve">, </w:t>
            </w:r>
            <w:r w:rsidR="00EB3DB1">
              <w:rPr>
                <w:lang w:val="en-GB"/>
              </w:rPr>
              <w:t xml:space="preserve">and </w:t>
            </w:r>
            <w:r w:rsidR="00CD3D0C">
              <w:rPr>
                <w:lang w:val="en-GB"/>
              </w:rPr>
              <w:t>organizational and capacity challenges</w:t>
            </w:r>
            <w:r w:rsidR="00304370">
              <w:rPr>
                <w:lang w:val="en-GB"/>
              </w:rPr>
              <w:t xml:space="preserve">, among others, to avoid reproducing errors noted in IT procurement </w:t>
            </w:r>
            <w:r w:rsidR="002E413A">
              <w:rPr>
                <w:lang w:val="en-GB"/>
              </w:rPr>
              <w:t xml:space="preserve">such as inappropriate specifications, </w:t>
            </w:r>
            <w:r w:rsidR="002E413A" w:rsidRPr="002E413A">
              <w:t>integration failures, and poor outcomes</w:t>
            </w:r>
            <w:r w:rsidR="007A3DBF">
              <w:t>.</w:t>
            </w:r>
          </w:p>
        </w:tc>
        <w:tc>
          <w:tcPr>
            <w:tcW w:w="1852" w:type="pct"/>
          </w:tcPr>
          <w:p w14:paraId="3D06FD5E" w14:textId="77777777" w:rsidR="00957541" w:rsidRDefault="00957541" w:rsidP="00957541">
            <w:pPr>
              <w:rPr>
                <w:lang w:val="en-GB"/>
              </w:rPr>
            </w:pPr>
            <w:r w:rsidRPr="00DF3C92">
              <w:rPr>
                <w:lang w:val="en-GB"/>
              </w:rPr>
              <w:lastRenderedPageBreak/>
              <w:t>Yukins, “</w:t>
            </w:r>
            <w:hyperlink r:id="rId36" w:history="1">
              <w:r w:rsidRPr="00DF3C92">
                <w:rPr>
                  <w:rStyle w:val="Hyperlink"/>
                  <w:lang w:val="en-GB"/>
                </w:rPr>
                <w:t>Open Contracting Around the Globe</w:t>
              </w:r>
            </w:hyperlink>
            <w:r w:rsidRPr="00DF3C92">
              <w:rPr>
                <w:lang w:val="en-GB"/>
              </w:rPr>
              <w:t>” (webinar series and in-depth analysis of open contracting principles worldwide)</w:t>
            </w:r>
          </w:p>
          <w:p w14:paraId="3883BEE2" w14:textId="77777777" w:rsidR="001448AC" w:rsidRDefault="001448AC" w:rsidP="00957541">
            <w:pPr>
              <w:rPr>
                <w:lang w:val="en-GB"/>
              </w:rPr>
            </w:pPr>
          </w:p>
          <w:p w14:paraId="58F240B2" w14:textId="6AD355F1" w:rsidR="001448AC" w:rsidRDefault="004322DD" w:rsidP="00957541">
            <w:pPr>
              <w:rPr>
                <w:lang w:val="en-GB"/>
              </w:rPr>
            </w:pPr>
            <w:hyperlink r:id="rId37" w:history="1">
              <w:r w:rsidRPr="00EF2F55">
                <w:rPr>
                  <w:rStyle w:val="Hyperlink"/>
                  <w:lang w:val="en-GB"/>
                </w:rPr>
                <w:t>https://mtendereprocurementsystem.github.io/MTender-Documentation/</w:t>
              </w:r>
            </w:hyperlink>
            <w:r w:rsidR="00AB6943">
              <w:rPr>
                <w:lang w:val="en-GB"/>
              </w:rPr>
              <w:t>.</w:t>
            </w:r>
          </w:p>
          <w:p w14:paraId="5E66BBCF" w14:textId="77777777" w:rsidR="004322DD" w:rsidRDefault="004322DD" w:rsidP="00957541">
            <w:pPr>
              <w:rPr>
                <w:lang w:val="en-GB"/>
              </w:rPr>
            </w:pPr>
          </w:p>
          <w:p w14:paraId="7FF7E9FE" w14:textId="77777777" w:rsidR="004322DD" w:rsidRDefault="004322DD" w:rsidP="00957541">
            <w:pPr>
              <w:rPr>
                <w:lang w:val="en-GB"/>
              </w:rPr>
            </w:pPr>
          </w:p>
          <w:p w14:paraId="3F7C701C" w14:textId="77777777" w:rsidR="004322DD" w:rsidRDefault="004322DD" w:rsidP="00957541">
            <w:pPr>
              <w:rPr>
                <w:lang w:val="en-GB"/>
              </w:rPr>
            </w:pPr>
          </w:p>
          <w:p w14:paraId="10A04CD2" w14:textId="77777777" w:rsidR="004322DD" w:rsidRDefault="004322DD" w:rsidP="00957541">
            <w:pPr>
              <w:rPr>
                <w:lang w:val="en-GB"/>
              </w:rPr>
            </w:pPr>
          </w:p>
          <w:p w14:paraId="2DCD4F9F" w14:textId="26AB7D2B" w:rsidR="005E7F8F" w:rsidRDefault="005E7F8F" w:rsidP="00957541">
            <w:pPr>
              <w:rPr>
                <w:lang w:val="en-GB"/>
              </w:rPr>
            </w:pPr>
            <w:r>
              <w:rPr>
                <w:lang w:val="en-GB"/>
              </w:rPr>
              <w:t xml:space="preserve">Open Ownership, </w:t>
            </w:r>
            <w:hyperlink r:id="rId38" w:history="1">
              <w:r w:rsidRPr="005E7F8F">
                <w:rPr>
                  <w:rStyle w:val="Hyperlink"/>
                  <w:lang w:val="en-GB"/>
                </w:rPr>
                <w:t>Beneficial ownership in Chile's public procurement reform</w:t>
              </w:r>
            </w:hyperlink>
          </w:p>
          <w:p w14:paraId="63EFC283" w14:textId="77777777" w:rsidR="005E7F8F" w:rsidRDefault="005E7F8F" w:rsidP="00957541">
            <w:pPr>
              <w:rPr>
                <w:lang w:val="en-GB"/>
              </w:rPr>
            </w:pPr>
          </w:p>
          <w:p w14:paraId="0573AF9C" w14:textId="77777777" w:rsidR="004322DD" w:rsidRDefault="004322DD" w:rsidP="00957541">
            <w:pPr>
              <w:rPr>
                <w:lang w:val="en-GB"/>
              </w:rPr>
            </w:pPr>
          </w:p>
          <w:p w14:paraId="11CB9E63" w14:textId="77777777" w:rsidR="005E7F8F" w:rsidRDefault="005E7F8F" w:rsidP="00957541">
            <w:pPr>
              <w:rPr>
                <w:lang w:val="en-GB"/>
              </w:rPr>
            </w:pPr>
          </w:p>
          <w:p w14:paraId="3A21A667" w14:textId="77777777" w:rsidR="005E7F8F" w:rsidRDefault="005E7F8F" w:rsidP="00957541">
            <w:pPr>
              <w:rPr>
                <w:lang w:val="en-GB"/>
              </w:rPr>
            </w:pPr>
          </w:p>
          <w:p w14:paraId="7CBC75B0" w14:textId="77777777" w:rsidR="005E7F8F" w:rsidRDefault="005E7F8F" w:rsidP="00957541">
            <w:pPr>
              <w:rPr>
                <w:lang w:val="en-GB"/>
              </w:rPr>
            </w:pPr>
          </w:p>
          <w:p w14:paraId="2EFE8822" w14:textId="77777777" w:rsidR="005E7F8F" w:rsidRDefault="005E7F8F" w:rsidP="00957541">
            <w:pPr>
              <w:rPr>
                <w:lang w:val="en-GB"/>
              </w:rPr>
            </w:pPr>
          </w:p>
          <w:p w14:paraId="60561789" w14:textId="77777777" w:rsidR="005E7F8F" w:rsidRDefault="005E7F8F" w:rsidP="00957541">
            <w:pPr>
              <w:rPr>
                <w:lang w:val="en-GB"/>
              </w:rPr>
            </w:pPr>
          </w:p>
          <w:p w14:paraId="47F82A6D" w14:textId="77777777" w:rsidR="005E7F8F" w:rsidRDefault="005E7F8F" w:rsidP="00957541">
            <w:pPr>
              <w:rPr>
                <w:lang w:val="en-GB"/>
              </w:rPr>
            </w:pPr>
          </w:p>
          <w:p w14:paraId="2FC5258E" w14:textId="6F784AD3" w:rsidR="00D44C12" w:rsidRPr="00D44C12" w:rsidRDefault="00D44C12" w:rsidP="00D44C12">
            <w:pPr>
              <w:rPr>
                <w:rStyle w:val="Hyperlink"/>
                <w:i/>
                <w:iCs/>
                <w:lang w:val="en-GB"/>
              </w:rPr>
            </w:pPr>
            <w:r>
              <w:rPr>
                <w:lang w:val="en-GB"/>
              </w:rPr>
              <w:t xml:space="preserve">OECD, </w:t>
            </w:r>
            <w:r>
              <w:rPr>
                <w:i/>
                <w:iCs/>
                <w:lang w:val="en-GB"/>
              </w:rPr>
              <w:fldChar w:fldCharType="begin"/>
            </w:r>
            <w:r>
              <w:rPr>
                <w:i/>
                <w:iCs/>
                <w:lang w:val="en-GB"/>
              </w:rPr>
              <w:instrText>HYPERLINK "https://www.oecd.org/en/publications/2025/06/governing-with-artificial-intelligence_398fa287/full-report/ai-in-public-procurement_2e095543.html"</w:instrText>
            </w:r>
            <w:r>
              <w:rPr>
                <w:i/>
                <w:iCs/>
                <w:lang w:val="en-GB"/>
              </w:rPr>
            </w:r>
            <w:r>
              <w:rPr>
                <w:i/>
                <w:iCs/>
                <w:lang w:val="en-GB"/>
              </w:rPr>
              <w:fldChar w:fldCharType="separate"/>
            </w:r>
            <w:r w:rsidRPr="00D44C12">
              <w:rPr>
                <w:rStyle w:val="Hyperlink"/>
                <w:i/>
                <w:iCs/>
                <w:lang w:val="en-GB"/>
              </w:rPr>
              <w:t>Governing with Artificial Intelligence:</w:t>
            </w:r>
          </w:p>
          <w:p w14:paraId="1CF83F43" w14:textId="038459C6" w:rsidR="00D44C12" w:rsidRPr="00D44C12" w:rsidRDefault="00D44C12" w:rsidP="00D44C12">
            <w:pPr>
              <w:rPr>
                <w:lang w:val="en-GB"/>
              </w:rPr>
            </w:pPr>
            <w:r w:rsidRPr="00D44C12">
              <w:rPr>
                <w:rStyle w:val="Hyperlink"/>
                <w:i/>
                <w:iCs/>
                <w:lang w:val="en-GB"/>
              </w:rPr>
              <w:t>The State of Play and Way Forward in Core Government Functions</w:t>
            </w:r>
            <w:r>
              <w:rPr>
                <w:i/>
                <w:iCs/>
                <w:lang w:val="en-GB"/>
              </w:rPr>
              <w:fldChar w:fldCharType="end"/>
            </w:r>
            <w:r>
              <w:rPr>
                <w:i/>
                <w:iCs/>
                <w:lang w:val="en-GB"/>
              </w:rPr>
              <w:t xml:space="preserve"> </w:t>
            </w:r>
            <w:r>
              <w:rPr>
                <w:lang w:val="en-GB"/>
              </w:rPr>
              <w:t>(2025)</w:t>
            </w:r>
          </w:p>
          <w:p w14:paraId="24FAA546" w14:textId="77777777" w:rsidR="00D44C12" w:rsidRDefault="00D44C12" w:rsidP="00957541">
            <w:pPr>
              <w:rPr>
                <w:lang w:val="en-GB"/>
              </w:rPr>
            </w:pPr>
          </w:p>
          <w:p w14:paraId="387929DE" w14:textId="078C1B29" w:rsidR="005E7F8F" w:rsidRPr="00DF3C92" w:rsidRDefault="005E7F8F" w:rsidP="00957541">
            <w:pPr>
              <w:rPr>
                <w:lang w:val="en-GB"/>
              </w:rPr>
            </w:pPr>
            <w:r>
              <w:rPr>
                <w:lang w:val="en-GB"/>
              </w:rPr>
              <w:t xml:space="preserve">Jessica Tillipman, </w:t>
            </w:r>
            <w:hyperlink r:id="rId39" w:history="1">
              <w:r w:rsidR="00D44C12" w:rsidRPr="00D44C12">
                <w:rPr>
                  <w:rStyle w:val="Hyperlink"/>
                  <w:i/>
                  <w:iCs/>
                  <w:lang w:val="en-GB"/>
                </w:rPr>
                <w:t>How to Procure AI Systems That Respect Rights</w:t>
              </w:r>
            </w:hyperlink>
            <w:r w:rsidR="00D44C12">
              <w:rPr>
                <w:lang w:val="en-GB"/>
              </w:rPr>
              <w:t>,</w:t>
            </w:r>
            <w:r w:rsidR="00D44C12" w:rsidRPr="00D44C12">
              <w:rPr>
                <w:lang w:val="en-GB"/>
              </w:rPr>
              <w:t xml:space="preserve"> GWU Law School Public Law Research Paper No. 2025-37</w:t>
            </w:r>
          </w:p>
        </w:tc>
      </w:tr>
      <w:tr w:rsidR="00D32521" w:rsidRPr="009753D7" w14:paraId="06CECC4B" w14:textId="092D6358" w:rsidTr="006D4C5B">
        <w:tc>
          <w:tcPr>
            <w:tcW w:w="750" w:type="pct"/>
          </w:tcPr>
          <w:p w14:paraId="6AD7A98C" w14:textId="1C900B40" w:rsidR="006E10A4" w:rsidRPr="00DF3C92" w:rsidRDefault="006E10A4" w:rsidP="006E10A4">
            <w:pPr>
              <w:rPr>
                <w:lang w:val="en-GB"/>
              </w:rPr>
            </w:pPr>
            <w:r w:rsidRPr="00DF3C92">
              <w:rPr>
                <w:lang w:val="en-GB"/>
              </w:rPr>
              <w:lastRenderedPageBreak/>
              <w:t>Contract Administration</w:t>
            </w:r>
            <w:r w:rsidR="00F128D7">
              <w:rPr>
                <w:lang w:val="en-GB"/>
              </w:rPr>
              <w:t xml:space="preserve"> </w:t>
            </w:r>
            <w:r w:rsidR="00F128D7">
              <w:t>and Contract Termination Procedures</w:t>
            </w:r>
          </w:p>
        </w:tc>
        <w:tc>
          <w:tcPr>
            <w:tcW w:w="587" w:type="pct"/>
          </w:tcPr>
          <w:p w14:paraId="6E9060CF" w14:textId="7D946477" w:rsidR="006E10A4" w:rsidRPr="00DF3C92" w:rsidRDefault="006E10A4" w:rsidP="006E10A4">
            <w:pPr>
              <w:rPr>
                <w:lang w:val="en-GB"/>
              </w:rPr>
            </w:pPr>
            <w:r>
              <w:rPr>
                <w:lang w:val="en-GB"/>
              </w:rPr>
              <w:t>No.</w:t>
            </w:r>
          </w:p>
        </w:tc>
        <w:tc>
          <w:tcPr>
            <w:tcW w:w="1811" w:type="pct"/>
          </w:tcPr>
          <w:p w14:paraId="52EE493E" w14:textId="0D20FE9E" w:rsidR="006E10A4" w:rsidRPr="00DF3C92" w:rsidRDefault="006E10A4" w:rsidP="006E10A4">
            <w:pPr>
              <w:rPr>
                <w:lang w:val="en-GB"/>
              </w:rPr>
            </w:pPr>
            <w:r>
              <w:t xml:space="preserve">Ensuring sound contract administration – including fair termination procedures – </w:t>
            </w:r>
            <w:r w:rsidR="00D44C12">
              <w:t xml:space="preserve">is </w:t>
            </w:r>
            <w:r>
              <w:t>essential to robust competition. To that end, the invitation for inputs asked whether this topic should be addressed “</w:t>
            </w:r>
            <w:r w:rsidRPr="0033480A">
              <w:t xml:space="preserve">by reference to the provisions and related guidance contained </w:t>
            </w:r>
            <w:r>
              <w:t xml:space="preserve">in” the </w:t>
            </w:r>
            <w:r w:rsidRPr="002B2627">
              <w:rPr>
                <w:i/>
                <w:iCs/>
              </w:rPr>
              <w:t>UNCITRAL Model Legislative Provisions on Public-Private Partnerships</w:t>
            </w:r>
            <w:r>
              <w:t>. Those PPP provisions usefully identify terminations for convenience and default</w:t>
            </w:r>
            <w:r w:rsidR="00D44C12">
              <w:t>. But</w:t>
            </w:r>
            <w:r>
              <w:t xml:space="preserve"> they are merely a starting point, for they fail to address the prior notice normally required for a termination for default, or the </w:t>
            </w:r>
            <w:r w:rsidR="00D44C12">
              <w:t xml:space="preserve">necessary </w:t>
            </w:r>
            <w:r>
              <w:t xml:space="preserve">boundaries </w:t>
            </w:r>
            <w:r w:rsidR="00D44C12">
              <w:t xml:space="preserve">to a </w:t>
            </w:r>
            <w:r>
              <w:t xml:space="preserve">government’s right to terminate for convenience. Without that further detail, the </w:t>
            </w:r>
            <w:r w:rsidR="009F01AD">
              <w:rPr>
                <w:i/>
                <w:iCs/>
              </w:rPr>
              <w:t>Legislative Guide and M</w:t>
            </w:r>
            <w:r w:rsidRPr="00707498">
              <w:rPr>
                <w:i/>
                <w:iCs/>
              </w:rPr>
              <w:t xml:space="preserve">odel Legislative Provisions </w:t>
            </w:r>
            <w:r>
              <w:t>may undermine competition and integrity in more traditional public procurement procedures.</w:t>
            </w:r>
          </w:p>
        </w:tc>
        <w:tc>
          <w:tcPr>
            <w:tcW w:w="1852" w:type="pct"/>
          </w:tcPr>
          <w:p w14:paraId="0EA2F77E" w14:textId="77777777" w:rsidR="006E10A4" w:rsidRPr="00AE1495" w:rsidRDefault="006E10A4" w:rsidP="006E10A4">
            <w:pPr>
              <w:rPr>
                <w:lang w:val="en-GB"/>
              </w:rPr>
            </w:pPr>
            <w:hyperlink r:id="rId40" w:history="1">
              <w:r w:rsidRPr="00AE1495">
                <w:rPr>
                  <w:rStyle w:val="Hyperlink"/>
                  <w:lang w:val="en-GB"/>
                </w:rPr>
                <w:t>A/CN.9/1230</w:t>
              </w:r>
            </w:hyperlink>
            <w:r w:rsidRPr="00AE1495">
              <w:rPr>
                <w:lang w:val="en-GB"/>
              </w:rPr>
              <w:t>, paras. 19-22</w:t>
            </w:r>
          </w:p>
          <w:p w14:paraId="356226DF" w14:textId="77777777" w:rsidR="00D44C12" w:rsidRDefault="00D44C12" w:rsidP="006E10A4">
            <w:pPr>
              <w:rPr>
                <w:lang w:val="en-GB"/>
              </w:rPr>
            </w:pPr>
          </w:p>
          <w:p w14:paraId="65ABE15C" w14:textId="208BFC7E" w:rsidR="006E10A4" w:rsidRDefault="006E10A4" w:rsidP="006E10A4">
            <w:pPr>
              <w:rPr>
                <w:lang w:val="en-GB"/>
              </w:rPr>
            </w:pPr>
            <w:hyperlink r:id="rId41" w:history="1">
              <w:r w:rsidRPr="00AE1495">
                <w:rPr>
                  <w:rStyle w:val="Hyperlink"/>
                  <w:lang w:val="en-GB"/>
                </w:rPr>
                <w:t>Yukins &amp; Nicholas</w:t>
              </w:r>
            </w:hyperlink>
            <w:r w:rsidRPr="00AE1495">
              <w:rPr>
                <w:lang w:val="en-GB"/>
              </w:rPr>
              <w:t xml:space="preserve"> </w:t>
            </w:r>
            <w:r w:rsidRPr="00DF3C92">
              <w:rPr>
                <w:lang w:val="en-GB"/>
              </w:rPr>
              <w:t>§ 4.2 (citing authorities)</w:t>
            </w:r>
          </w:p>
          <w:p w14:paraId="12A9CC68" w14:textId="77777777" w:rsidR="006E10A4" w:rsidRDefault="006E10A4" w:rsidP="006E10A4"/>
          <w:p w14:paraId="45C0597B" w14:textId="66C1BCEB" w:rsidR="006E10A4" w:rsidRDefault="006E10A4" w:rsidP="006E10A4">
            <w:r w:rsidRPr="002B2627">
              <w:rPr>
                <w:i/>
                <w:iCs/>
              </w:rPr>
              <w:t xml:space="preserve">UNCITRAL </w:t>
            </w:r>
            <w:r w:rsidR="009F01AD">
              <w:rPr>
                <w:i/>
                <w:iCs/>
              </w:rPr>
              <w:t xml:space="preserve">Legislative Guide </w:t>
            </w:r>
            <w:r w:rsidR="009F01AD" w:rsidRPr="002B2627">
              <w:rPr>
                <w:i/>
                <w:iCs/>
              </w:rPr>
              <w:t>on Public-Private Partnerships</w:t>
            </w:r>
            <w:r w:rsidR="009F01AD">
              <w:rPr>
                <w:i/>
                <w:iCs/>
              </w:rPr>
              <w:t xml:space="preserve">, Chapter V, and </w:t>
            </w:r>
            <w:r w:rsidRPr="002B2627">
              <w:rPr>
                <w:i/>
                <w:iCs/>
              </w:rPr>
              <w:t>Model Legislative Provisions on Public-Private Partnerships</w:t>
            </w:r>
            <w:r>
              <w:t>, such as the termination provisions 50-53.</w:t>
            </w:r>
          </w:p>
          <w:p w14:paraId="4D7175AE" w14:textId="77777777" w:rsidR="006E10A4" w:rsidRDefault="006E10A4" w:rsidP="006E10A4"/>
          <w:p w14:paraId="4E13450E" w14:textId="531B753D" w:rsidR="006E10A4" w:rsidRDefault="006E10A4" w:rsidP="006E10A4">
            <w:pPr>
              <w:rPr>
                <w:lang w:val="en-GB"/>
              </w:rPr>
            </w:pPr>
            <w:r>
              <w:t xml:space="preserve">Yukins, </w:t>
            </w:r>
            <w:hyperlink r:id="rId42" w:history="1">
              <w:r w:rsidRPr="00425337">
                <w:rPr>
                  <w:rStyle w:val="Hyperlink"/>
                  <w:i/>
                  <w:iCs/>
                </w:rPr>
                <w:t>The U.S. Federal Procurement System</w:t>
              </w:r>
            </w:hyperlink>
            <w:r>
              <w:rPr>
                <w:i/>
                <w:iCs/>
              </w:rPr>
              <w:t>, supra</w:t>
            </w:r>
            <w:r>
              <w:t xml:space="preserve">, at 72-73 (discussing U.S. termination procedures developed from the </w:t>
            </w:r>
            <w:r w:rsidR="00D44C12">
              <w:t xml:space="preserve">nineteenth and earlier twentieth </w:t>
            </w:r>
            <w:r>
              <w:t>centuries)</w:t>
            </w:r>
          </w:p>
          <w:p w14:paraId="2D48EA7B" w14:textId="3FB64683" w:rsidR="006E10A4" w:rsidRPr="00DF3C92" w:rsidRDefault="006E10A4" w:rsidP="006E10A4">
            <w:pPr>
              <w:rPr>
                <w:lang w:val="en-GB"/>
              </w:rPr>
            </w:pPr>
          </w:p>
        </w:tc>
      </w:tr>
      <w:tr w:rsidR="00D32521" w:rsidRPr="009753D7" w14:paraId="0C2005A2" w14:textId="49039B38" w:rsidTr="006D4C5B">
        <w:tc>
          <w:tcPr>
            <w:tcW w:w="750" w:type="pct"/>
          </w:tcPr>
          <w:p w14:paraId="468007B4" w14:textId="67042787" w:rsidR="006E10A4" w:rsidRPr="00DF3C92" w:rsidRDefault="006E10A4" w:rsidP="006E10A4">
            <w:pPr>
              <w:rPr>
                <w:lang w:val="en-GB"/>
              </w:rPr>
            </w:pPr>
            <w:r>
              <w:t>Whitelisting &amp; Certification Schemes</w:t>
            </w:r>
          </w:p>
        </w:tc>
        <w:tc>
          <w:tcPr>
            <w:tcW w:w="587" w:type="pct"/>
          </w:tcPr>
          <w:p w14:paraId="38B44F8B" w14:textId="52953112" w:rsidR="006E10A4" w:rsidRPr="00DF3C92" w:rsidRDefault="006E10A4" w:rsidP="006E10A4">
            <w:pPr>
              <w:rPr>
                <w:lang w:val="en-GB"/>
              </w:rPr>
            </w:pPr>
            <w:r>
              <w:t>No.</w:t>
            </w:r>
          </w:p>
        </w:tc>
        <w:tc>
          <w:tcPr>
            <w:tcW w:w="1811" w:type="pct"/>
          </w:tcPr>
          <w:p w14:paraId="67E08329" w14:textId="77777777" w:rsidR="00CF78AD" w:rsidRDefault="006E10A4" w:rsidP="006E10A4">
            <w:r>
              <w:t xml:space="preserve">The secretariat asked for </w:t>
            </w:r>
            <w:r w:rsidRPr="00EE2C0E">
              <w:t xml:space="preserve">inputs regarding the use of </w:t>
            </w:r>
            <w:r>
              <w:t>“</w:t>
            </w:r>
            <w:r w:rsidRPr="00EE2C0E">
              <w:t>whitelisting</w:t>
            </w:r>
            <w:r>
              <w:t xml:space="preserve">” (listing preapproved qualified suppliers) </w:t>
            </w:r>
            <w:r w:rsidRPr="00EE2C0E">
              <w:t>or certification schemes</w:t>
            </w:r>
            <w:r>
              <w:t xml:space="preserve">. </w:t>
            </w:r>
          </w:p>
          <w:p w14:paraId="1DB90AA8" w14:textId="77777777" w:rsidR="00CF78AD" w:rsidRDefault="00CF78AD" w:rsidP="006E10A4"/>
          <w:p w14:paraId="3715E2DB" w14:textId="005A27E4" w:rsidR="006E10A4" w:rsidRDefault="006E10A4" w:rsidP="006E10A4">
            <w:r>
              <w:t xml:space="preserve">The Working Group engaged in the prior reform of the </w:t>
            </w:r>
            <w:r w:rsidRPr="00DF3C92">
              <w:rPr>
                <w:i/>
                <w:iCs/>
              </w:rPr>
              <w:t>Model Law</w:t>
            </w:r>
            <w:r>
              <w:t xml:space="preserve"> did </w:t>
            </w:r>
            <w:r>
              <w:rPr>
                <w:i/>
                <w:iCs/>
              </w:rPr>
              <w:t xml:space="preserve">not </w:t>
            </w:r>
            <w:r>
              <w:t>embrace “supplier lists” precisely because with framework agreements – a cornerstone of the 2011 law -- “more of the process is completed” during contracting.</w:t>
            </w:r>
          </w:p>
          <w:p w14:paraId="465E866E" w14:textId="77777777" w:rsidR="006E10A4" w:rsidRDefault="006E10A4" w:rsidP="006E10A4"/>
          <w:p w14:paraId="1F7A3760" w14:textId="6260031D" w:rsidR="006E10A4" w:rsidRDefault="006E10A4" w:rsidP="006E10A4">
            <w:r>
              <w:t xml:space="preserve">In other words, the framework agreements that are a hallmark of the current model law allow procuring entities to move beyond merely “whitelisting” suppliers, to establish framework agreements which allow governments to assess supplier qualification, technical capabilities and price in a much more thorough manner, while raising fewer barriers to competition. </w:t>
            </w:r>
          </w:p>
          <w:p w14:paraId="5D7372DE" w14:textId="77777777" w:rsidR="006E10A4" w:rsidRDefault="006E10A4" w:rsidP="006E10A4"/>
          <w:p w14:paraId="40699046" w14:textId="77777777" w:rsidR="006E10A4" w:rsidRDefault="006E10A4" w:rsidP="006E10A4">
            <w:r>
              <w:t xml:space="preserve">Certification also raises competition concerns; to address those, as the current </w:t>
            </w:r>
            <w:r>
              <w:rPr>
                <w:i/>
                <w:iCs/>
              </w:rPr>
              <w:t xml:space="preserve">Guide to Enactment </w:t>
            </w:r>
            <w:r>
              <w:t xml:space="preserve">notes at paragraph 106, to </w:t>
            </w:r>
            <w:r w:rsidRPr="00ED0B55">
              <w:t xml:space="preserve">avoid </w:t>
            </w:r>
            <w:r>
              <w:t>anti-competitive effects a procurement regime “</w:t>
            </w:r>
            <w:r w:rsidRPr="00ED0B55">
              <w:t>should ensure the recognition of foreign certificates and associated authentication and security requirements</w:t>
            </w:r>
            <w:r>
              <w:t xml:space="preserve">.” </w:t>
            </w:r>
          </w:p>
          <w:p w14:paraId="486E010A" w14:textId="77777777" w:rsidR="006E10A4" w:rsidRDefault="006E10A4" w:rsidP="006E10A4"/>
          <w:p w14:paraId="61B0FA52" w14:textId="77777777" w:rsidR="00D44C12" w:rsidRDefault="00D44C12" w:rsidP="006E10A4"/>
          <w:p w14:paraId="76BBAB47" w14:textId="02571443" w:rsidR="006E10A4" w:rsidRDefault="006E10A4" w:rsidP="006E10A4">
            <w:r>
              <w:t>Suppliers</w:t>
            </w:r>
            <w:proofErr w:type="gramStart"/>
            <w:r>
              <w:t>’  lists</w:t>
            </w:r>
            <w:proofErr w:type="gramEnd"/>
            <w:r>
              <w:t xml:space="preserve"> with appropriate safeguards (transparency, objective criteria, accessibility) can provide better traceability and accountability than opaque and informal approaches in procurement methods involving direct solicitation.</w:t>
            </w:r>
          </w:p>
          <w:p w14:paraId="7FF6E657" w14:textId="77777777" w:rsidR="006E10A4" w:rsidRDefault="006E10A4" w:rsidP="006E10A4"/>
          <w:p w14:paraId="06E8D9F1" w14:textId="7BF09482" w:rsidR="006E10A4" w:rsidRDefault="006E10A4" w:rsidP="006E10A4">
            <w:r>
              <w:lastRenderedPageBreak/>
              <w:t xml:space="preserve">Linked to </w:t>
            </w:r>
            <w:r w:rsidRPr="00DF3C92">
              <w:rPr>
                <w:i/>
                <w:iCs/>
                <w:lang w:val="en-GB"/>
              </w:rPr>
              <w:t>Recent Developments in E-procurement</w:t>
            </w:r>
            <w:r w:rsidR="00695891">
              <w:rPr>
                <w:i/>
                <w:iCs/>
                <w:lang w:val="en-GB"/>
              </w:rPr>
              <w:t xml:space="preserve"> </w:t>
            </w:r>
            <w:r w:rsidR="00695891">
              <w:rPr>
                <w:lang w:val="en-GB"/>
              </w:rPr>
              <w:t>(above)</w:t>
            </w:r>
            <w:r>
              <w:rPr>
                <w:lang w:val="en-GB"/>
              </w:rPr>
              <w:t xml:space="preserve">: not all forms of e-catalogues in common use can be operated under </w:t>
            </w:r>
            <w:proofErr w:type="gramStart"/>
            <w:r>
              <w:rPr>
                <w:lang w:val="en-GB"/>
              </w:rPr>
              <w:t xml:space="preserve">the </w:t>
            </w:r>
            <w:r>
              <w:rPr>
                <w:i/>
                <w:iCs/>
                <w:lang w:val="en-GB"/>
              </w:rPr>
              <w:t>Model</w:t>
            </w:r>
            <w:proofErr w:type="gramEnd"/>
            <w:r>
              <w:rPr>
                <w:i/>
                <w:iCs/>
                <w:lang w:val="en-GB"/>
              </w:rPr>
              <w:t xml:space="preserve"> Law’s</w:t>
            </w:r>
            <w:r>
              <w:rPr>
                <w:lang w:val="en-GB"/>
              </w:rPr>
              <w:t xml:space="preserve"> provisions on framework agreements, as they may be classified as suppliers</w:t>
            </w:r>
            <w:proofErr w:type="gramStart"/>
            <w:r>
              <w:rPr>
                <w:lang w:val="en-GB"/>
              </w:rPr>
              <w:t>’  lists</w:t>
            </w:r>
            <w:proofErr w:type="gramEnd"/>
            <w:r>
              <w:rPr>
                <w:lang w:val="en-GB"/>
              </w:rPr>
              <w:t xml:space="preserve"> and as </w:t>
            </w:r>
            <w:proofErr w:type="gramStart"/>
            <w:r>
              <w:rPr>
                <w:lang w:val="en-GB"/>
              </w:rPr>
              <w:t xml:space="preserve">the </w:t>
            </w:r>
            <w:r>
              <w:rPr>
                <w:i/>
                <w:iCs/>
                <w:lang w:val="en-GB"/>
              </w:rPr>
              <w:t>Model</w:t>
            </w:r>
            <w:proofErr w:type="gramEnd"/>
            <w:r>
              <w:rPr>
                <w:i/>
                <w:iCs/>
                <w:lang w:val="en-GB"/>
              </w:rPr>
              <w:t xml:space="preserve"> Law’s</w:t>
            </w:r>
            <w:r>
              <w:rPr>
                <w:lang w:val="en-GB"/>
              </w:rPr>
              <w:t xml:space="preserve"> provisions on framework agreements prohibit spontaneous updates of standing offers.</w:t>
            </w:r>
          </w:p>
          <w:p w14:paraId="14C222AC" w14:textId="77777777" w:rsidR="006E10A4" w:rsidRDefault="006E10A4" w:rsidP="006E10A4"/>
          <w:p w14:paraId="3680BA87" w14:textId="23F85160" w:rsidR="006E10A4" w:rsidRPr="00DF3C92" w:rsidRDefault="006E10A4" w:rsidP="006E10A4">
            <w:pPr>
              <w:rPr>
                <w:lang w:val="en-GB"/>
              </w:rPr>
            </w:pPr>
            <w:r>
              <w:t xml:space="preserve">We recommend expanding the </w:t>
            </w:r>
            <w:r>
              <w:rPr>
                <w:i/>
                <w:iCs/>
              </w:rPr>
              <w:t>Guide to Enactment</w:t>
            </w:r>
            <w:r>
              <w:t>’s treatment of both whitelisting/suppliers’ lists and certification, based upon a review of international best practices.</w:t>
            </w:r>
          </w:p>
        </w:tc>
        <w:tc>
          <w:tcPr>
            <w:tcW w:w="1852" w:type="pct"/>
          </w:tcPr>
          <w:p w14:paraId="728D4245" w14:textId="77777777" w:rsidR="006E10A4" w:rsidRDefault="006E10A4" w:rsidP="006E10A4"/>
          <w:p w14:paraId="45EC85B5" w14:textId="77777777" w:rsidR="006E10A4" w:rsidRDefault="006E10A4" w:rsidP="006E10A4"/>
          <w:p w14:paraId="1101D7FD" w14:textId="77777777" w:rsidR="006E10A4" w:rsidRDefault="006E10A4" w:rsidP="006E10A4"/>
          <w:p w14:paraId="71E8F296" w14:textId="77777777" w:rsidR="006E10A4" w:rsidRDefault="006E10A4" w:rsidP="006E10A4"/>
          <w:p w14:paraId="35A91D80" w14:textId="24DE7044" w:rsidR="006E10A4" w:rsidRDefault="006E10A4" w:rsidP="006E10A4">
            <w:hyperlink r:id="rId43" w:history="1">
              <w:r w:rsidRPr="000330B2">
                <w:rPr>
                  <w:rStyle w:val="Hyperlink"/>
                </w:rPr>
                <w:t xml:space="preserve"> A/CN.9/553</w:t>
              </w:r>
            </w:hyperlink>
            <w:r w:rsidR="00CF78AD">
              <w:t>,</w:t>
            </w:r>
            <w:r>
              <w:t xml:space="preserve"> n.7 (2004)</w:t>
            </w:r>
            <w:r w:rsidR="00BB27A8">
              <w:t>.</w:t>
            </w:r>
          </w:p>
          <w:p w14:paraId="12E83DC3" w14:textId="77777777" w:rsidR="006E10A4" w:rsidRDefault="006E10A4" w:rsidP="006E10A4"/>
          <w:p w14:paraId="795E439E" w14:textId="77777777" w:rsidR="006E10A4" w:rsidRDefault="006E10A4" w:rsidP="006E10A4"/>
          <w:p w14:paraId="350DE4C5" w14:textId="77777777" w:rsidR="006E10A4" w:rsidRDefault="006E10A4" w:rsidP="006E10A4"/>
          <w:p w14:paraId="46FB9192" w14:textId="77777777" w:rsidR="006E10A4" w:rsidRDefault="006E10A4" w:rsidP="006E10A4"/>
          <w:p w14:paraId="45BA34BA" w14:textId="77777777" w:rsidR="006E10A4" w:rsidRDefault="006E10A4" w:rsidP="006E10A4"/>
          <w:p w14:paraId="669EDE65" w14:textId="77777777" w:rsidR="006E10A4" w:rsidRDefault="006E10A4" w:rsidP="006E10A4"/>
          <w:p w14:paraId="4EB54997" w14:textId="77777777" w:rsidR="006E10A4" w:rsidRDefault="006E10A4" w:rsidP="006E10A4"/>
          <w:p w14:paraId="556DA0D1" w14:textId="77777777" w:rsidR="006E10A4" w:rsidRDefault="006E10A4" w:rsidP="006E10A4"/>
          <w:p w14:paraId="7EBDC3E5" w14:textId="77777777" w:rsidR="006E10A4" w:rsidRDefault="006E10A4" w:rsidP="006E10A4"/>
          <w:p w14:paraId="7FDFCC73" w14:textId="77777777" w:rsidR="006E10A4" w:rsidRDefault="006E10A4" w:rsidP="006E10A4"/>
          <w:p w14:paraId="3AA57F13" w14:textId="77777777" w:rsidR="006E10A4" w:rsidRDefault="006E10A4" w:rsidP="006E10A4"/>
          <w:p w14:paraId="5F0FB14B" w14:textId="77777777" w:rsidR="006E10A4" w:rsidRDefault="006E10A4" w:rsidP="006E10A4"/>
          <w:p w14:paraId="3CC8A717" w14:textId="77777777" w:rsidR="006E10A4" w:rsidRDefault="006E10A4" w:rsidP="006E10A4"/>
          <w:p w14:paraId="5E916CA2" w14:textId="77777777" w:rsidR="006E10A4" w:rsidRDefault="006E10A4" w:rsidP="006E10A4"/>
          <w:p w14:paraId="01CD1420" w14:textId="77777777" w:rsidR="006E10A4" w:rsidRDefault="006E10A4" w:rsidP="006E10A4"/>
          <w:p w14:paraId="102A295A" w14:textId="77777777" w:rsidR="006E10A4" w:rsidRDefault="006E10A4" w:rsidP="006E10A4"/>
          <w:p w14:paraId="180A2A97" w14:textId="77777777" w:rsidR="00D44C12" w:rsidRDefault="006E10A4" w:rsidP="006E10A4">
            <w:hyperlink r:id="rId44" w:history="1">
              <w:r w:rsidRPr="005F43E0">
                <w:rPr>
                  <w:rStyle w:val="Hyperlink"/>
                </w:rPr>
                <w:t>Yukins &amp; Nicholas</w:t>
              </w:r>
            </w:hyperlink>
            <w:r>
              <w:t xml:space="preserve"> § 4.1 (“eco-labels” are used to certify “green” products</w:t>
            </w:r>
            <w:r w:rsidR="00D44C12">
              <w:t xml:space="preserve"> and may be discriminatory</w:t>
            </w:r>
            <w:r>
              <w:t>)</w:t>
            </w:r>
          </w:p>
          <w:p w14:paraId="6DA8DDEF" w14:textId="77777777" w:rsidR="00D44C12" w:rsidRDefault="00D44C12" w:rsidP="006E10A4"/>
          <w:p w14:paraId="35DFE431" w14:textId="6362DA5D" w:rsidR="006E10A4" w:rsidRDefault="006E10A4" w:rsidP="006E10A4">
            <w:r>
              <w:t xml:space="preserve">Asian Development Bank, </w:t>
            </w:r>
            <w:hyperlink r:id="rId45" w:history="1">
              <w:r w:rsidRPr="0033480A">
                <w:rPr>
                  <w:rStyle w:val="Hyperlink"/>
                  <w:i/>
                  <w:iCs/>
                </w:rPr>
                <w:t>e-Government Procurement Handbook</w:t>
              </w:r>
            </w:hyperlink>
            <w:r>
              <w:t xml:space="preserve"> 32</w:t>
            </w:r>
            <w:r>
              <w:rPr>
                <w:i/>
                <w:iCs/>
              </w:rPr>
              <w:t xml:space="preserve"> </w:t>
            </w:r>
            <w:r>
              <w:t>(2013) (“use of a closed supplier list [may] create[e] the perception of unfair competition and create[e] opportunities for corruption or collusion”)</w:t>
            </w:r>
          </w:p>
          <w:p w14:paraId="5E927448" w14:textId="77777777" w:rsidR="006E10A4" w:rsidRDefault="006E10A4" w:rsidP="006E10A4"/>
          <w:p w14:paraId="2A668CBC" w14:textId="729BF069" w:rsidR="006E10A4" w:rsidRPr="00DF3C92" w:rsidRDefault="006E10A4" w:rsidP="006E10A4">
            <w:pPr>
              <w:rPr>
                <w:i/>
                <w:iCs/>
                <w:lang w:val="en-GB"/>
              </w:rPr>
            </w:pPr>
            <w:r>
              <w:t xml:space="preserve">The current </w:t>
            </w:r>
            <w:r>
              <w:rPr>
                <w:i/>
                <w:iCs/>
              </w:rPr>
              <w:t>Guide</w:t>
            </w:r>
            <w:r w:rsidR="00D44C12">
              <w:rPr>
                <w:i/>
                <w:iCs/>
              </w:rPr>
              <w:t xml:space="preserve"> to Enactment</w:t>
            </w:r>
            <w:r>
              <w:rPr>
                <w:i/>
                <w:iCs/>
              </w:rPr>
              <w:t xml:space="preserve"> </w:t>
            </w:r>
            <w:r>
              <w:t>notes</w:t>
            </w:r>
            <w:r w:rsidR="00D44C12">
              <w:t>: “</w:t>
            </w:r>
            <w:r w:rsidR="00D44C12">
              <w:rPr>
                <w:i/>
                <w:iCs/>
              </w:rPr>
              <w:t>D</w:t>
            </w:r>
            <w:r w:rsidRPr="00DF3C92">
              <w:rPr>
                <w:i/>
                <w:iCs/>
              </w:rPr>
              <w:t xml:space="preserve">irect solicitation </w:t>
            </w:r>
            <w:r w:rsidR="00D44C12">
              <w:rPr>
                <w:i/>
                <w:iCs/>
              </w:rPr>
              <w:t xml:space="preserve">. . . involves </w:t>
            </w:r>
            <w:r w:rsidRPr="00DF3C92">
              <w:rPr>
                <w:i/>
                <w:iCs/>
              </w:rPr>
              <w:t xml:space="preserve">risks of abuse in that the identification of the market and hence of the suppliers and contractors to be invited to participate in procurement proceedings involves assessments that are essentially subjective. It is also at risk of abuse to </w:t>
            </w:r>
            <w:proofErr w:type="spellStart"/>
            <w:r w:rsidRPr="00DF3C92">
              <w:rPr>
                <w:i/>
                <w:iCs/>
              </w:rPr>
              <w:t>favour</w:t>
            </w:r>
            <w:proofErr w:type="spellEnd"/>
            <w:r w:rsidRPr="00DF3C92">
              <w:rPr>
                <w:i/>
                <w:iCs/>
              </w:rPr>
              <w:t xml:space="preserve"> one or more suppliers or contractors, or to </w:t>
            </w:r>
            <w:r w:rsidRPr="00DF3C92">
              <w:rPr>
                <w:i/>
                <w:iCs/>
              </w:rPr>
              <w:lastRenderedPageBreak/>
              <w:t>restrict competition’</w:t>
            </w:r>
            <w:r>
              <w:t xml:space="preserve"> (</w:t>
            </w:r>
            <w:r>
              <w:rPr>
                <w:i/>
                <w:iCs/>
              </w:rPr>
              <w:t xml:space="preserve">Guide, </w:t>
            </w:r>
            <w:r w:rsidRPr="00D44C12">
              <w:t>Section II, Commentary on Chapter IV procurement methods</w:t>
            </w:r>
            <w:r>
              <w:rPr>
                <w:i/>
                <w:iCs/>
              </w:rPr>
              <w:t xml:space="preserve">; </w:t>
            </w:r>
            <w:r w:rsidRPr="00C86CF4">
              <w:rPr>
                <w:i/>
                <w:iCs/>
              </w:rPr>
              <w:t>Enactment: policy considerations</w:t>
            </w:r>
            <w:r w:rsidRPr="00DF3C92">
              <w:t>, para</w:t>
            </w:r>
            <w:r>
              <w:t>.</w:t>
            </w:r>
            <w:r w:rsidRPr="00DF3C92">
              <w:t xml:space="preserve"> </w:t>
            </w:r>
            <w:r>
              <w:t>3</w:t>
            </w:r>
            <w:r w:rsidRPr="00DF3C92">
              <w:t>)</w:t>
            </w:r>
          </w:p>
        </w:tc>
      </w:tr>
      <w:tr w:rsidR="00D32521" w:rsidRPr="009753D7" w14:paraId="02105DF1" w14:textId="466DD44D" w:rsidTr="006D4C5B">
        <w:tc>
          <w:tcPr>
            <w:tcW w:w="750" w:type="pct"/>
          </w:tcPr>
          <w:p w14:paraId="4384C316" w14:textId="7D139847" w:rsidR="006E10A4" w:rsidRPr="00DF3C92" w:rsidRDefault="006E10A4" w:rsidP="006E10A4">
            <w:pPr>
              <w:rPr>
                <w:lang w:val="en-GB"/>
              </w:rPr>
            </w:pPr>
            <w:r>
              <w:lastRenderedPageBreak/>
              <w:t>Non-Price Criteria to Advance E</w:t>
            </w:r>
            <w:r w:rsidRPr="00203F27">
              <w:t xml:space="preserve">fficiency, </w:t>
            </w:r>
            <w:r>
              <w:t>I</w:t>
            </w:r>
            <w:r w:rsidRPr="00203F27">
              <w:t xml:space="preserve">ntegrity and </w:t>
            </w:r>
            <w:r>
              <w:t>S</w:t>
            </w:r>
            <w:r w:rsidRPr="00203F27">
              <w:t xml:space="preserve">trategic </w:t>
            </w:r>
            <w:r>
              <w:t>P</w:t>
            </w:r>
            <w:r w:rsidRPr="00203F27">
              <w:t>rocurement</w:t>
            </w:r>
          </w:p>
        </w:tc>
        <w:tc>
          <w:tcPr>
            <w:tcW w:w="587" w:type="pct"/>
          </w:tcPr>
          <w:p w14:paraId="573CF56A" w14:textId="33EA106F" w:rsidR="006E10A4" w:rsidRPr="00DF3C92" w:rsidRDefault="006E10A4" w:rsidP="006E10A4">
            <w:pPr>
              <w:rPr>
                <w:lang w:val="en-GB"/>
              </w:rPr>
            </w:pPr>
            <w:r>
              <w:t>No.</w:t>
            </w:r>
          </w:p>
        </w:tc>
        <w:tc>
          <w:tcPr>
            <w:tcW w:w="1811" w:type="pct"/>
          </w:tcPr>
          <w:p w14:paraId="4C60CA09" w14:textId="37F245F1" w:rsidR="006E10A4" w:rsidRPr="00DF3C92" w:rsidRDefault="006E10A4" w:rsidP="006E10A4">
            <w:pPr>
              <w:rPr>
                <w:lang w:val="en-GB"/>
              </w:rPr>
            </w:pPr>
            <w:r>
              <w:t xml:space="preserve">The use of non-price criteria has revolutionized public procurement over the last century. By looking to “value-for-money” (or “best value”) and weighing both price and quality, procuring entities have been able to match emerging technologies with governments’ unique requirements and resources. The secretariat looked further and asked whether, and how, “non-price criteria may allow States to pursue their socio-economic policies (e.g., procuring from and supporting domestic micro, small and medium-sized enterprises (MSMEs)),” and whether a “detailed list of non-price criteria is </w:t>
            </w:r>
            <w:r>
              <w:lastRenderedPageBreak/>
              <w:t xml:space="preserve">usually found in procurement legislation” or regulations. This is fully consistent with Article 2 of the current law, and paragraphs 18-22 of the </w:t>
            </w:r>
            <w:r>
              <w:rPr>
                <w:i/>
                <w:iCs/>
              </w:rPr>
              <w:t>Guide to Enactment</w:t>
            </w:r>
            <w:r>
              <w:t xml:space="preserve">, which noted that socioeconomic criteria can be used but only if they are clearly described in existing law. The Commission may wish to call for the development of separate guidance, based on </w:t>
            </w:r>
            <w:proofErr w:type="gramStart"/>
            <w:r>
              <w:t>international best</w:t>
            </w:r>
            <w:proofErr w:type="gramEnd"/>
            <w:r>
              <w:t xml:space="preserve"> practices, on how strategic goals can be met through non-price criteria. </w:t>
            </w:r>
          </w:p>
        </w:tc>
        <w:tc>
          <w:tcPr>
            <w:tcW w:w="1852" w:type="pct"/>
          </w:tcPr>
          <w:p w14:paraId="6B0BCC3E" w14:textId="77777777" w:rsidR="006E10A4" w:rsidRPr="00CD733F" w:rsidRDefault="006E10A4" w:rsidP="006E10A4">
            <w:pPr>
              <w:rPr>
                <w:i/>
                <w:iCs/>
              </w:rPr>
            </w:pPr>
            <w:r>
              <w:lastRenderedPageBreak/>
              <w:t xml:space="preserve">Yukins, </w:t>
            </w:r>
            <w:r w:rsidRPr="00CD733F">
              <w:rPr>
                <w:i/>
                <w:iCs/>
              </w:rPr>
              <w:t>The U.S. Federal Procurement System:</w:t>
            </w:r>
          </w:p>
          <w:p w14:paraId="7E766EDB" w14:textId="3EA74ADA" w:rsidR="006E10A4" w:rsidRPr="00DF3C92" w:rsidRDefault="006E10A4" w:rsidP="006E10A4">
            <w:pPr>
              <w:rPr>
                <w:lang w:val="en-GB"/>
              </w:rPr>
            </w:pPr>
            <w:r w:rsidRPr="00CD733F">
              <w:rPr>
                <w:i/>
                <w:iCs/>
              </w:rPr>
              <w:t>An Introduction,</w:t>
            </w:r>
            <w:hyperlink r:id="rId46" w:history="1">
              <w:r w:rsidRPr="00CD733F">
                <w:rPr>
                  <w:rStyle w:val="Hyperlink"/>
                </w:rPr>
                <w:t xml:space="preserve"> 27 UrT 69</w:t>
              </w:r>
            </w:hyperlink>
            <w:r>
              <w:t xml:space="preserve"> (2017) (best value competitive awards improve efficiency, integrity and strategic procurement)</w:t>
            </w:r>
          </w:p>
        </w:tc>
      </w:tr>
      <w:tr w:rsidR="00D32521" w:rsidRPr="009753D7" w14:paraId="4CEE88C2" w14:textId="14811208" w:rsidTr="006D4C5B">
        <w:tc>
          <w:tcPr>
            <w:tcW w:w="750" w:type="pct"/>
          </w:tcPr>
          <w:p w14:paraId="2425D176" w14:textId="2134D87F" w:rsidR="002A7A21" w:rsidRPr="00DF3C92" w:rsidRDefault="002A7A21" w:rsidP="002A7A21">
            <w:pPr>
              <w:rPr>
                <w:lang w:val="en-GB"/>
              </w:rPr>
            </w:pPr>
            <w:r w:rsidRPr="00DF3C92">
              <w:rPr>
                <w:lang w:val="en-GB"/>
              </w:rPr>
              <w:t>Review Procedures and Dispute Resolution Methods in Public Procurement, Including Alternative Dispute Resolution (ADR)</w:t>
            </w:r>
          </w:p>
        </w:tc>
        <w:tc>
          <w:tcPr>
            <w:tcW w:w="587" w:type="pct"/>
          </w:tcPr>
          <w:p w14:paraId="59E162AC" w14:textId="30961E47" w:rsidR="002A7A21" w:rsidRPr="00DF3C92" w:rsidRDefault="002A7A21" w:rsidP="002A7A21">
            <w:pPr>
              <w:rPr>
                <w:lang w:val="en-GB"/>
              </w:rPr>
            </w:pPr>
            <w:r w:rsidRPr="00DF3C92">
              <w:rPr>
                <w:lang w:val="en-GB"/>
              </w:rPr>
              <w:t>No.</w:t>
            </w:r>
          </w:p>
        </w:tc>
        <w:tc>
          <w:tcPr>
            <w:tcW w:w="1811" w:type="pct"/>
          </w:tcPr>
          <w:p w14:paraId="290B9759" w14:textId="77777777" w:rsidR="002A7A21" w:rsidRDefault="002A7A21" w:rsidP="002A7A21">
            <w:r>
              <w:t>The secretariat suggested an examination of the current law’s “</w:t>
            </w:r>
            <w:r w:rsidRPr="00046D76">
              <w:t>review procedures and dispute resolution methods</w:t>
            </w:r>
            <w:r>
              <w:t>,”</w:t>
            </w:r>
            <w:r w:rsidRPr="00046D76">
              <w:t xml:space="preserve"> including the </w:t>
            </w:r>
            <w:r>
              <w:t>“</w:t>
            </w:r>
            <w:r w:rsidRPr="00046D76">
              <w:t>use of alternative dispute resolution (ADR) in public procurement</w:t>
            </w:r>
            <w:r>
              <w:t>.” The Commission may wish:</w:t>
            </w:r>
          </w:p>
          <w:p w14:paraId="3CB9FE6F" w14:textId="77777777" w:rsidR="002A7A21" w:rsidRDefault="002A7A21" w:rsidP="002A7A21"/>
          <w:p w14:paraId="4662BEA4" w14:textId="43B34BC6" w:rsidR="002A7A21" w:rsidRDefault="002A7A21" w:rsidP="002A7A21">
            <w:r>
              <w:t xml:space="preserve">(1) To assess the current law’s Chapter VIII (Challenge Proceedings) against the </w:t>
            </w:r>
            <w:hyperlink r:id="rId47" w:history="1">
              <w:r w:rsidRPr="00F81BAD">
                <w:rPr>
                  <w:rStyle w:val="Hyperlink"/>
                  <w:i/>
                  <w:iCs/>
                </w:rPr>
                <w:t>Methodology for Assessment of Procurement Systems</w:t>
              </w:r>
            </w:hyperlink>
            <w:r>
              <w:rPr>
                <w:i/>
                <w:iCs/>
              </w:rPr>
              <w:t xml:space="preserve"> </w:t>
            </w:r>
            <w:r>
              <w:t>(MAPS), an OECD-</w:t>
            </w:r>
            <w:r w:rsidR="00695891">
              <w:t xml:space="preserve">supported assessment methodology </w:t>
            </w:r>
            <w:r>
              <w:t xml:space="preserve">which under Indicator 13 applies detailed criteria – many of which (such as limitations on fees) go beyond the Model Law --  to assess remedies systems. The MAPS approach, which fully matured only after the current Model Law, </w:t>
            </w:r>
            <w:r w:rsidR="00695891">
              <w:t xml:space="preserve">could </w:t>
            </w:r>
            <w:r>
              <w:t>help identify gaps in the current law.</w:t>
            </w:r>
          </w:p>
          <w:p w14:paraId="55387D02" w14:textId="77777777" w:rsidR="002A7A21" w:rsidRDefault="002A7A21" w:rsidP="002A7A21"/>
          <w:p w14:paraId="2364F0DB" w14:textId="506EBA81" w:rsidR="002A7A21" w:rsidRPr="00DF3C92" w:rsidRDefault="002A7A21" w:rsidP="002A7A21">
            <w:pPr>
              <w:rPr>
                <w:lang w:val="en-GB"/>
              </w:rPr>
            </w:pPr>
            <w:r>
              <w:lastRenderedPageBreak/>
              <w:t>(2) To explore where Alternative Dispute Resolution (ADR) has been used successfully for bid challenges. Indicator 13 of the MAPS assessment looks to whether bid appeals decisions are published, and whether those decisions are binding on the parties and can guide future procurement decisions. The Commission may choose to call for a study of international practice in this regard, and whether experience shows that ADR can be used in remedies proceedings to produce public arbitral decisions which guide future procurements.</w:t>
            </w:r>
            <w:r w:rsidR="00727484">
              <w:t xml:space="preserve"> The Commission’s experience in Investor-State Dispute Reform, </w:t>
            </w:r>
            <w:r w:rsidR="00A07FDF">
              <w:t xml:space="preserve">the policy solutions in its texts on Transparency in Treaty-Based Investor-State Arbitration </w:t>
            </w:r>
            <w:r w:rsidR="0002757A">
              <w:t xml:space="preserve">and the policy discussions on how arbitral tribunals take (or do not take) issues of public policy into account </w:t>
            </w:r>
            <w:r w:rsidR="000D074F">
              <w:t xml:space="preserve">could provide useful benchmarks for consideration. </w:t>
            </w:r>
          </w:p>
        </w:tc>
        <w:tc>
          <w:tcPr>
            <w:tcW w:w="1852" w:type="pct"/>
          </w:tcPr>
          <w:p w14:paraId="369D6C56" w14:textId="2A26F7DC" w:rsidR="002A7A21" w:rsidRPr="00DF3C92" w:rsidRDefault="002A7A21" w:rsidP="002A7A21">
            <w:pPr>
              <w:rPr>
                <w:lang w:val="en-GB"/>
              </w:rPr>
            </w:pPr>
            <w:r>
              <w:lastRenderedPageBreak/>
              <w:t xml:space="preserve">Nash, </w:t>
            </w:r>
            <w:proofErr w:type="spellStart"/>
            <w:r>
              <w:t>Cibinic</w:t>
            </w:r>
            <w:proofErr w:type="spellEnd"/>
            <w:r>
              <w:t xml:space="preserve">, Yukins &amp; Castellano, </w:t>
            </w:r>
            <w:r w:rsidRPr="0072176B">
              <w:rPr>
                <w:i/>
                <w:iCs/>
              </w:rPr>
              <w:t>Formation of Government Contracts</w:t>
            </w:r>
            <w:r>
              <w:t>, Ch. 16.XV (5</w:t>
            </w:r>
            <w:r w:rsidRPr="0072176B">
              <w:rPr>
                <w:vertAlign w:val="superscript"/>
              </w:rPr>
              <w:t>th</w:t>
            </w:r>
            <w:r>
              <w:t xml:space="preserve"> ed. 2023) (comparative assessment of review procedures worldwide).</w:t>
            </w:r>
          </w:p>
        </w:tc>
      </w:tr>
      <w:tr w:rsidR="00D32521" w:rsidRPr="009753D7" w14:paraId="3712DC8D" w14:textId="6D1933E4" w:rsidTr="006D4C5B">
        <w:tc>
          <w:tcPr>
            <w:tcW w:w="750" w:type="pct"/>
          </w:tcPr>
          <w:p w14:paraId="70D92D16" w14:textId="60F8795B" w:rsidR="00A570EC" w:rsidRPr="00DF3C92" w:rsidRDefault="00A570EC" w:rsidP="00A570EC">
            <w:pPr>
              <w:rPr>
                <w:lang w:val="en-GB"/>
              </w:rPr>
            </w:pPr>
            <w:r w:rsidRPr="00DF3C92">
              <w:rPr>
                <w:lang w:val="en-GB"/>
              </w:rPr>
              <w:t>Facilitating Micro, Small and Medium-Sized Enterprises (MSME) Participation</w:t>
            </w:r>
          </w:p>
        </w:tc>
        <w:tc>
          <w:tcPr>
            <w:tcW w:w="587" w:type="pct"/>
          </w:tcPr>
          <w:p w14:paraId="56A388B8" w14:textId="32B414C7" w:rsidR="00A570EC" w:rsidRPr="00DF3C92" w:rsidRDefault="00840FB9" w:rsidP="00A570EC">
            <w:pPr>
              <w:rPr>
                <w:lang w:val="en-GB"/>
              </w:rPr>
            </w:pPr>
            <w:r>
              <w:rPr>
                <w:rStyle w:val="Hyperlink"/>
              </w:rPr>
              <w:t xml:space="preserve">No. </w:t>
            </w:r>
          </w:p>
        </w:tc>
        <w:tc>
          <w:tcPr>
            <w:tcW w:w="1811" w:type="pct"/>
          </w:tcPr>
          <w:p w14:paraId="56E9A546" w14:textId="0A0D11A9" w:rsidR="00A570EC" w:rsidRPr="00DF3C92" w:rsidRDefault="00840FB9" w:rsidP="00A570EC">
            <w:pPr>
              <w:rPr>
                <w:lang w:val="en-GB"/>
              </w:rPr>
            </w:pPr>
            <w:r>
              <w:rPr>
                <w:lang w:val="en-GB"/>
              </w:rPr>
              <w:t>Making public procurement systems more accessible, proportional and MSME-friendly req</w:t>
            </w:r>
            <w:r w:rsidR="004B77FB">
              <w:rPr>
                <w:lang w:val="en-GB"/>
              </w:rPr>
              <w:t xml:space="preserve">uires a nuanced approach, as data indicate that (a) SMEs constitute </w:t>
            </w:r>
            <w:r w:rsidR="004B0E53">
              <w:rPr>
                <w:lang w:val="en-GB"/>
              </w:rPr>
              <w:t xml:space="preserve">95-99% of all businesses in many countries, and (b) that </w:t>
            </w:r>
            <w:r w:rsidR="004B77FB">
              <w:rPr>
                <w:lang w:val="en-GB"/>
              </w:rPr>
              <w:t>medium-sized companies</w:t>
            </w:r>
            <w:r w:rsidR="004B0E53">
              <w:rPr>
                <w:lang w:val="en-GB"/>
              </w:rPr>
              <w:t xml:space="preserve"> </w:t>
            </w:r>
            <w:r w:rsidR="009056D6">
              <w:rPr>
                <w:lang w:val="en-GB"/>
              </w:rPr>
              <w:t xml:space="preserve">are not disproportionately disfavoured in public procurement.  The Commission may therefore </w:t>
            </w:r>
            <w:r w:rsidR="009056D6">
              <w:rPr>
                <w:lang w:val="en-GB"/>
              </w:rPr>
              <w:lastRenderedPageBreak/>
              <w:t xml:space="preserve">wish to consider </w:t>
            </w:r>
            <w:r w:rsidR="00263651">
              <w:rPr>
                <w:lang w:val="en-GB"/>
              </w:rPr>
              <w:t>tools targeted at micro and small enterprises specifically.</w:t>
            </w:r>
            <w:r w:rsidR="009056D6">
              <w:rPr>
                <w:lang w:val="en-GB"/>
              </w:rPr>
              <w:t xml:space="preserve"> </w:t>
            </w:r>
            <w:r w:rsidR="000F579F">
              <w:rPr>
                <w:lang w:val="en-GB"/>
              </w:rPr>
              <w:t xml:space="preserve"> </w:t>
            </w:r>
          </w:p>
        </w:tc>
        <w:tc>
          <w:tcPr>
            <w:tcW w:w="1852" w:type="pct"/>
          </w:tcPr>
          <w:p w14:paraId="1B77634E" w14:textId="01B8367A" w:rsidR="00840FB9" w:rsidRDefault="00840FB9" w:rsidP="00A570EC">
            <w:pPr>
              <w:rPr>
                <w:lang w:val="en-GB"/>
              </w:rPr>
            </w:pPr>
            <w:hyperlink r:id="rId48" w:history="1">
              <w:r w:rsidRPr="00342764">
                <w:rPr>
                  <w:rStyle w:val="Hyperlink"/>
                  <w:lang w:val="en-GB"/>
                </w:rPr>
                <w:t>A/CN.9/1230</w:t>
              </w:r>
            </w:hyperlink>
            <w:r w:rsidRPr="00342764">
              <w:rPr>
                <w:lang w:val="en-GB"/>
              </w:rPr>
              <w:t>, para. 16</w:t>
            </w:r>
            <w:r>
              <w:rPr>
                <w:lang w:val="en-GB"/>
              </w:rPr>
              <w:t>.</w:t>
            </w:r>
          </w:p>
          <w:p w14:paraId="3901CF97" w14:textId="77777777" w:rsidR="00840FB9" w:rsidRDefault="00840FB9" w:rsidP="00A570EC">
            <w:pPr>
              <w:rPr>
                <w:lang w:val="en-GB"/>
              </w:rPr>
            </w:pPr>
          </w:p>
          <w:p w14:paraId="18990FAC" w14:textId="77777777" w:rsidR="00695891" w:rsidRDefault="00A570EC" w:rsidP="00A570EC">
            <w:pPr>
              <w:rPr>
                <w:lang w:val="en-GB"/>
              </w:rPr>
            </w:pPr>
            <w:r w:rsidRPr="00DF3C92">
              <w:rPr>
                <w:lang w:val="en-GB"/>
              </w:rPr>
              <w:t xml:space="preserve">Yukins, </w:t>
            </w:r>
            <w:hyperlink r:id="rId49" w:history="1">
              <w:r w:rsidRPr="00DF3C92">
                <w:rPr>
                  <w:rStyle w:val="Hyperlink"/>
                  <w:lang w:val="en-GB"/>
                </w:rPr>
                <w:t>Opening Online Marketplaces to Government Micro-Purchases</w:t>
              </w:r>
            </w:hyperlink>
            <w:r w:rsidRPr="00DF3C92">
              <w:rPr>
                <w:lang w:val="en-GB"/>
              </w:rPr>
              <w:t xml:space="preserve"> (June 30, 2020) (webinar and resources on efforts to open online purchasing for government procurement)</w:t>
            </w:r>
          </w:p>
          <w:p w14:paraId="3094FD34" w14:textId="77777777" w:rsidR="00695891" w:rsidRDefault="00695891" w:rsidP="00A570EC">
            <w:pPr>
              <w:rPr>
                <w:lang w:val="en-GB"/>
              </w:rPr>
            </w:pPr>
          </w:p>
          <w:p w14:paraId="3F68D988" w14:textId="730481F8" w:rsidR="00A570EC" w:rsidRDefault="00A570EC" w:rsidP="00A570EC">
            <w:pPr>
              <w:rPr>
                <w:lang w:val="en-GB"/>
              </w:rPr>
            </w:pPr>
            <w:r w:rsidRPr="00DF3C92">
              <w:rPr>
                <w:lang w:val="en-GB"/>
              </w:rPr>
              <w:lastRenderedPageBreak/>
              <w:t xml:space="preserve">European Union, </w:t>
            </w:r>
            <w:hyperlink r:id="rId50" w:history="1">
              <w:r w:rsidRPr="00DF3C92">
                <w:rPr>
                  <w:rStyle w:val="Hyperlink"/>
                  <w:i/>
                  <w:iCs/>
                  <w:lang w:val="en-GB"/>
                </w:rPr>
                <w:t>A ‘small business act’ for European SMEs</w:t>
              </w:r>
            </w:hyperlink>
            <w:r w:rsidR="00695891">
              <w:rPr>
                <w:lang w:val="en-GB"/>
              </w:rPr>
              <w:t xml:space="preserve"> (facilitation measures)</w:t>
            </w:r>
          </w:p>
          <w:p w14:paraId="603CEC67" w14:textId="77777777" w:rsidR="00FF3827" w:rsidRDefault="00FF3827" w:rsidP="00A570EC">
            <w:pPr>
              <w:rPr>
                <w:lang w:val="en-GB"/>
              </w:rPr>
            </w:pPr>
          </w:p>
          <w:p w14:paraId="7AE8A7E9" w14:textId="4DC15276" w:rsidR="00FF3827" w:rsidRPr="00DF3C92" w:rsidRDefault="00FF3827" w:rsidP="00A570EC">
            <w:pPr>
              <w:rPr>
                <w:lang w:val="en-GB"/>
              </w:rPr>
            </w:pPr>
            <w:r w:rsidRPr="00FF3827">
              <w:t>Nicholas C, </w:t>
            </w:r>
            <w:proofErr w:type="spellStart"/>
            <w:r w:rsidRPr="00FF3827">
              <w:t>Fruhmann</w:t>
            </w:r>
            <w:proofErr w:type="spellEnd"/>
            <w:r w:rsidRPr="00FF3827">
              <w:t xml:space="preserve"> M (2014), "Small and medium-sized enterprises policies in public procurement: Time for a rethink?" </w:t>
            </w:r>
            <w:r w:rsidRPr="00FF3827">
              <w:rPr>
                <w:i/>
                <w:iCs/>
              </w:rPr>
              <w:t>Journal of Public Procurement</w:t>
            </w:r>
            <w:r w:rsidRPr="00FF3827">
              <w:t xml:space="preserve">, Vol. 14 No. 3 pp. 328–360, </w:t>
            </w:r>
            <w:proofErr w:type="spellStart"/>
            <w:r w:rsidRPr="00FF3827">
              <w:t>doi</w:t>
            </w:r>
            <w:proofErr w:type="spellEnd"/>
            <w:r w:rsidRPr="00FF3827">
              <w:t>: </w:t>
            </w:r>
            <w:hyperlink r:id="rId51" w:tgtFrame="_blank" w:history="1">
              <w:r w:rsidRPr="00FF3827">
                <w:rPr>
                  <w:rStyle w:val="Hyperlink"/>
                </w:rPr>
                <w:t>https://doi.org/10.1108/JOPP-14-03-2014-B002</w:t>
              </w:r>
            </w:hyperlink>
          </w:p>
        </w:tc>
      </w:tr>
    </w:tbl>
    <w:p w14:paraId="29A3BD26" w14:textId="02CBE3E0" w:rsidR="00DF3C92" w:rsidRDefault="00DF3C92" w:rsidP="009F772A">
      <w:pPr>
        <w:rPr>
          <w:lang w:val="en-GB"/>
        </w:rPr>
      </w:pPr>
    </w:p>
    <w:p w14:paraId="62F1A718" w14:textId="77777777" w:rsidR="00DF3C92" w:rsidRDefault="00DF3C92">
      <w:pPr>
        <w:rPr>
          <w:lang w:val="en-GB"/>
        </w:rPr>
      </w:pPr>
      <w:r>
        <w:rPr>
          <w:lang w:val="en-GB"/>
        </w:rPr>
        <w:br w:type="page"/>
      </w:r>
    </w:p>
    <w:p w14:paraId="6BA42FB1" w14:textId="77777777" w:rsidR="00DF3C92" w:rsidRDefault="00DF3C92" w:rsidP="009F772A">
      <w:pPr>
        <w:rPr>
          <w:lang w:val="en-GB"/>
        </w:rPr>
        <w:sectPr w:rsidR="00DF3C92" w:rsidSect="00D92ED2">
          <w:pgSz w:w="15840" w:h="12240" w:orient="landscape"/>
          <w:pgMar w:top="1440" w:right="1440" w:bottom="1440" w:left="1440" w:header="720" w:footer="720" w:gutter="0"/>
          <w:cols w:space="720"/>
          <w:docGrid w:linePitch="360"/>
        </w:sectPr>
      </w:pPr>
    </w:p>
    <w:p w14:paraId="0AFF64D5" w14:textId="77777777" w:rsidR="002A6473" w:rsidRPr="00DF3C92" w:rsidRDefault="002A6473" w:rsidP="009F772A">
      <w:pPr>
        <w:rPr>
          <w:lang w:val="en-GB"/>
        </w:rPr>
      </w:pPr>
    </w:p>
    <w:p w14:paraId="124EC206" w14:textId="18FC69EF" w:rsidR="009B42CA" w:rsidRPr="00AE1495" w:rsidRDefault="009B42CA" w:rsidP="009B42CA">
      <w:pPr>
        <w:pStyle w:val="Heading1"/>
        <w:rPr>
          <w:b/>
          <w:bCs/>
          <w:color w:val="auto"/>
          <w:sz w:val="24"/>
          <w:szCs w:val="24"/>
          <w:lang w:val="fr-FR"/>
        </w:rPr>
      </w:pPr>
      <w:r w:rsidRPr="00AE1495">
        <w:rPr>
          <w:b/>
          <w:bCs/>
          <w:color w:val="auto"/>
          <w:sz w:val="24"/>
          <w:szCs w:val="24"/>
          <w:lang w:val="fr-FR"/>
        </w:rPr>
        <w:t xml:space="preserve">ABA Model Procurement Code – </w:t>
      </w:r>
      <w:proofErr w:type="spellStart"/>
      <w:r w:rsidRPr="00AE1495">
        <w:rPr>
          <w:b/>
          <w:bCs/>
          <w:color w:val="auto"/>
          <w:sz w:val="24"/>
          <w:szCs w:val="24"/>
          <w:lang w:val="fr-FR"/>
        </w:rPr>
        <w:t>Parallel</w:t>
      </w:r>
      <w:proofErr w:type="spellEnd"/>
      <w:r w:rsidRPr="00AE1495">
        <w:rPr>
          <w:b/>
          <w:bCs/>
          <w:color w:val="auto"/>
          <w:sz w:val="24"/>
          <w:szCs w:val="24"/>
          <w:lang w:val="fr-FR"/>
        </w:rPr>
        <w:t xml:space="preserve"> Reform Initiative</w:t>
      </w:r>
    </w:p>
    <w:p w14:paraId="05F5E6F3" w14:textId="4579C6D5" w:rsidR="00423B12" w:rsidRPr="00DF3C92" w:rsidRDefault="0056591B" w:rsidP="009F772A">
      <w:pPr>
        <w:rPr>
          <w:lang w:val="en-GB"/>
        </w:rPr>
      </w:pPr>
      <w:r w:rsidRPr="00DF3C92">
        <w:rPr>
          <w:lang w:val="en-GB"/>
        </w:rPr>
        <w:t xml:space="preserve">We note that Professor Yukins serves as the Academic Advisor to the ongoing reform of the American Bar Association’s </w:t>
      </w:r>
      <w:r w:rsidRPr="00DF3C92">
        <w:rPr>
          <w:i/>
          <w:iCs/>
          <w:lang w:val="en-GB"/>
        </w:rPr>
        <w:t>Model Procurement Law for State and Local Government</w:t>
      </w:r>
      <w:r w:rsidR="00BE63FF" w:rsidRPr="00DF3C92">
        <w:rPr>
          <w:i/>
          <w:iCs/>
          <w:lang w:val="en-GB"/>
        </w:rPr>
        <w:t xml:space="preserve"> </w:t>
      </w:r>
      <w:r w:rsidR="00BE63FF" w:rsidRPr="00DF3C92">
        <w:rPr>
          <w:lang w:val="en-GB"/>
        </w:rPr>
        <w:t>(MPC), which was last revised in 2000</w:t>
      </w:r>
      <w:r w:rsidRPr="00DF3C92">
        <w:rPr>
          <w:lang w:val="en-GB"/>
        </w:rPr>
        <w:t xml:space="preserve">. That </w:t>
      </w:r>
      <w:hyperlink r:id="rId52" w:history="1">
        <w:r w:rsidRPr="00DF3C92">
          <w:rPr>
            <w:rStyle w:val="Hyperlink"/>
            <w:lang w:val="en-GB"/>
          </w:rPr>
          <w:t>reform initiative</w:t>
        </w:r>
      </w:hyperlink>
      <w:r w:rsidRPr="00DF3C92">
        <w:rPr>
          <w:lang w:val="en-GB"/>
        </w:rPr>
        <w:t xml:space="preserve"> in many ways parallels the current UNCITRAL efforts – in fact, </w:t>
      </w:r>
      <w:r w:rsidR="00DA3396" w:rsidRPr="00DF3C92">
        <w:rPr>
          <w:lang w:val="en-GB"/>
        </w:rPr>
        <w:t>the MPC revision</w:t>
      </w:r>
      <w:r w:rsidRPr="00DF3C92">
        <w:rPr>
          <w:lang w:val="en-GB"/>
        </w:rPr>
        <w:t xml:space="preserve"> draws regularly on lessons learned from the 2011 UNCITRAL model law</w:t>
      </w:r>
      <w:r w:rsidR="00B87ABC" w:rsidRPr="00DF3C92">
        <w:rPr>
          <w:lang w:val="en-GB"/>
        </w:rPr>
        <w:t>. W</w:t>
      </w:r>
      <w:r w:rsidRPr="00DF3C92">
        <w:rPr>
          <w:lang w:val="en-GB"/>
        </w:rPr>
        <w:t>e recommend that the UNCITRAL secretariat engage with the ABA and the Partners</w:t>
      </w:r>
      <w:r w:rsidR="0037743E" w:rsidRPr="00DF3C92">
        <w:rPr>
          <w:lang w:val="en-GB"/>
        </w:rPr>
        <w:t xml:space="preserve"> </w:t>
      </w:r>
      <w:r w:rsidRPr="00DF3C92">
        <w:rPr>
          <w:lang w:val="en-GB"/>
        </w:rPr>
        <w:t>for Public Good (the non-governmental organization coordinating the MPC reform) as reform of the UNCITRAL model procurement law moves forward.</w:t>
      </w:r>
    </w:p>
    <w:p w14:paraId="53B18CA5" w14:textId="64F156F8" w:rsidR="003D4B2F" w:rsidRPr="00DF3C92" w:rsidRDefault="003D4B2F" w:rsidP="009705B4">
      <w:pPr>
        <w:pStyle w:val="Heading1"/>
        <w:rPr>
          <w:b/>
          <w:bCs/>
          <w:color w:val="auto"/>
          <w:sz w:val="24"/>
          <w:szCs w:val="24"/>
          <w:lang w:val="en-GB"/>
        </w:rPr>
      </w:pPr>
      <w:r w:rsidRPr="00DF3C92">
        <w:rPr>
          <w:b/>
          <w:bCs/>
          <w:color w:val="auto"/>
          <w:sz w:val="24"/>
          <w:szCs w:val="24"/>
          <w:lang w:val="en-GB"/>
        </w:rPr>
        <w:t>Conclusion</w:t>
      </w:r>
    </w:p>
    <w:p w14:paraId="58B62FBC" w14:textId="0647486C" w:rsidR="003D4B2F" w:rsidRPr="00DF3C92" w:rsidRDefault="003D4B2F" w:rsidP="009F772A">
      <w:pPr>
        <w:rPr>
          <w:lang w:val="en-GB"/>
        </w:rPr>
      </w:pPr>
      <w:r w:rsidRPr="00DF3C92">
        <w:rPr>
          <w:lang w:val="en-GB"/>
        </w:rPr>
        <w:t>Thank you for this opportunity to respond to the referenced request for inputs, and again please feel free to contact us if we can be of further assistance.</w:t>
      </w:r>
    </w:p>
    <w:p w14:paraId="3521B326" w14:textId="77777777" w:rsidR="0089024E" w:rsidRPr="00DF3C92" w:rsidRDefault="0089024E" w:rsidP="009F772A">
      <w:pPr>
        <w:rPr>
          <w:lang w:val="en-GB"/>
        </w:rPr>
      </w:pPr>
    </w:p>
    <w:p w14:paraId="49A24A05" w14:textId="2FFBCE3E" w:rsidR="003D4B2F" w:rsidRPr="00DF3C92" w:rsidRDefault="003D4B2F" w:rsidP="009705B4">
      <w:pPr>
        <w:rPr>
          <w:lang w:val="en-GB"/>
        </w:rPr>
      </w:pPr>
      <w:r w:rsidRPr="00DF3C92">
        <w:rPr>
          <w:lang w:val="en-GB"/>
        </w:rPr>
        <w:t>Very truly yours,</w:t>
      </w:r>
    </w:p>
    <w:p w14:paraId="3B05A5A6" w14:textId="6A23EE72" w:rsidR="003D4B2F" w:rsidRPr="00DF3C92" w:rsidRDefault="00DF3C92" w:rsidP="009F772A">
      <w:pPr>
        <w:rPr>
          <w:lang w:val="en-GB"/>
        </w:rPr>
      </w:pPr>
      <w:r w:rsidRPr="00DF3C92">
        <w:rPr>
          <w:noProof/>
          <w:lang w:val="en-GB"/>
        </w:rPr>
        <w:drawing>
          <wp:anchor distT="0" distB="0" distL="114300" distR="114300" simplePos="0" relativeHeight="251658240" behindDoc="0" locked="0" layoutInCell="1" allowOverlap="1" wp14:anchorId="7DE3CE8C" wp14:editId="2C39687D">
            <wp:simplePos x="0" y="0"/>
            <wp:positionH relativeFrom="column">
              <wp:posOffset>104775</wp:posOffset>
            </wp:positionH>
            <wp:positionV relativeFrom="paragraph">
              <wp:posOffset>276225</wp:posOffset>
            </wp:positionV>
            <wp:extent cx="1596390" cy="771525"/>
            <wp:effectExtent l="0" t="0" r="3810" b="9525"/>
            <wp:wrapSquare wrapText="bothSides"/>
            <wp:docPr id="77134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49536" name="Picture 771349536"/>
                    <pic:cNvPicPr/>
                  </pic:nvPicPr>
                  <pic:blipFill>
                    <a:blip r:embed="rId53">
                      <a:extLst>
                        <a:ext uri="{28A0092B-C50C-407E-A947-70E740481C1C}">
                          <a14:useLocalDpi xmlns:a14="http://schemas.microsoft.com/office/drawing/2010/main" val="0"/>
                        </a:ext>
                      </a:extLst>
                    </a:blip>
                    <a:stretch>
                      <a:fillRect/>
                    </a:stretch>
                  </pic:blipFill>
                  <pic:spPr>
                    <a:xfrm>
                      <a:off x="0" y="0"/>
                      <a:ext cx="1596390" cy="771525"/>
                    </a:xfrm>
                    <a:prstGeom prst="rect">
                      <a:avLst/>
                    </a:prstGeom>
                  </pic:spPr>
                </pic:pic>
              </a:graphicData>
            </a:graphic>
            <wp14:sizeRelH relativeFrom="margin">
              <wp14:pctWidth>0</wp14:pctWidth>
            </wp14:sizeRelH>
            <wp14:sizeRelV relativeFrom="margin">
              <wp14:pctHeight>0</wp14:pctHeight>
            </wp14:sizeRelV>
          </wp:anchor>
        </w:drawing>
      </w:r>
    </w:p>
    <w:p w14:paraId="2BE7FB8A" w14:textId="1873580A" w:rsidR="003D4B2F" w:rsidRPr="00DF3C92" w:rsidRDefault="00BB27A8" w:rsidP="009F772A">
      <w:pPr>
        <w:rPr>
          <w:lang w:val="en-GB"/>
        </w:rPr>
      </w:pPr>
      <w:r>
        <w:rPr>
          <w:lang w:val="en-GB"/>
        </w:rPr>
        <w:tab/>
      </w:r>
      <w:r>
        <w:rPr>
          <w:lang w:val="en-GB"/>
        </w:rPr>
        <w:tab/>
      </w:r>
      <w:r>
        <w:rPr>
          <w:lang w:val="en-GB"/>
        </w:rPr>
        <w:tab/>
      </w:r>
      <w:r>
        <w:rPr>
          <w:lang w:val="en-GB"/>
        </w:rPr>
        <w:tab/>
      </w:r>
      <w:r w:rsidR="008E39E7">
        <w:rPr>
          <w:noProof/>
          <w:lang w:val="en-GB"/>
        </w:rPr>
        <w:drawing>
          <wp:inline distT="0" distB="0" distL="0" distR="0" wp14:anchorId="1C053201" wp14:editId="316A40A1">
            <wp:extent cx="980038" cy="657225"/>
            <wp:effectExtent l="0" t="0" r="0" b="0"/>
            <wp:docPr id="120414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49653" name="Picture 1204149653"/>
                    <pic:cNvPicPr/>
                  </pic:nvPicPr>
                  <pic:blipFill>
                    <a:blip r:embed="rId54" cstate="print">
                      <a:extLst>
                        <a:ext uri="{28A0092B-C50C-407E-A947-70E740481C1C}">
                          <a14:useLocalDpi xmlns:a14="http://schemas.microsoft.com/office/drawing/2010/main" val="0"/>
                        </a:ext>
                      </a:extLst>
                    </a:blip>
                    <a:stretch>
                      <a:fillRect/>
                    </a:stretch>
                  </pic:blipFill>
                  <pic:spPr>
                    <a:xfrm>
                      <a:off x="0" y="0"/>
                      <a:ext cx="991467" cy="664889"/>
                    </a:xfrm>
                    <a:prstGeom prst="rect">
                      <a:avLst/>
                    </a:prstGeom>
                  </pic:spPr>
                </pic:pic>
              </a:graphicData>
            </a:graphic>
          </wp:inline>
        </w:drawing>
      </w:r>
    </w:p>
    <w:p w14:paraId="5CA83479" w14:textId="77777777" w:rsidR="008471B0" w:rsidRDefault="008471B0">
      <w:pPr>
        <w:rPr>
          <w:lang w:val="en-GB"/>
        </w:rPr>
      </w:pPr>
    </w:p>
    <w:p w14:paraId="551C6988" w14:textId="36A36487" w:rsidR="009F772A" w:rsidRPr="00DF3C92" w:rsidRDefault="003D4B2F" w:rsidP="00DF3C92">
      <w:pPr>
        <w:rPr>
          <w:lang w:val="en-GB"/>
        </w:rPr>
      </w:pPr>
      <w:r w:rsidRPr="00DF3C92">
        <w:rPr>
          <w:lang w:val="en-GB"/>
        </w:rPr>
        <w:t>Christopher Yukins</w:t>
      </w:r>
      <w:r w:rsidR="008471B0">
        <w:rPr>
          <w:lang w:val="en-GB"/>
        </w:rPr>
        <w:tab/>
      </w:r>
      <w:r w:rsidR="008471B0">
        <w:rPr>
          <w:lang w:val="en-GB"/>
        </w:rPr>
        <w:tab/>
      </w:r>
      <w:r w:rsidR="008471B0">
        <w:rPr>
          <w:lang w:val="en-GB"/>
        </w:rPr>
        <w:tab/>
      </w:r>
      <w:r w:rsidR="008471B0">
        <w:rPr>
          <w:lang w:val="en-GB"/>
        </w:rPr>
        <w:tab/>
      </w:r>
      <w:r w:rsidR="008471B0">
        <w:rPr>
          <w:lang w:val="en-GB"/>
        </w:rPr>
        <w:tab/>
      </w:r>
      <w:r w:rsidR="008471B0" w:rsidRPr="00342764">
        <w:rPr>
          <w:lang w:val="en-GB"/>
        </w:rPr>
        <w:t>Caroline Nicholas</w:t>
      </w:r>
    </w:p>
    <w:sectPr w:rsidR="009F772A" w:rsidRPr="00DF3C92" w:rsidSect="00DF3C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25E1" w14:textId="77777777" w:rsidR="00D934CA" w:rsidRDefault="00D934CA" w:rsidP="009705B4">
      <w:pPr>
        <w:spacing w:after="0" w:line="240" w:lineRule="auto"/>
      </w:pPr>
      <w:r>
        <w:separator/>
      </w:r>
    </w:p>
  </w:endnote>
  <w:endnote w:type="continuationSeparator" w:id="0">
    <w:p w14:paraId="17FB2F8E" w14:textId="77777777" w:rsidR="00D934CA" w:rsidRDefault="00D934CA" w:rsidP="0097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ED64" w14:textId="6CDC0327" w:rsidR="009705B4" w:rsidRDefault="009705B4">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D506" w14:textId="77777777" w:rsidR="00D934CA" w:rsidRDefault="00D934CA" w:rsidP="009705B4">
      <w:pPr>
        <w:spacing w:after="0" w:line="240" w:lineRule="auto"/>
      </w:pPr>
      <w:r>
        <w:separator/>
      </w:r>
    </w:p>
  </w:footnote>
  <w:footnote w:type="continuationSeparator" w:id="0">
    <w:p w14:paraId="295E6615" w14:textId="77777777" w:rsidR="00D934CA" w:rsidRDefault="00D934CA" w:rsidP="00970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50AC"/>
    <w:multiLevelType w:val="hybridMultilevel"/>
    <w:tmpl w:val="93FC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951E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D9E3B96"/>
    <w:multiLevelType w:val="hybridMultilevel"/>
    <w:tmpl w:val="5772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304695">
    <w:abstractNumId w:val="1"/>
  </w:num>
  <w:num w:numId="2" w16cid:durableId="390075905">
    <w:abstractNumId w:val="1"/>
  </w:num>
  <w:num w:numId="3" w16cid:durableId="1161700432">
    <w:abstractNumId w:val="1"/>
  </w:num>
  <w:num w:numId="4" w16cid:durableId="1313826532">
    <w:abstractNumId w:val="1"/>
  </w:num>
  <w:num w:numId="5" w16cid:durableId="1010908841">
    <w:abstractNumId w:val="0"/>
  </w:num>
  <w:num w:numId="6" w16cid:durableId="464782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2A"/>
    <w:rsid w:val="000137B9"/>
    <w:rsid w:val="00015A8C"/>
    <w:rsid w:val="00016D57"/>
    <w:rsid w:val="00017BEF"/>
    <w:rsid w:val="0002757A"/>
    <w:rsid w:val="00033DF8"/>
    <w:rsid w:val="00053E74"/>
    <w:rsid w:val="000566FC"/>
    <w:rsid w:val="0006036F"/>
    <w:rsid w:val="00086DDC"/>
    <w:rsid w:val="000A5B00"/>
    <w:rsid w:val="000B438F"/>
    <w:rsid w:val="000C1C5B"/>
    <w:rsid w:val="000D0353"/>
    <w:rsid w:val="000D074F"/>
    <w:rsid w:val="000D2BFB"/>
    <w:rsid w:val="000D4D6E"/>
    <w:rsid w:val="000F0657"/>
    <w:rsid w:val="000F579F"/>
    <w:rsid w:val="001448AC"/>
    <w:rsid w:val="001477D7"/>
    <w:rsid w:val="0015091C"/>
    <w:rsid w:val="00153161"/>
    <w:rsid w:val="00154C71"/>
    <w:rsid w:val="00163BFE"/>
    <w:rsid w:val="0016580C"/>
    <w:rsid w:val="00174EC8"/>
    <w:rsid w:val="001852AD"/>
    <w:rsid w:val="00186638"/>
    <w:rsid w:val="00193704"/>
    <w:rsid w:val="001B5FDA"/>
    <w:rsid w:val="001D252D"/>
    <w:rsid w:val="001F1E65"/>
    <w:rsid w:val="00200314"/>
    <w:rsid w:val="00200621"/>
    <w:rsid w:val="00203F27"/>
    <w:rsid w:val="002211C1"/>
    <w:rsid w:val="00223C0A"/>
    <w:rsid w:val="00224656"/>
    <w:rsid w:val="00237D62"/>
    <w:rsid w:val="0024451A"/>
    <w:rsid w:val="00247848"/>
    <w:rsid w:val="00263651"/>
    <w:rsid w:val="00296052"/>
    <w:rsid w:val="002A4C2D"/>
    <w:rsid w:val="002A6473"/>
    <w:rsid w:val="002A7A21"/>
    <w:rsid w:val="002B66C2"/>
    <w:rsid w:val="002C1F60"/>
    <w:rsid w:val="002E413A"/>
    <w:rsid w:val="00304370"/>
    <w:rsid w:val="00314EBA"/>
    <w:rsid w:val="00315654"/>
    <w:rsid w:val="00321C4D"/>
    <w:rsid w:val="00371890"/>
    <w:rsid w:val="0037743E"/>
    <w:rsid w:val="003B2DC2"/>
    <w:rsid w:val="003B49CF"/>
    <w:rsid w:val="003D0A82"/>
    <w:rsid w:val="003D40E4"/>
    <w:rsid w:val="003D4B2F"/>
    <w:rsid w:val="003D5556"/>
    <w:rsid w:val="003F1A6E"/>
    <w:rsid w:val="003F58BB"/>
    <w:rsid w:val="00404857"/>
    <w:rsid w:val="004059D8"/>
    <w:rsid w:val="00412FB5"/>
    <w:rsid w:val="00423B12"/>
    <w:rsid w:val="00424926"/>
    <w:rsid w:val="00425337"/>
    <w:rsid w:val="00431E78"/>
    <w:rsid w:val="004322DD"/>
    <w:rsid w:val="00432B76"/>
    <w:rsid w:val="00436A0F"/>
    <w:rsid w:val="004469DF"/>
    <w:rsid w:val="00463D2E"/>
    <w:rsid w:val="004949B1"/>
    <w:rsid w:val="004A3C9D"/>
    <w:rsid w:val="004B0E53"/>
    <w:rsid w:val="004B42B7"/>
    <w:rsid w:val="004B77FB"/>
    <w:rsid w:val="004C31EA"/>
    <w:rsid w:val="004E3AB4"/>
    <w:rsid w:val="004E5CD1"/>
    <w:rsid w:val="004F678D"/>
    <w:rsid w:val="005048D2"/>
    <w:rsid w:val="005052B7"/>
    <w:rsid w:val="00526352"/>
    <w:rsid w:val="005276A9"/>
    <w:rsid w:val="00547F05"/>
    <w:rsid w:val="005637E5"/>
    <w:rsid w:val="00564551"/>
    <w:rsid w:val="0056473C"/>
    <w:rsid w:val="0056591B"/>
    <w:rsid w:val="005661C7"/>
    <w:rsid w:val="00571919"/>
    <w:rsid w:val="00573F95"/>
    <w:rsid w:val="0058062A"/>
    <w:rsid w:val="00584E22"/>
    <w:rsid w:val="005C2B3C"/>
    <w:rsid w:val="005D4CEC"/>
    <w:rsid w:val="005E272F"/>
    <w:rsid w:val="005E5DF0"/>
    <w:rsid w:val="005E7F8F"/>
    <w:rsid w:val="005F43E0"/>
    <w:rsid w:val="005F7DE6"/>
    <w:rsid w:val="006129D6"/>
    <w:rsid w:val="0062463C"/>
    <w:rsid w:val="00625E9F"/>
    <w:rsid w:val="006265CF"/>
    <w:rsid w:val="00626FC9"/>
    <w:rsid w:val="00627D17"/>
    <w:rsid w:val="00634C2A"/>
    <w:rsid w:val="00661100"/>
    <w:rsid w:val="00691CA8"/>
    <w:rsid w:val="00695891"/>
    <w:rsid w:val="006A2539"/>
    <w:rsid w:val="006B1F8D"/>
    <w:rsid w:val="006B54BF"/>
    <w:rsid w:val="006C193B"/>
    <w:rsid w:val="006C3B13"/>
    <w:rsid w:val="006C5D60"/>
    <w:rsid w:val="006C6FB7"/>
    <w:rsid w:val="006D3E3B"/>
    <w:rsid w:val="006D4C5B"/>
    <w:rsid w:val="006E10A4"/>
    <w:rsid w:val="006E7143"/>
    <w:rsid w:val="006F6CF9"/>
    <w:rsid w:val="006F73ED"/>
    <w:rsid w:val="0072176B"/>
    <w:rsid w:val="00722E22"/>
    <w:rsid w:val="00727484"/>
    <w:rsid w:val="00731246"/>
    <w:rsid w:val="00731BC4"/>
    <w:rsid w:val="00746DC3"/>
    <w:rsid w:val="00760ABD"/>
    <w:rsid w:val="00762EF7"/>
    <w:rsid w:val="007726E1"/>
    <w:rsid w:val="00774055"/>
    <w:rsid w:val="007A3DBF"/>
    <w:rsid w:val="007B1D43"/>
    <w:rsid w:val="007B2139"/>
    <w:rsid w:val="007D6562"/>
    <w:rsid w:val="007E1944"/>
    <w:rsid w:val="007F2150"/>
    <w:rsid w:val="00800080"/>
    <w:rsid w:val="00813E71"/>
    <w:rsid w:val="00822AA9"/>
    <w:rsid w:val="00840FB9"/>
    <w:rsid w:val="008471B0"/>
    <w:rsid w:val="008505ED"/>
    <w:rsid w:val="00851BAD"/>
    <w:rsid w:val="00856C3B"/>
    <w:rsid w:val="00867BF8"/>
    <w:rsid w:val="008739B3"/>
    <w:rsid w:val="00885DAF"/>
    <w:rsid w:val="0089024E"/>
    <w:rsid w:val="00894559"/>
    <w:rsid w:val="00894C8F"/>
    <w:rsid w:val="008A3B19"/>
    <w:rsid w:val="008C0310"/>
    <w:rsid w:val="008C250D"/>
    <w:rsid w:val="008C654E"/>
    <w:rsid w:val="008D180E"/>
    <w:rsid w:val="008D22F7"/>
    <w:rsid w:val="008D5A36"/>
    <w:rsid w:val="008E1709"/>
    <w:rsid w:val="008E39E7"/>
    <w:rsid w:val="008F0A47"/>
    <w:rsid w:val="008F6593"/>
    <w:rsid w:val="008F663E"/>
    <w:rsid w:val="00900089"/>
    <w:rsid w:val="009056D6"/>
    <w:rsid w:val="00913DB8"/>
    <w:rsid w:val="009151BB"/>
    <w:rsid w:val="009173CB"/>
    <w:rsid w:val="009479E9"/>
    <w:rsid w:val="00947D33"/>
    <w:rsid w:val="00957541"/>
    <w:rsid w:val="00957E32"/>
    <w:rsid w:val="009705B4"/>
    <w:rsid w:val="009743A6"/>
    <w:rsid w:val="009753D7"/>
    <w:rsid w:val="00993DCB"/>
    <w:rsid w:val="009A1F55"/>
    <w:rsid w:val="009A5889"/>
    <w:rsid w:val="009B42CA"/>
    <w:rsid w:val="009B47E2"/>
    <w:rsid w:val="009B507E"/>
    <w:rsid w:val="009B54F4"/>
    <w:rsid w:val="009B6C16"/>
    <w:rsid w:val="009C034E"/>
    <w:rsid w:val="009C2B67"/>
    <w:rsid w:val="009C53BC"/>
    <w:rsid w:val="009F01AD"/>
    <w:rsid w:val="009F772A"/>
    <w:rsid w:val="009F7A69"/>
    <w:rsid w:val="00A0469B"/>
    <w:rsid w:val="00A07FDF"/>
    <w:rsid w:val="00A2073B"/>
    <w:rsid w:val="00A20C19"/>
    <w:rsid w:val="00A241C5"/>
    <w:rsid w:val="00A27D38"/>
    <w:rsid w:val="00A3175F"/>
    <w:rsid w:val="00A32B0E"/>
    <w:rsid w:val="00A420AC"/>
    <w:rsid w:val="00A470A0"/>
    <w:rsid w:val="00A570EC"/>
    <w:rsid w:val="00A63525"/>
    <w:rsid w:val="00A91811"/>
    <w:rsid w:val="00AA1033"/>
    <w:rsid w:val="00AA46DA"/>
    <w:rsid w:val="00AA4A6F"/>
    <w:rsid w:val="00AB6943"/>
    <w:rsid w:val="00AC0AE7"/>
    <w:rsid w:val="00AC268A"/>
    <w:rsid w:val="00AD1F55"/>
    <w:rsid w:val="00AD4D5E"/>
    <w:rsid w:val="00AE1495"/>
    <w:rsid w:val="00AE2FEC"/>
    <w:rsid w:val="00AF359D"/>
    <w:rsid w:val="00AF6A2A"/>
    <w:rsid w:val="00B20FF3"/>
    <w:rsid w:val="00B37BCB"/>
    <w:rsid w:val="00B4228B"/>
    <w:rsid w:val="00B75A67"/>
    <w:rsid w:val="00B87ABC"/>
    <w:rsid w:val="00B92C9E"/>
    <w:rsid w:val="00BA2B43"/>
    <w:rsid w:val="00BA7659"/>
    <w:rsid w:val="00BB1AED"/>
    <w:rsid w:val="00BB27A8"/>
    <w:rsid w:val="00BC0FA9"/>
    <w:rsid w:val="00BC3C53"/>
    <w:rsid w:val="00BC7B48"/>
    <w:rsid w:val="00BE0797"/>
    <w:rsid w:val="00BE63FF"/>
    <w:rsid w:val="00C012A1"/>
    <w:rsid w:val="00C14F55"/>
    <w:rsid w:val="00C269DD"/>
    <w:rsid w:val="00C45F03"/>
    <w:rsid w:val="00C509AA"/>
    <w:rsid w:val="00C56E89"/>
    <w:rsid w:val="00C570DF"/>
    <w:rsid w:val="00C86CF4"/>
    <w:rsid w:val="00C92EA4"/>
    <w:rsid w:val="00CC0C1B"/>
    <w:rsid w:val="00CC49D5"/>
    <w:rsid w:val="00CC5D3A"/>
    <w:rsid w:val="00CC69FC"/>
    <w:rsid w:val="00CD22A0"/>
    <w:rsid w:val="00CD3B44"/>
    <w:rsid w:val="00CD3D0C"/>
    <w:rsid w:val="00CD733F"/>
    <w:rsid w:val="00CE2F00"/>
    <w:rsid w:val="00CE6CC6"/>
    <w:rsid w:val="00CF78AD"/>
    <w:rsid w:val="00D009EE"/>
    <w:rsid w:val="00D02147"/>
    <w:rsid w:val="00D0644F"/>
    <w:rsid w:val="00D102DB"/>
    <w:rsid w:val="00D13997"/>
    <w:rsid w:val="00D171E5"/>
    <w:rsid w:val="00D32521"/>
    <w:rsid w:val="00D377F6"/>
    <w:rsid w:val="00D37D7C"/>
    <w:rsid w:val="00D41020"/>
    <w:rsid w:val="00D41A31"/>
    <w:rsid w:val="00D44C12"/>
    <w:rsid w:val="00D812D6"/>
    <w:rsid w:val="00D92ED2"/>
    <w:rsid w:val="00D934CA"/>
    <w:rsid w:val="00D94977"/>
    <w:rsid w:val="00D97E87"/>
    <w:rsid w:val="00DA02E4"/>
    <w:rsid w:val="00DA3396"/>
    <w:rsid w:val="00DB35A9"/>
    <w:rsid w:val="00DC045C"/>
    <w:rsid w:val="00DC09ED"/>
    <w:rsid w:val="00DC6A1B"/>
    <w:rsid w:val="00DD2574"/>
    <w:rsid w:val="00DE254E"/>
    <w:rsid w:val="00DF3C92"/>
    <w:rsid w:val="00E02103"/>
    <w:rsid w:val="00E15664"/>
    <w:rsid w:val="00E4237A"/>
    <w:rsid w:val="00E43CD1"/>
    <w:rsid w:val="00E503F4"/>
    <w:rsid w:val="00E51146"/>
    <w:rsid w:val="00E55DBA"/>
    <w:rsid w:val="00E71B40"/>
    <w:rsid w:val="00E750E4"/>
    <w:rsid w:val="00E81440"/>
    <w:rsid w:val="00E839FE"/>
    <w:rsid w:val="00E90802"/>
    <w:rsid w:val="00E93DEC"/>
    <w:rsid w:val="00EA4B1E"/>
    <w:rsid w:val="00EB3DB1"/>
    <w:rsid w:val="00F05E96"/>
    <w:rsid w:val="00F06018"/>
    <w:rsid w:val="00F128D7"/>
    <w:rsid w:val="00F1317B"/>
    <w:rsid w:val="00F208E9"/>
    <w:rsid w:val="00F23014"/>
    <w:rsid w:val="00F37FC8"/>
    <w:rsid w:val="00F43F7D"/>
    <w:rsid w:val="00F524EA"/>
    <w:rsid w:val="00F55A52"/>
    <w:rsid w:val="00F6263C"/>
    <w:rsid w:val="00F645C1"/>
    <w:rsid w:val="00F655DE"/>
    <w:rsid w:val="00F67082"/>
    <w:rsid w:val="00F70A66"/>
    <w:rsid w:val="00FA699A"/>
    <w:rsid w:val="00FB085D"/>
    <w:rsid w:val="00FD1039"/>
    <w:rsid w:val="00FD2B25"/>
    <w:rsid w:val="00FD4916"/>
    <w:rsid w:val="00FE1656"/>
    <w:rsid w:val="00FE1F36"/>
    <w:rsid w:val="00FE4D14"/>
    <w:rsid w:val="00FF3827"/>
    <w:rsid w:val="00FF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769D"/>
  <w15:chartTrackingRefBased/>
  <w15:docId w15:val="{643F0DDE-53FF-463E-9CD6-ADFFB085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72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72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72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72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72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72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72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72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72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72A"/>
    <w:rPr>
      <w:rFonts w:eastAsiaTheme="majorEastAsia" w:cstheme="majorBidi"/>
      <w:color w:val="272727" w:themeColor="text1" w:themeTint="D8"/>
    </w:rPr>
  </w:style>
  <w:style w:type="paragraph" w:styleId="Title">
    <w:name w:val="Title"/>
    <w:basedOn w:val="Normal"/>
    <w:next w:val="Normal"/>
    <w:link w:val="TitleChar"/>
    <w:uiPriority w:val="10"/>
    <w:qFormat/>
    <w:rsid w:val="009F7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72A"/>
    <w:pPr>
      <w:spacing w:before="160"/>
      <w:jc w:val="center"/>
    </w:pPr>
    <w:rPr>
      <w:i/>
      <w:iCs/>
      <w:color w:val="404040" w:themeColor="text1" w:themeTint="BF"/>
    </w:rPr>
  </w:style>
  <w:style w:type="character" w:customStyle="1" w:styleId="QuoteChar">
    <w:name w:val="Quote Char"/>
    <w:basedOn w:val="DefaultParagraphFont"/>
    <w:link w:val="Quote"/>
    <w:uiPriority w:val="29"/>
    <w:rsid w:val="009F772A"/>
    <w:rPr>
      <w:i/>
      <w:iCs/>
      <w:color w:val="404040" w:themeColor="text1" w:themeTint="BF"/>
    </w:rPr>
  </w:style>
  <w:style w:type="paragraph" w:styleId="ListParagraph">
    <w:name w:val="List Paragraph"/>
    <w:basedOn w:val="Normal"/>
    <w:uiPriority w:val="34"/>
    <w:qFormat/>
    <w:rsid w:val="009F772A"/>
    <w:pPr>
      <w:ind w:left="720"/>
      <w:contextualSpacing/>
    </w:pPr>
  </w:style>
  <w:style w:type="character" w:styleId="IntenseEmphasis">
    <w:name w:val="Intense Emphasis"/>
    <w:basedOn w:val="DefaultParagraphFont"/>
    <w:uiPriority w:val="21"/>
    <w:qFormat/>
    <w:rsid w:val="009F772A"/>
    <w:rPr>
      <w:i/>
      <w:iCs/>
      <w:color w:val="0F4761" w:themeColor="accent1" w:themeShade="BF"/>
    </w:rPr>
  </w:style>
  <w:style w:type="paragraph" w:styleId="IntenseQuote">
    <w:name w:val="Intense Quote"/>
    <w:basedOn w:val="Normal"/>
    <w:next w:val="Normal"/>
    <w:link w:val="IntenseQuoteChar"/>
    <w:uiPriority w:val="30"/>
    <w:qFormat/>
    <w:rsid w:val="009F7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72A"/>
    <w:rPr>
      <w:i/>
      <w:iCs/>
      <w:color w:val="0F4761" w:themeColor="accent1" w:themeShade="BF"/>
    </w:rPr>
  </w:style>
  <w:style w:type="character" w:styleId="IntenseReference">
    <w:name w:val="Intense Reference"/>
    <w:basedOn w:val="DefaultParagraphFont"/>
    <w:uiPriority w:val="32"/>
    <w:qFormat/>
    <w:rsid w:val="009F772A"/>
    <w:rPr>
      <w:b/>
      <w:bCs/>
      <w:smallCaps/>
      <w:color w:val="0F4761" w:themeColor="accent1" w:themeShade="BF"/>
      <w:spacing w:val="5"/>
    </w:rPr>
  </w:style>
  <w:style w:type="character" w:styleId="Hyperlink">
    <w:name w:val="Hyperlink"/>
    <w:basedOn w:val="DefaultParagraphFont"/>
    <w:uiPriority w:val="99"/>
    <w:unhideWhenUsed/>
    <w:rsid w:val="009F772A"/>
    <w:rPr>
      <w:color w:val="467886" w:themeColor="hyperlink"/>
      <w:u w:val="single"/>
    </w:rPr>
  </w:style>
  <w:style w:type="character" w:styleId="UnresolvedMention">
    <w:name w:val="Unresolved Mention"/>
    <w:basedOn w:val="DefaultParagraphFont"/>
    <w:uiPriority w:val="99"/>
    <w:semiHidden/>
    <w:unhideWhenUsed/>
    <w:rsid w:val="009F772A"/>
    <w:rPr>
      <w:color w:val="605E5C"/>
      <w:shd w:val="clear" w:color="auto" w:fill="E1DFDD"/>
    </w:rPr>
  </w:style>
  <w:style w:type="table" w:styleId="TableGrid">
    <w:name w:val="Table Grid"/>
    <w:basedOn w:val="TableNormal"/>
    <w:uiPriority w:val="39"/>
    <w:rsid w:val="0043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5B4"/>
  </w:style>
  <w:style w:type="paragraph" w:styleId="Footer">
    <w:name w:val="footer"/>
    <w:basedOn w:val="Normal"/>
    <w:link w:val="FooterChar"/>
    <w:uiPriority w:val="99"/>
    <w:unhideWhenUsed/>
    <w:rsid w:val="00970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5B4"/>
  </w:style>
  <w:style w:type="character" w:styleId="CommentReference">
    <w:name w:val="annotation reference"/>
    <w:basedOn w:val="DefaultParagraphFont"/>
    <w:uiPriority w:val="99"/>
    <w:semiHidden/>
    <w:unhideWhenUsed/>
    <w:rsid w:val="00FD1039"/>
    <w:rPr>
      <w:sz w:val="16"/>
      <w:szCs w:val="16"/>
    </w:rPr>
  </w:style>
  <w:style w:type="paragraph" w:styleId="CommentText">
    <w:name w:val="annotation text"/>
    <w:basedOn w:val="Normal"/>
    <w:link w:val="CommentTextChar"/>
    <w:uiPriority w:val="99"/>
    <w:unhideWhenUsed/>
    <w:rsid w:val="00FD1039"/>
    <w:pPr>
      <w:spacing w:line="240" w:lineRule="auto"/>
    </w:pPr>
    <w:rPr>
      <w:sz w:val="20"/>
      <w:szCs w:val="20"/>
    </w:rPr>
  </w:style>
  <w:style w:type="character" w:customStyle="1" w:styleId="CommentTextChar">
    <w:name w:val="Comment Text Char"/>
    <w:basedOn w:val="DefaultParagraphFont"/>
    <w:link w:val="CommentText"/>
    <w:uiPriority w:val="99"/>
    <w:rsid w:val="00FD1039"/>
    <w:rPr>
      <w:sz w:val="20"/>
      <w:szCs w:val="20"/>
    </w:rPr>
  </w:style>
  <w:style w:type="paragraph" w:styleId="CommentSubject">
    <w:name w:val="annotation subject"/>
    <w:basedOn w:val="CommentText"/>
    <w:next w:val="CommentText"/>
    <w:link w:val="CommentSubjectChar"/>
    <w:uiPriority w:val="99"/>
    <w:semiHidden/>
    <w:unhideWhenUsed/>
    <w:rsid w:val="00FD1039"/>
    <w:rPr>
      <w:b/>
      <w:bCs/>
    </w:rPr>
  </w:style>
  <w:style w:type="character" w:customStyle="1" w:styleId="CommentSubjectChar">
    <w:name w:val="Comment Subject Char"/>
    <w:basedOn w:val="CommentTextChar"/>
    <w:link w:val="CommentSubject"/>
    <w:uiPriority w:val="99"/>
    <w:semiHidden/>
    <w:rsid w:val="00FD1039"/>
    <w:rPr>
      <w:b/>
      <w:bCs/>
      <w:sz w:val="20"/>
      <w:szCs w:val="20"/>
    </w:rPr>
  </w:style>
  <w:style w:type="paragraph" w:styleId="Revision">
    <w:name w:val="Revision"/>
    <w:hidden/>
    <w:uiPriority w:val="99"/>
    <w:semiHidden/>
    <w:rsid w:val="00DE254E"/>
    <w:pPr>
      <w:spacing w:after="0" w:line="240" w:lineRule="auto"/>
    </w:pPr>
  </w:style>
  <w:style w:type="paragraph" w:styleId="FootnoteText">
    <w:name w:val="footnote text"/>
    <w:basedOn w:val="Normal"/>
    <w:link w:val="FootnoteTextChar"/>
    <w:uiPriority w:val="99"/>
    <w:semiHidden/>
    <w:unhideWhenUsed/>
    <w:rsid w:val="007F21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150"/>
    <w:rPr>
      <w:sz w:val="20"/>
      <w:szCs w:val="20"/>
    </w:rPr>
  </w:style>
  <w:style w:type="character" w:styleId="FootnoteReference">
    <w:name w:val="footnote reference"/>
    <w:basedOn w:val="DefaultParagraphFont"/>
    <w:uiPriority w:val="99"/>
    <w:semiHidden/>
    <w:unhideWhenUsed/>
    <w:rsid w:val="007F2150"/>
    <w:rPr>
      <w:vertAlign w:val="superscript"/>
    </w:rPr>
  </w:style>
  <w:style w:type="character" w:styleId="FollowedHyperlink">
    <w:name w:val="FollowedHyperlink"/>
    <w:basedOn w:val="DefaultParagraphFont"/>
    <w:uiPriority w:val="99"/>
    <w:semiHidden/>
    <w:unhideWhenUsed/>
    <w:rsid w:val="009B50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un.org/en/A/CN.9/1230" TargetMode="External"/><Relationship Id="rId18" Type="http://schemas.openxmlformats.org/officeDocument/2006/relationships/hyperlink" Target="https://publicprocurementinternational.com/2024/10/21/updating-the-uncitral-model-procurement-law-for-green-procurement/" TargetMode="External"/><Relationship Id="rId26" Type="http://schemas.openxmlformats.org/officeDocument/2006/relationships/hyperlink" Target="https://www.ebrd.com/content/dam/ebrd_dxp/assets/pdfs/environment---sustainability/environmental-and-social-policy-esp/esp-2024/EBRD-Environmental-and-Social-Policy-2024-high-res.pdf" TargetMode="External"/><Relationship Id="rId39" Type="http://schemas.openxmlformats.org/officeDocument/2006/relationships/hyperlink" Target="https://ssrn.com/abstract=5346826" TargetMode="External"/><Relationship Id="rId21" Type="http://schemas.openxmlformats.org/officeDocument/2006/relationships/hyperlink" Target="https://uncitral.un.org/sites/uncitral.un.org/files/2511964e_uncitral_report_advance_0.pdf" TargetMode="External"/><Relationship Id="rId34" Type="http://schemas.openxmlformats.org/officeDocument/2006/relationships/hyperlink" Target="https://www.legislation.gov.uk/ukpga/2023/54/section/57" TargetMode="External"/><Relationship Id="rId42" Type="http://schemas.openxmlformats.org/officeDocument/2006/relationships/hyperlink" Target="https://urt.cc/wp-content/uploads/2023/03/Yukins-Christopher-The-U.S.-Federal-Procurement-System-UrT-2017-p.-69.pdf" TargetMode="External"/><Relationship Id="rId47" Type="http://schemas.openxmlformats.org/officeDocument/2006/relationships/hyperlink" Target="https://www.mapsinitiative.org/content/dam/maps-initiative/en/maps-methodology/main-methodology-documents/maps-main-methodology.pdf" TargetMode="External"/><Relationship Id="rId50" Type="http://schemas.openxmlformats.org/officeDocument/2006/relationships/hyperlink" Target="https://eur-lex.europa.eu/EN/legal-content/summary/a-small-business-act-for-european-smes.html" TargetMode="External"/><Relationship Id="rId55" Type="http://schemas.openxmlformats.org/officeDocument/2006/relationships/fontTable" Target="fontTable.xml"/><Relationship Id="rId7" Type="http://schemas.openxmlformats.org/officeDocument/2006/relationships/hyperlink" Target="mailto:cyukins@law.gwu.edu" TargetMode="External"/><Relationship Id="rId2" Type="http://schemas.openxmlformats.org/officeDocument/2006/relationships/styles" Target="styles.xml"/><Relationship Id="rId16" Type="http://schemas.openxmlformats.org/officeDocument/2006/relationships/hyperlink" Target="https://uncitral.un.org/sites/uncitral.un.org/files/2511964e_uncitral_report_advance_0.pdf" TargetMode="External"/><Relationship Id="rId29" Type="http://schemas.openxmlformats.org/officeDocument/2006/relationships/hyperlink" Target="https://papers.ssrn.com/sol3/papers.cfm?abstract_id=4293959" TargetMode="External"/><Relationship Id="rId11" Type="http://schemas.openxmlformats.org/officeDocument/2006/relationships/hyperlink" Target="mailto:neale.bergman@un.org" TargetMode="External"/><Relationship Id="rId24" Type="http://schemas.openxmlformats.org/officeDocument/2006/relationships/hyperlink" Target="https://projects.worldbank.org/en/projects-operations/products-and-services/brief/e-s-procurement-joint-guidance-on-sustainable-procurement" TargetMode="External"/><Relationship Id="rId32" Type="http://schemas.openxmlformats.org/officeDocument/2006/relationships/hyperlink" Target="https://www.worldbank.org/en/about/unit/sanctions-system/osd/brief/exclusion-survey" TargetMode="External"/><Relationship Id="rId37" Type="http://schemas.openxmlformats.org/officeDocument/2006/relationships/hyperlink" Target="https://mtendereprocurementsystem.github.io/MTender-Documentation/" TargetMode="External"/><Relationship Id="rId40" Type="http://schemas.openxmlformats.org/officeDocument/2006/relationships/hyperlink" Target="https://docs.un.org/en/A/CN.9/1230" TargetMode="External"/><Relationship Id="rId45" Type="http://schemas.openxmlformats.org/officeDocument/2006/relationships/hyperlink" Target="https://www.adb.org/sites/default/files/institutional-document/34064/files/e-government-procurement-handbook.pdf" TargetMode="External"/><Relationship Id="rId53"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samira.musayeva@un.org" TargetMode="External"/><Relationship Id="rId19" Type="http://schemas.openxmlformats.org/officeDocument/2006/relationships/hyperlink" Target="https://ssrn.com/abstract=4763773" TargetMode="External"/><Relationship Id="rId31" Type="http://schemas.openxmlformats.org/officeDocument/2006/relationships/hyperlink" Target="file:///C:\Users\cry3860\Downloads\ssrn.com\abstract=3422499" TargetMode="External"/><Relationship Id="rId44" Type="http://schemas.openxmlformats.org/officeDocument/2006/relationships/hyperlink" Target="https://papers.ssrn.com/sol3/papers.cfm?abstract_id=4293959" TargetMode="External"/><Relationship Id="rId52" Type="http://schemas.openxmlformats.org/officeDocument/2006/relationships/hyperlink" Target="https://modelprocurementcode.com/about/" TargetMode="External"/><Relationship Id="rId4" Type="http://schemas.openxmlformats.org/officeDocument/2006/relationships/webSettings" Target="webSettings.xml"/><Relationship Id="rId9" Type="http://schemas.openxmlformats.org/officeDocument/2006/relationships/hyperlink" Target="mailto:benjamin.herisset@un.org" TargetMode="External"/><Relationship Id="rId14" Type="http://schemas.openxmlformats.org/officeDocument/2006/relationships/hyperlink" Target="https://uncitral.un.org/sites/uncitral.un.org/files/2511964e_uncitral_report_advance_0.pdf" TargetMode="External"/><Relationship Id="rId22" Type="http://schemas.openxmlformats.org/officeDocument/2006/relationships/hyperlink" Target="https://papers.ssrn.com/sol3/papers.cfm?abstract_id=4293959" TargetMode="External"/><Relationship Id="rId27" Type="http://schemas.openxmlformats.org/officeDocument/2006/relationships/hyperlink" Target="https://e-gpa.wto.org/en/GreenProcurement" TargetMode="External"/><Relationship Id="rId30" Type="http://schemas.openxmlformats.org/officeDocument/2006/relationships/hyperlink" Target="https://ssrn.com/abstract=3080396" TargetMode="External"/><Relationship Id="rId35" Type="http://schemas.openxmlformats.org/officeDocument/2006/relationships/hyperlink" Target="https://www.gov.uk/government/publications/the-procurement-act-2023-information-note-on-exclusion-and-debarment-on-competition-grounds/exclusion-and-debarment-on-competition-grounds-what-suppliers-and-contractors-need-to-know" TargetMode="External"/><Relationship Id="rId43" Type="http://schemas.openxmlformats.org/officeDocument/2006/relationships/hyperlink" Target="https://docs.un.org/en/A/CN.9/553" TargetMode="External"/><Relationship Id="rId48" Type="http://schemas.openxmlformats.org/officeDocument/2006/relationships/hyperlink" Target="https://docs.un.org/en/A/CN.9/1230" TargetMode="External"/><Relationship Id="rId56" Type="http://schemas.openxmlformats.org/officeDocument/2006/relationships/theme" Target="theme/theme1.xml"/><Relationship Id="rId8" Type="http://schemas.openxmlformats.org/officeDocument/2006/relationships/hyperlink" Target="mailto:carolinenich@outlook.com" TargetMode="External"/><Relationship Id="rId51" Type="http://schemas.openxmlformats.org/officeDocument/2006/relationships/hyperlink" Target="https://doi.org/10.1108/JOPP-14-03-2014-B002" TargetMode="External"/><Relationship Id="rId3" Type="http://schemas.openxmlformats.org/officeDocument/2006/relationships/settings" Target="settings.xml"/><Relationship Id="rId12" Type="http://schemas.openxmlformats.org/officeDocument/2006/relationships/hyperlink" Target="https://ssrn.com/abstract=4293959" TargetMode="External"/><Relationship Id="rId17" Type="http://schemas.openxmlformats.org/officeDocument/2006/relationships/hyperlink" Target="https://papers.ssrn.com/sol3/papers.cfm?abstract_id=4293959" TargetMode="External"/><Relationship Id="rId25" Type="http://schemas.openxmlformats.org/officeDocument/2006/relationships/hyperlink" Target="https://www.ebrd.com/content/dam/ebrd_dxp/assets/pdfs/project-procurement/procurement-policies-and-rules/ppr-2022/PPR-2022-English.pdf" TargetMode="External"/><Relationship Id="rId33" Type="http://schemas.openxmlformats.org/officeDocument/2006/relationships/hyperlink" Target="https://www.oecd.org/content/dam/oecd/en/publications/reports/2023/06/managing-risks-in-the-public-procurement-of-goods-services-and-infrastructure_b0d29f96/45667d2f-en.pdf" TargetMode="External"/><Relationship Id="rId38" Type="http://schemas.openxmlformats.org/officeDocument/2006/relationships/hyperlink" Target="https://www.openownership.org/en/publications/beneficial-ownership-in-chiles-public-procurement-reform/progress-and-steps-taken/" TargetMode="External"/><Relationship Id="rId46" Type="http://schemas.openxmlformats.org/officeDocument/2006/relationships/hyperlink" Target="https://urt.cc/wp-content/uploads/2023/03/Yukins-Christopher-The-U.S.-Federal-Procurement-System-UrT-2017-p.-69.pdf" TargetMode="External"/><Relationship Id="rId20" Type="http://schemas.openxmlformats.org/officeDocument/2006/relationships/hyperlink" Target="https://www.acquisition.gov/far-overhaul/far-part-deviation-guide/far-overhaul-part-23" TargetMode="External"/><Relationship Id="rId41" Type="http://schemas.openxmlformats.org/officeDocument/2006/relationships/hyperlink" Target="https://papers.ssrn.com/sol3/papers.cfm?abstract_id=4293959" TargetMode="External"/><Relationship Id="rId54"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uncitral.un.org/sites/uncitral.un.org/files/2511964e_uncitral_report_advance_0.pdf" TargetMode="External"/><Relationship Id="rId28" Type="http://schemas.openxmlformats.org/officeDocument/2006/relationships/hyperlink" Target="https://www.gov.uk/government/publications/the-procurement-act-2023-information-note-on-exclusion-and-debarment-on-competition-grounds/exclusion-and-debarment-on-competition-grounds-what-suppliers-and-contractors-need-to-know" TargetMode="External"/><Relationship Id="rId36" Type="http://schemas.openxmlformats.org/officeDocument/2006/relationships/hyperlink" Target="https://publicprocurementinternational.com/summer-webinar-series-open-contracting-around-the-globe/" TargetMode="External"/><Relationship Id="rId49" Type="http://schemas.openxmlformats.org/officeDocument/2006/relationships/hyperlink" Target="https://publicprocurementinternational.com/2020/06/22/webinar-opening-online-marketpl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Arnold &amp; Porter</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Yukins, Christopher R.</dc:creator>
  <cp:keywords/>
  <dc:description/>
  <cp:lastModifiedBy>Caroline Nicholas</cp:lastModifiedBy>
  <cp:revision>7</cp:revision>
  <dcterms:created xsi:type="dcterms:W3CDTF">2026-02-04T11:36:00Z</dcterms:created>
  <dcterms:modified xsi:type="dcterms:W3CDTF">2026-02-04T11:43:00Z</dcterms:modified>
</cp:coreProperties>
</file>