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7F1FC" w14:textId="0569F4D0" w:rsidR="00780513" w:rsidRPr="00CF5CA3" w:rsidRDefault="00CF5CA3" w:rsidP="00CF5CA3">
      <w:pPr>
        <w:rPr>
          <w:rFonts w:ascii="Times New Roman" w:eastAsia="Book Antiqua" w:hAnsi="Times New Roman" w:cs="Times New Roman"/>
          <w:bCs/>
          <w:sz w:val="22"/>
          <w:szCs w:val="22"/>
        </w:rPr>
      </w:pPr>
      <w:r>
        <w:rPr>
          <w:rFonts w:ascii="Times New Roman" w:eastAsia="Book Antiqua" w:hAnsi="Times New Roman" w:cs="Times New Roman"/>
          <w:bCs/>
          <w:sz w:val="22"/>
          <w:szCs w:val="22"/>
        </w:rPr>
        <w:t>Chapter</w:t>
      </w:r>
      <w:r w:rsidR="00780513">
        <w:rPr>
          <w:rFonts w:ascii="Times New Roman" w:eastAsia="Book Antiqua" w:hAnsi="Times New Roman" w:cs="Times New Roman"/>
          <w:bCs/>
          <w:sz w:val="22"/>
          <w:szCs w:val="22"/>
        </w:rPr>
        <w:t xml:space="preserve"> 11</w:t>
      </w:r>
    </w:p>
    <w:p w14:paraId="54F7D634" w14:textId="3E8D19BA" w:rsidR="00CF5CA3" w:rsidRDefault="00CF5CA3" w:rsidP="00CF5CA3">
      <w:pPr>
        <w:rPr>
          <w:rFonts w:ascii="Times New Roman" w:eastAsia="Book Antiqua" w:hAnsi="Times New Roman" w:cs="Times New Roman"/>
          <w:b/>
          <w:sz w:val="22"/>
          <w:szCs w:val="22"/>
        </w:rPr>
      </w:pPr>
      <w:r>
        <w:rPr>
          <w:rFonts w:ascii="Times New Roman" w:eastAsia="Book Antiqua" w:hAnsi="Times New Roman" w:cs="Times New Roman"/>
          <w:b/>
          <w:sz w:val="22"/>
          <w:szCs w:val="22"/>
        </w:rPr>
        <w:t>Of many sticks and a mutant carrot: the new external dimension of EU public contracts</w:t>
      </w:r>
    </w:p>
    <w:p w14:paraId="5E2E2792" w14:textId="2A39240A" w:rsidR="003D3C4A" w:rsidRPr="00CF5CA3" w:rsidRDefault="003D3C4A" w:rsidP="00CF5CA3">
      <w:pPr>
        <w:rPr>
          <w:rFonts w:ascii="Times New Roman" w:eastAsia="Book Antiqua" w:hAnsi="Times New Roman" w:cs="Times New Roman"/>
          <w:bCs/>
          <w:i/>
          <w:iCs/>
          <w:sz w:val="22"/>
          <w:szCs w:val="22"/>
        </w:rPr>
      </w:pPr>
      <w:r w:rsidRPr="00CF5CA3">
        <w:rPr>
          <w:rFonts w:ascii="Times New Roman" w:eastAsia="Book Antiqua" w:hAnsi="Times New Roman" w:cs="Times New Roman"/>
          <w:bCs/>
          <w:sz w:val="22"/>
          <w:szCs w:val="22"/>
        </w:rPr>
        <w:t>Roberto Caranta</w:t>
      </w:r>
    </w:p>
    <w:p w14:paraId="17BE0BE1" w14:textId="537F856A" w:rsidR="009101C1" w:rsidRPr="00CF5CA3" w:rsidRDefault="009101C1">
      <w:pPr>
        <w:jc w:val="both"/>
        <w:rPr>
          <w:rFonts w:ascii="Times New Roman" w:eastAsia="Book Antiqua" w:hAnsi="Times New Roman" w:cs="Times New Roman"/>
          <w:b/>
          <w:sz w:val="22"/>
          <w:szCs w:val="22"/>
        </w:rPr>
      </w:pPr>
      <w:r w:rsidRPr="00CF5CA3">
        <w:rPr>
          <w:rFonts w:ascii="Times New Roman" w:eastAsia="Book Antiqua" w:hAnsi="Times New Roman" w:cs="Times New Roman"/>
          <w:b/>
          <w:sz w:val="22"/>
          <w:szCs w:val="22"/>
        </w:rPr>
        <w:t>Abstract</w:t>
      </w:r>
    </w:p>
    <w:p w14:paraId="767EFCBA" w14:textId="1A65F126" w:rsidR="00242A0E" w:rsidRPr="00CF5CA3" w:rsidRDefault="00DD1EB1">
      <w:pPr>
        <w:jc w:val="both"/>
        <w:rPr>
          <w:rFonts w:ascii="Times New Roman" w:eastAsia="Book Antiqua" w:hAnsi="Times New Roman" w:cs="Times New Roman"/>
          <w:sz w:val="22"/>
          <w:szCs w:val="22"/>
        </w:rPr>
      </w:pPr>
      <w:r w:rsidRPr="00CF5CA3">
        <w:rPr>
          <w:rFonts w:ascii="Times New Roman" w:eastAsia="Book Antiqua" w:hAnsi="Times New Roman" w:cs="Times New Roman"/>
          <w:bCs/>
          <w:sz w:val="22"/>
          <w:szCs w:val="22"/>
        </w:rPr>
        <w:t>In a changing global trade law context, the EU is increasingly using public contracts to ensure reciprocal market access</w:t>
      </w:r>
      <w:r w:rsidR="00462079" w:rsidRPr="00CF5CA3">
        <w:rPr>
          <w:rFonts w:ascii="Times New Roman" w:eastAsia="Book Antiqua" w:hAnsi="Times New Roman" w:cs="Times New Roman"/>
          <w:bCs/>
          <w:sz w:val="22"/>
          <w:szCs w:val="22"/>
        </w:rPr>
        <w:t xml:space="preserve"> with third countries and to fight against unfair competitive practices of those same countries. In this context, the recent case law of the CJEU </w:t>
      </w:r>
      <w:r w:rsidR="00106A2B" w:rsidRPr="00CF5CA3">
        <w:rPr>
          <w:rFonts w:ascii="Times New Roman" w:eastAsia="Book Antiqua" w:hAnsi="Times New Roman" w:cs="Times New Roman"/>
          <w:bCs/>
          <w:sz w:val="22"/>
          <w:szCs w:val="22"/>
        </w:rPr>
        <w:t xml:space="preserve">has left to each contracting authority or entity to </w:t>
      </w:r>
      <w:r w:rsidR="00BC0C1D" w:rsidRPr="00CF5CA3">
        <w:rPr>
          <w:rFonts w:ascii="Times New Roman" w:eastAsia="Book Antiqua" w:hAnsi="Times New Roman" w:cs="Times New Roman"/>
          <w:bCs/>
          <w:sz w:val="22"/>
          <w:szCs w:val="22"/>
        </w:rPr>
        <w:t xml:space="preserve">decide on whether economic operators from third country not having a reciprocal market opening agreement with the EU </w:t>
      </w:r>
      <w:r w:rsidR="00527793" w:rsidRPr="00CF5CA3">
        <w:rPr>
          <w:rFonts w:ascii="Times New Roman" w:eastAsia="Book Antiqua" w:hAnsi="Times New Roman" w:cs="Times New Roman"/>
          <w:bCs/>
          <w:sz w:val="22"/>
          <w:szCs w:val="22"/>
        </w:rPr>
        <w:t xml:space="preserve">(non-covered economic operators) </w:t>
      </w:r>
      <w:r w:rsidR="00BC0C1D" w:rsidRPr="00CF5CA3">
        <w:rPr>
          <w:rFonts w:ascii="Times New Roman" w:eastAsia="Book Antiqua" w:hAnsi="Times New Roman" w:cs="Times New Roman"/>
          <w:bCs/>
          <w:sz w:val="22"/>
          <w:szCs w:val="22"/>
        </w:rPr>
        <w:t xml:space="preserve">may be allowed or not to participate in their public procurement procedures and in case to devise </w:t>
      </w:r>
      <w:r w:rsidR="00B03391" w:rsidRPr="00CF5CA3">
        <w:rPr>
          <w:rFonts w:ascii="Times New Roman" w:eastAsia="Book Antiqua" w:hAnsi="Times New Roman" w:cs="Times New Roman"/>
          <w:bCs/>
          <w:sz w:val="22"/>
          <w:szCs w:val="22"/>
        </w:rPr>
        <w:t>“</w:t>
      </w:r>
      <w:r w:rsidR="00BC0C1D" w:rsidRPr="00CF5CA3">
        <w:rPr>
          <w:rFonts w:ascii="Times New Roman" w:eastAsia="Book Antiqua" w:hAnsi="Times New Roman" w:cs="Times New Roman"/>
          <w:bCs/>
          <w:sz w:val="22"/>
          <w:szCs w:val="22"/>
        </w:rPr>
        <w:t>adjustments</w:t>
      </w:r>
      <w:r w:rsidR="00B03391" w:rsidRPr="00CF5CA3">
        <w:rPr>
          <w:rFonts w:ascii="Times New Roman" w:eastAsia="Book Antiqua" w:hAnsi="Times New Roman" w:cs="Times New Roman"/>
          <w:bCs/>
          <w:sz w:val="22"/>
          <w:szCs w:val="22"/>
        </w:rPr>
        <w:t>”</w:t>
      </w:r>
      <w:r w:rsidR="00BC0C1D" w:rsidRPr="00CF5CA3">
        <w:rPr>
          <w:rFonts w:ascii="Times New Roman" w:eastAsia="Book Antiqua" w:hAnsi="Times New Roman" w:cs="Times New Roman"/>
          <w:bCs/>
          <w:sz w:val="22"/>
          <w:szCs w:val="22"/>
        </w:rPr>
        <w:t xml:space="preserve"> conseq</w:t>
      </w:r>
      <w:r w:rsidR="00D04DF3" w:rsidRPr="00CF5CA3">
        <w:rPr>
          <w:rFonts w:ascii="Times New Roman" w:eastAsia="Book Antiqua" w:hAnsi="Times New Roman" w:cs="Times New Roman"/>
          <w:bCs/>
          <w:sz w:val="22"/>
          <w:szCs w:val="22"/>
        </w:rPr>
        <w:t>u</w:t>
      </w:r>
      <w:r w:rsidR="00BC0C1D" w:rsidRPr="00CF5CA3">
        <w:rPr>
          <w:rFonts w:ascii="Times New Roman" w:eastAsia="Book Antiqua" w:hAnsi="Times New Roman" w:cs="Times New Roman"/>
          <w:bCs/>
          <w:sz w:val="22"/>
          <w:szCs w:val="22"/>
        </w:rPr>
        <w:t>e</w:t>
      </w:r>
      <w:r w:rsidR="00D04DF3" w:rsidRPr="00CF5CA3">
        <w:rPr>
          <w:rFonts w:ascii="Times New Roman" w:eastAsia="Book Antiqua" w:hAnsi="Times New Roman" w:cs="Times New Roman"/>
          <w:bCs/>
          <w:sz w:val="22"/>
          <w:szCs w:val="22"/>
        </w:rPr>
        <w:t>nt</w:t>
      </w:r>
      <w:r w:rsidR="00BC0C1D" w:rsidRPr="00CF5CA3">
        <w:rPr>
          <w:rFonts w:ascii="Times New Roman" w:eastAsia="Book Antiqua" w:hAnsi="Times New Roman" w:cs="Times New Roman"/>
          <w:bCs/>
          <w:sz w:val="22"/>
          <w:szCs w:val="22"/>
        </w:rPr>
        <w:t xml:space="preserve"> to </w:t>
      </w:r>
      <w:r w:rsidR="00D04DF3" w:rsidRPr="00CF5CA3">
        <w:rPr>
          <w:rFonts w:ascii="Times New Roman" w:eastAsia="Book Antiqua" w:hAnsi="Times New Roman" w:cs="Times New Roman"/>
          <w:bCs/>
          <w:sz w:val="22"/>
          <w:szCs w:val="22"/>
        </w:rPr>
        <w:t>that participation</w:t>
      </w:r>
      <w:r w:rsidR="00BC0C1D" w:rsidRPr="00CF5CA3">
        <w:rPr>
          <w:rFonts w:ascii="Times New Roman" w:eastAsia="Book Antiqua" w:hAnsi="Times New Roman" w:cs="Times New Roman"/>
          <w:bCs/>
          <w:sz w:val="22"/>
          <w:szCs w:val="22"/>
        </w:rPr>
        <w:t>.</w:t>
      </w:r>
      <w:r w:rsidR="00D04DF3" w:rsidRPr="00CF5CA3">
        <w:rPr>
          <w:rFonts w:ascii="Times New Roman" w:eastAsia="Book Antiqua" w:hAnsi="Times New Roman" w:cs="Times New Roman"/>
          <w:bCs/>
          <w:sz w:val="22"/>
          <w:szCs w:val="22"/>
        </w:rPr>
        <w:t xml:space="preserve"> This is hardly workable, and in the context of the forthcoming reform EU rules should be adopted to better guide those </w:t>
      </w:r>
      <w:r w:rsidR="00D04DF3" w:rsidRPr="00CF5CA3">
        <w:rPr>
          <w:rFonts w:ascii="Times New Roman" w:eastAsia="Book Antiqua" w:hAnsi="Times New Roman" w:cs="Times New Roman"/>
          <w:sz w:val="22"/>
          <w:szCs w:val="22"/>
          <w:highlight w:val="white"/>
        </w:rPr>
        <w:t>contracting authority and entities</w:t>
      </w:r>
      <w:r w:rsidR="00D04DF3" w:rsidRPr="00CF5CA3">
        <w:rPr>
          <w:rFonts w:ascii="Times New Roman" w:eastAsia="Book Antiqua" w:hAnsi="Times New Roman" w:cs="Times New Roman"/>
          <w:sz w:val="22"/>
          <w:szCs w:val="22"/>
        </w:rPr>
        <w:t xml:space="preserve"> in dealing with third countries economic operators.</w:t>
      </w:r>
    </w:p>
    <w:p w14:paraId="18EB9B7B" w14:textId="27C83B2A" w:rsidR="00DA2522" w:rsidRPr="00CF5CA3" w:rsidRDefault="00DA2522" w:rsidP="00DA2522">
      <w:pPr>
        <w:jc w:val="both"/>
        <w:rPr>
          <w:rFonts w:ascii="Times New Roman" w:eastAsia="Book Antiqua" w:hAnsi="Times New Roman" w:cs="Times New Roman"/>
          <w:b/>
          <w:bCs/>
          <w:sz w:val="22"/>
          <w:szCs w:val="22"/>
        </w:rPr>
      </w:pPr>
      <w:r w:rsidRPr="00CF5CA3">
        <w:rPr>
          <w:rFonts w:ascii="Times New Roman" w:eastAsia="Book Antiqua" w:hAnsi="Times New Roman" w:cs="Times New Roman"/>
          <w:b/>
          <w:bCs/>
          <w:sz w:val="22"/>
          <w:szCs w:val="22"/>
        </w:rPr>
        <w:t xml:space="preserve">Reform </w:t>
      </w:r>
      <w:r w:rsidR="00B03391" w:rsidRPr="00CF5CA3">
        <w:rPr>
          <w:rFonts w:ascii="Times New Roman" w:eastAsia="Book Antiqua" w:hAnsi="Times New Roman" w:cs="Times New Roman"/>
          <w:b/>
          <w:bCs/>
          <w:sz w:val="22"/>
          <w:szCs w:val="22"/>
        </w:rPr>
        <w:t>P</w:t>
      </w:r>
      <w:r w:rsidRPr="00CF5CA3">
        <w:rPr>
          <w:rFonts w:ascii="Times New Roman" w:eastAsia="Book Antiqua" w:hAnsi="Times New Roman" w:cs="Times New Roman"/>
          <w:b/>
          <w:bCs/>
          <w:sz w:val="22"/>
          <w:szCs w:val="22"/>
        </w:rPr>
        <w:t>roposals</w:t>
      </w:r>
    </w:p>
    <w:p w14:paraId="603F8924" w14:textId="42DDFE55" w:rsidR="00527793" w:rsidRPr="00CF5CA3" w:rsidRDefault="00242A0E" w:rsidP="00527793">
      <w:pPr>
        <w:pStyle w:val="Paragrafoelenco"/>
        <w:numPr>
          <w:ilvl w:val="0"/>
          <w:numId w:val="2"/>
        </w:numPr>
        <w:jc w:val="both"/>
        <w:rPr>
          <w:rFonts w:ascii="Times New Roman" w:eastAsia="Book Antiqua" w:hAnsi="Times New Roman" w:cs="Times New Roman"/>
          <w:sz w:val="22"/>
          <w:szCs w:val="22"/>
          <w:highlight w:val="white"/>
        </w:rPr>
      </w:pPr>
      <w:r w:rsidRPr="00CF5CA3">
        <w:rPr>
          <w:rFonts w:ascii="Times New Roman" w:eastAsia="Book Antiqua" w:hAnsi="Times New Roman" w:cs="Times New Roman"/>
          <w:sz w:val="22"/>
          <w:szCs w:val="22"/>
          <w:highlight w:val="white"/>
        </w:rPr>
        <w:t>EU rules</w:t>
      </w:r>
      <w:r w:rsidR="00DA2522" w:rsidRPr="00CF5CA3">
        <w:rPr>
          <w:rFonts w:ascii="Times New Roman" w:eastAsia="Book Antiqua" w:hAnsi="Times New Roman" w:cs="Times New Roman"/>
          <w:sz w:val="22"/>
          <w:szCs w:val="22"/>
          <w:highlight w:val="white"/>
        </w:rPr>
        <w:t xml:space="preserve"> should </w:t>
      </w:r>
      <w:r w:rsidR="00527793" w:rsidRPr="00CF5CA3">
        <w:rPr>
          <w:rFonts w:ascii="Times New Roman" w:eastAsia="Book Antiqua" w:hAnsi="Times New Roman" w:cs="Times New Roman"/>
          <w:sz w:val="22"/>
          <w:szCs w:val="22"/>
          <w:highlight w:val="white"/>
        </w:rPr>
        <w:t xml:space="preserve">clearly indicate whether participation of non-covered </w:t>
      </w:r>
      <w:r w:rsidR="008617EF" w:rsidRPr="00CF5CA3">
        <w:rPr>
          <w:rFonts w:ascii="Times New Roman" w:eastAsia="Book Antiqua" w:hAnsi="Times New Roman" w:cs="Times New Roman"/>
          <w:sz w:val="22"/>
          <w:szCs w:val="22"/>
          <w:highlight w:val="white"/>
        </w:rPr>
        <w:t xml:space="preserve">economic operators </w:t>
      </w:r>
      <w:r w:rsidR="00527793" w:rsidRPr="00CF5CA3">
        <w:rPr>
          <w:rFonts w:ascii="Times New Roman" w:eastAsia="Book Antiqua" w:hAnsi="Times New Roman" w:cs="Times New Roman"/>
          <w:sz w:val="22"/>
          <w:szCs w:val="22"/>
          <w:highlight w:val="white"/>
        </w:rPr>
        <w:t>is allowed or not and whether and if so</w:t>
      </w:r>
      <w:r w:rsidR="00E03765" w:rsidRPr="00CF5CA3">
        <w:rPr>
          <w:rFonts w:ascii="Times New Roman" w:eastAsia="Book Antiqua" w:hAnsi="Times New Roman" w:cs="Times New Roman"/>
          <w:sz w:val="22"/>
          <w:szCs w:val="22"/>
          <w:highlight w:val="white"/>
        </w:rPr>
        <w:t>,</w:t>
      </w:r>
      <w:r w:rsidR="00527793" w:rsidRPr="00CF5CA3">
        <w:rPr>
          <w:rFonts w:ascii="Times New Roman" w:eastAsia="Book Antiqua" w:hAnsi="Times New Roman" w:cs="Times New Roman"/>
          <w:sz w:val="22"/>
          <w:szCs w:val="22"/>
          <w:highlight w:val="white"/>
        </w:rPr>
        <w:t xml:space="preserve"> under which conditions contracting authorities or entities may diverge from the default position</w:t>
      </w:r>
      <w:r w:rsidR="00106A2B" w:rsidRPr="00CF5CA3">
        <w:rPr>
          <w:rFonts w:ascii="Times New Roman" w:eastAsia="Book Antiqua" w:hAnsi="Times New Roman" w:cs="Times New Roman"/>
          <w:sz w:val="22"/>
          <w:szCs w:val="22"/>
          <w:highlight w:val="white"/>
        </w:rPr>
        <w:t>;</w:t>
      </w:r>
    </w:p>
    <w:p w14:paraId="07242092" w14:textId="7EED20E0" w:rsidR="00DA2522" w:rsidRPr="00CF5CA3" w:rsidRDefault="00242A0E" w:rsidP="00106A2B">
      <w:pPr>
        <w:pStyle w:val="Paragrafoelenco"/>
        <w:numPr>
          <w:ilvl w:val="0"/>
          <w:numId w:val="2"/>
        </w:num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highlight w:val="white"/>
        </w:rPr>
        <w:t>f</w:t>
      </w:r>
      <w:r w:rsidR="00DA2522" w:rsidRPr="00CF5CA3">
        <w:rPr>
          <w:rFonts w:ascii="Times New Roman" w:eastAsia="Book Antiqua" w:hAnsi="Times New Roman" w:cs="Times New Roman"/>
          <w:sz w:val="22"/>
          <w:szCs w:val="22"/>
          <w:highlight w:val="white"/>
        </w:rPr>
        <w:t xml:space="preserve">ollowing the example from both the IPI Regulation and the </w:t>
      </w:r>
      <w:r w:rsidR="00DA2522" w:rsidRPr="00CF5CA3">
        <w:rPr>
          <w:rFonts w:ascii="Times New Roman" w:eastAsia="Book Antiqua" w:hAnsi="Times New Roman" w:cs="Times New Roman"/>
          <w:sz w:val="22"/>
          <w:szCs w:val="22"/>
        </w:rPr>
        <w:t xml:space="preserve">Anti-Coercion Instrument, they should provide for score adjustments in case </w:t>
      </w:r>
      <w:r w:rsidR="00527793" w:rsidRPr="00CF5CA3">
        <w:rPr>
          <w:rFonts w:ascii="Times New Roman" w:eastAsia="Book Antiqua" w:hAnsi="Times New Roman" w:cs="Times New Roman"/>
          <w:sz w:val="22"/>
          <w:szCs w:val="22"/>
        </w:rPr>
        <w:t xml:space="preserve">participation is </w:t>
      </w:r>
      <w:proofErr w:type="gramStart"/>
      <w:r w:rsidR="00527793" w:rsidRPr="00CF5CA3">
        <w:rPr>
          <w:rFonts w:ascii="Times New Roman" w:eastAsia="Book Antiqua" w:hAnsi="Times New Roman" w:cs="Times New Roman"/>
          <w:sz w:val="22"/>
          <w:szCs w:val="22"/>
        </w:rPr>
        <w:t>allowed</w:t>
      </w:r>
      <w:r w:rsidRPr="00CF5CA3">
        <w:rPr>
          <w:rFonts w:ascii="Times New Roman" w:eastAsia="Book Antiqua" w:hAnsi="Times New Roman" w:cs="Times New Roman"/>
          <w:sz w:val="22"/>
          <w:szCs w:val="22"/>
        </w:rPr>
        <w:t>;</w:t>
      </w:r>
      <w:proofErr w:type="gramEnd"/>
    </w:p>
    <w:p w14:paraId="1931BAB9" w14:textId="4A12C9A2" w:rsidR="00DA2522" w:rsidRPr="00CF5CA3" w:rsidRDefault="00106A2B" w:rsidP="00106A2B">
      <w:pPr>
        <w:pStyle w:val="Paragrafoelenco"/>
        <w:numPr>
          <w:ilvl w:val="0"/>
          <w:numId w:val="2"/>
        </w:numPr>
        <w:jc w:val="both"/>
        <w:rPr>
          <w:rFonts w:ascii="Times New Roman" w:eastAsia="Book Antiqua" w:hAnsi="Times New Roman" w:cs="Times New Roman"/>
          <w:bCs/>
          <w:i/>
          <w:iCs/>
          <w:sz w:val="22"/>
          <w:szCs w:val="22"/>
        </w:rPr>
      </w:pPr>
      <w:r w:rsidRPr="00CF5CA3">
        <w:rPr>
          <w:rFonts w:ascii="Times New Roman" w:eastAsia="Book Antiqua" w:hAnsi="Times New Roman" w:cs="Times New Roman"/>
          <w:sz w:val="22"/>
          <w:szCs w:val="22"/>
        </w:rPr>
        <w:t>a</w:t>
      </w:r>
      <w:r w:rsidR="00DA2522" w:rsidRPr="00CF5CA3">
        <w:rPr>
          <w:rFonts w:ascii="Times New Roman" w:eastAsia="Book Antiqua" w:hAnsi="Times New Roman" w:cs="Times New Roman"/>
          <w:sz w:val="22"/>
          <w:szCs w:val="22"/>
        </w:rPr>
        <w:t>lternatively, as it is the case under both the IPI Regulation and the N</w:t>
      </w:r>
      <w:r w:rsidR="00B03391" w:rsidRPr="00CF5CA3">
        <w:rPr>
          <w:rFonts w:ascii="Times New Roman" w:eastAsia="Book Antiqua" w:hAnsi="Times New Roman" w:cs="Times New Roman"/>
          <w:sz w:val="22"/>
          <w:szCs w:val="22"/>
        </w:rPr>
        <w:t>et-</w:t>
      </w:r>
      <w:r w:rsidR="00DA2522" w:rsidRPr="00CF5CA3">
        <w:rPr>
          <w:rFonts w:ascii="Times New Roman" w:eastAsia="Book Antiqua" w:hAnsi="Times New Roman" w:cs="Times New Roman"/>
          <w:sz w:val="22"/>
          <w:szCs w:val="22"/>
        </w:rPr>
        <w:t>Z</w:t>
      </w:r>
      <w:r w:rsidR="00B03391" w:rsidRPr="00CF5CA3">
        <w:rPr>
          <w:rFonts w:ascii="Times New Roman" w:eastAsia="Book Antiqua" w:hAnsi="Times New Roman" w:cs="Times New Roman"/>
          <w:sz w:val="22"/>
          <w:szCs w:val="22"/>
        </w:rPr>
        <w:t xml:space="preserve">ero </w:t>
      </w:r>
      <w:r w:rsidR="00DA2522" w:rsidRPr="00CF5CA3">
        <w:rPr>
          <w:rFonts w:ascii="Times New Roman" w:eastAsia="Book Antiqua" w:hAnsi="Times New Roman" w:cs="Times New Roman"/>
          <w:sz w:val="22"/>
          <w:szCs w:val="22"/>
        </w:rPr>
        <w:t>I</w:t>
      </w:r>
      <w:r w:rsidR="00B03391" w:rsidRPr="00CF5CA3">
        <w:rPr>
          <w:rFonts w:ascii="Times New Roman" w:eastAsia="Book Antiqua" w:hAnsi="Times New Roman" w:cs="Times New Roman"/>
          <w:sz w:val="22"/>
          <w:szCs w:val="22"/>
        </w:rPr>
        <w:t xml:space="preserve">ndustry </w:t>
      </w:r>
      <w:r w:rsidR="00DA2522" w:rsidRPr="00CF5CA3">
        <w:rPr>
          <w:rFonts w:ascii="Times New Roman" w:eastAsia="Book Antiqua" w:hAnsi="Times New Roman" w:cs="Times New Roman"/>
          <w:sz w:val="22"/>
          <w:szCs w:val="22"/>
        </w:rPr>
        <w:t>A</w:t>
      </w:r>
      <w:r w:rsidR="00B03391" w:rsidRPr="00CF5CA3">
        <w:rPr>
          <w:rFonts w:ascii="Times New Roman" w:eastAsia="Book Antiqua" w:hAnsi="Times New Roman" w:cs="Times New Roman"/>
          <w:sz w:val="22"/>
          <w:szCs w:val="22"/>
        </w:rPr>
        <w:t>ct</w:t>
      </w:r>
      <w:r w:rsidR="00DA2522" w:rsidRPr="00CF5CA3">
        <w:rPr>
          <w:rFonts w:ascii="Times New Roman" w:eastAsia="Book Antiqua" w:hAnsi="Times New Roman" w:cs="Times New Roman"/>
          <w:sz w:val="22"/>
          <w:szCs w:val="22"/>
        </w:rPr>
        <w:t>, the Commission should be mandated to define both the public contracts which are closed to the participation of the concerned third country bidders and any score adjustment to be applied to the other contracts</w:t>
      </w:r>
      <w:r w:rsidRPr="00CF5CA3">
        <w:rPr>
          <w:rFonts w:ascii="Times New Roman" w:eastAsia="Book Antiqua" w:hAnsi="Times New Roman" w:cs="Times New Roman"/>
          <w:sz w:val="22"/>
          <w:szCs w:val="22"/>
        </w:rPr>
        <w:t>;</w:t>
      </w:r>
    </w:p>
    <w:p w14:paraId="10022FA6" w14:textId="10AA8414" w:rsidR="00DA2522" w:rsidRPr="00CF5CA3" w:rsidRDefault="00106A2B" w:rsidP="00106A2B">
      <w:pPr>
        <w:pStyle w:val="Paragrafoelenco"/>
        <w:numPr>
          <w:ilvl w:val="0"/>
          <w:numId w:val="2"/>
        </w:num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t</w:t>
      </w:r>
      <w:r w:rsidR="00DA2522" w:rsidRPr="00CF5CA3">
        <w:rPr>
          <w:rFonts w:ascii="Times New Roman" w:eastAsia="Book Antiqua" w:hAnsi="Times New Roman" w:cs="Times New Roman"/>
          <w:sz w:val="22"/>
          <w:szCs w:val="22"/>
        </w:rPr>
        <w:t xml:space="preserve">o avoid </w:t>
      </w:r>
      <w:r w:rsidR="008C690D" w:rsidRPr="00CF5CA3">
        <w:rPr>
          <w:rFonts w:ascii="Times New Roman" w:eastAsia="Book Antiqua" w:hAnsi="Times New Roman" w:cs="Times New Roman"/>
          <w:sz w:val="22"/>
          <w:szCs w:val="22"/>
        </w:rPr>
        <w:t xml:space="preserve">the </w:t>
      </w:r>
      <w:proofErr w:type="spellStart"/>
      <w:r w:rsidR="00DA2522" w:rsidRPr="00CF5CA3">
        <w:rPr>
          <w:rFonts w:ascii="Times New Roman" w:eastAsia="Book Antiqua" w:hAnsi="Times New Roman" w:cs="Times New Roman"/>
          <w:sz w:val="22"/>
          <w:szCs w:val="22"/>
        </w:rPr>
        <w:t>elusion</w:t>
      </w:r>
      <w:proofErr w:type="spellEnd"/>
      <w:r w:rsidR="00DA2522" w:rsidRPr="00CF5CA3">
        <w:rPr>
          <w:rFonts w:ascii="Times New Roman" w:eastAsia="Book Antiqua" w:hAnsi="Times New Roman" w:cs="Times New Roman"/>
          <w:sz w:val="22"/>
          <w:szCs w:val="22"/>
        </w:rPr>
        <w:t xml:space="preserve"> of the new provisions, rules of origins for both the suppliers and the goods and services supplied should be enacted</w:t>
      </w:r>
      <w:r w:rsidR="00DA2522" w:rsidRPr="00CF5CA3">
        <w:rPr>
          <w:rFonts w:ascii="Times New Roman" w:eastAsia="Book Antiqua" w:hAnsi="Times New Roman" w:cs="Times New Roman"/>
          <w:sz w:val="22"/>
          <w:szCs w:val="22"/>
          <w:highlight w:val="white"/>
        </w:rPr>
        <w:t xml:space="preserve"> following the model in Article 3 of the IPI Regulation and in Article 16 and Annex II of the Anti</w:t>
      </w:r>
      <w:r w:rsidR="00DA2522" w:rsidRPr="00CF5CA3">
        <w:rPr>
          <w:rFonts w:ascii="Times New Roman" w:eastAsia="Book Antiqua" w:hAnsi="Times New Roman" w:cs="Times New Roman"/>
          <w:sz w:val="22"/>
          <w:szCs w:val="22"/>
        </w:rPr>
        <w:t>-Coercion Instrument.</w:t>
      </w:r>
    </w:p>
    <w:p w14:paraId="1E9D1D06" w14:textId="7D28F83D" w:rsidR="00CF5CA3" w:rsidRPr="00CF5CA3" w:rsidRDefault="00CF5CA3" w:rsidP="00CF5CA3">
      <w:pPr>
        <w:jc w:val="both"/>
        <w:rPr>
          <w:rFonts w:ascii="Times New Roman" w:eastAsia="Book Antiqua" w:hAnsi="Times New Roman" w:cs="Times New Roman"/>
          <w:bCs/>
          <w:sz w:val="22"/>
          <w:szCs w:val="22"/>
        </w:rPr>
      </w:pPr>
      <w:r w:rsidRPr="00CF5CA3">
        <w:rPr>
          <w:rFonts w:ascii="Times New Roman" w:eastAsia="Book Antiqua" w:hAnsi="Times New Roman" w:cs="Times New Roman"/>
          <w:b/>
          <w:bCs/>
          <w:sz w:val="22"/>
          <w:szCs w:val="22"/>
        </w:rPr>
        <w:t>Keywords</w:t>
      </w:r>
      <w:r>
        <w:rPr>
          <w:rFonts w:ascii="Times New Roman" w:eastAsia="Book Antiqua" w:hAnsi="Times New Roman" w:cs="Times New Roman"/>
          <w:sz w:val="22"/>
          <w:szCs w:val="22"/>
        </w:rPr>
        <w:br/>
      </w:r>
      <w:r w:rsidRPr="00CF5CA3">
        <w:rPr>
          <w:rFonts w:ascii="Times New Roman" w:eastAsia="Book Antiqua" w:hAnsi="Times New Roman" w:cs="Times New Roman"/>
          <w:sz w:val="22"/>
          <w:szCs w:val="22"/>
        </w:rPr>
        <w:t>WTO GPA; third country bidders; International Procurement Instrument; Kolin.</w:t>
      </w:r>
    </w:p>
    <w:p w14:paraId="1B3201B2" w14:textId="77777777" w:rsidR="00DA2522" w:rsidRPr="00CF5CA3" w:rsidRDefault="00DA2522" w:rsidP="00DA2522">
      <w:pPr>
        <w:jc w:val="both"/>
        <w:rPr>
          <w:rFonts w:ascii="Times New Roman" w:eastAsia="Book Antiqua" w:hAnsi="Times New Roman" w:cs="Times New Roman"/>
          <w:sz w:val="22"/>
          <w:szCs w:val="22"/>
        </w:rPr>
      </w:pPr>
    </w:p>
    <w:p w14:paraId="00000005" w14:textId="040A0E61" w:rsidR="00706BDF" w:rsidRPr="00CF5CA3" w:rsidRDefault="001F7452">
      <w:pPr>
        <w:numPr>
          <w:ilvl w:val="0"/>
          <w:numId w:val="1"/>
        </w:numPr>
        <w:jc w:val="both"/>
        <w:rPr>
          <w:rFonts w:ascii="Times New Roman" w:eastAsia="Book Antiqua" w:hAnsi="Times New Roman" w:cs="Times New Roman"/>
          <w:i/>
          <w:sz w:val="22"/>
          <w:szCs w:val="22"/>
        </w:rPr>
      </w:pPr>
      <w:r w:rsidRPr="00CF5CA3">
        <w:rPr>
          <w:rFonts w:ascii="Times New Roman" w:eastAsia="Book Antiqua" w:hAnsi="Times New Roman" w:cs="Times New Roman"/>
          <w:i/>
          <w:sz w:val="22"/>
          <w:szCs w:val="22"/>
        </w:rPr>
        <w:t xml:space="preserve">Introduction: </w:t>
      </w:r>
      <w:r w:rsidR="00646580" w:rsidRPr="00CF5CA3">
        <w:rPr>
          <w:rFonts w:ascii="Times New Roman" w:eastAsia="Book Antiqua" w:hAnsi="Times New Roman" w:cs="Times New Roman"/>
          <w:i/>
          <w:sz w:val="22"/>
          <w:szCs w:val="22"/>
        </w:rPr>
        <w:t>T</w:t>
      </w:r>
      <w:r w:rsidRPr="00CF5CA3">
        <w:rPr>
          <w:rFonts w:ascii="Times New Roman" w:eastAsia="Book Antiqua" w:hAnsi="Times New Roman" w:cs="Times New Roman"/>
          <w:i/>
          <w:sz w:val="22"/>
          <w:szCs w:val="22"/>
        </w:rPr>
        <w:t>he external dimension of EU public procurement</w:t>
      </w:r>
    </w:p>
    <w:p w14:paraId="00000008" w14:textId="4604C9DE" w:rsidR="00706BDF" w:rsidRPr="00CF5CA3" w:rsidRDefault="001F7452">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EU public procurement (and concessions) law is normally approached from its huge internal (market) dimension.</w:t>
      </w:r>
      <w:r w:rsidR="00C924E1" w:rsidRPr="00CF5CA3">
        <w:rPr>
          <w:rFonts w:ascii="Times New Roman" w:eastAsia="Book Antiqua" w:hAnsi="Times New Roman" w:cs="Times New Roman"/>
          <w:sz w:val="22"/>
          <w:szCs w:val="22"/>
        </w:rPr>
        <w:t xml:space="preserve"> </w:t>
      </w:r>
      <w:r w:rsidRPr="00CF5CA3">
        <w:rPr>
          <w:rFonts w:ascii="Times New Roman" w:eastAsia="Book Antiqua" w:hAnsi="Times New Roman" w:cs="Times New Roman"/>
          <w:sz w:val="22"/>
          <w:szCs w:val="22"/>
        </w:rPr>
        <w:t xml:space="preserve">However, the EU public contracts market also has an external dimension. Estimated at </w:t>
      </w:r>
      <w:r w:rsidR="00B03391" w:rsidRPr="00CF5CA3">
        <w:rPr>
          <w:rFonts w:ascii="Times New Roman" w:eastAsia="Book Antiqua" w:hAnsi="Times New Roman" w:cs="Times New Roman"/>
          <w:sz w:val="22"/>
          <w:szCs w:val="22"/>
        </w:rPr>
        <w:t>two</w:t>
      </w:r>
      <w:r w:rsidRPr="00CF5CA3">
        <w:rPr>
          <w:rFonts w:ascii="Times New Roman" w:eastAsia="Book Antiqua" w:hAnsi="Times New Roman" w:cs="Times New Roman"/>
          <w:sz w:val="22"/>
          <w:szCs w:val="22"/>
        </w:rPr>
        <w:t xml:space="preserve"> </w:t>
      </w:r>
      <w:proofErr w:type="gramStart"/>
      <w:r w:rsidRPr="00CF5CA3">
        <w:rPr>
          <w:rFonts w:ascii="Times New Roman" w:eastAsia="Book Antiqua" w:hAnsi="Times New Roman" w:cs="Times New Roman"/>
          <w:sz w:val="22"/>
          <w:szCs w:val="22"/>
        </w:rPr>
        <w:t>trillions</w:t>
      </w:r>
      <w:proofErr w:type="gramEnd"/>
      <w:r w:rsidRPr="00CF5CA3">
        <w:rPr>
          <w:rFonts w:ascii="Times New Roman" w:eastAsia="Book Antiqua" w:hAnsi="Times New Roman" w:cs="Times New Roman"/>
          <w:sz w:val="22"/>
          <w:szCs w:val="22"/>
        </w:rPr>
        <w:t xml:space="preserve"> EUR</w:t>
      </w:r>
      <w:r w:rsidRPr="00CF5CA3">
        <w:rPr>
          <w:rFonts w:ascii="Times New Roman" w:eastAsia="Book Antiqua" w:hAnsi="Times New Roman" w:cs="Times New Roman"/>
          <w:sz w:val="22"/>
          <w:szCs w:val="22"/>
          <w:vertAlign w:val="superscript"/>
        </w:rPr>
        <w:footnoteReference w:id="1"/>
      </w:r>
      <w:r w:rsidR="00E03765"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this market is of obvious interest for economic operators from third countries. </w:t>
      </w:r>
      <w:r w:rsidR="006C2516" w:rsidRPr="00CF5CA3">
        <w:rPr>
          <w:rFonts w:ascii="Times New Roman" w:eastAsia="Book Antiqua" w:hAnsi="Times New Roman" w:cs="Times New Roman"/>
          <w:sz w:val="22"/>
          <w:szCs w:val="22"/>
        </w:rPr>
        <w:t>R</w:t>
      </w:r>
      <w:r w:rsidRPr="00CF5CA3">
        <w:rPr>
          <w:rFonts w:ascii="Times New Roman" w:eastAsia="Book Antiqua" w:hAnsi="Times New Roman" w:cs="Times New Roman"/>
          <w:sz w:val="22"/>
          <w:szCs w:val="22"/>
        </w:rPr>
        <w:t xml:space="preserve">eciprocally, foreign procurement markets are of interest </w:t>
      </w:r>
      <w:r w:rsidR="00B03391" w:rsidRPr="00CF5CA3">
        <w:rPr>
          <w:rFonts w:ascii="Times New Roman" w:eastAsia="Book Antiqua" w:hAnsi="Times New Roman" w:cs="Times New Roman"/>
          <w:sz w:val="22"/>
          <w:szCs w:val="22"/>
        </w:rPr>
        <w:t>to</w:t>
      </w:r>
      <w:r w:rsidRPr="00CF5CA3">
        <w:rPr>
          <w:rFonts w:ascii="Times New Roman" w:eastAsia="Book Antiqua" w:hAnsi="Times New Roman" w:cs="Times New Roman"/>
          <w:sz w:val="22"/>
          <w:szCs w:val="22"/>
        </w:rPr>
        <w:t xml:space="preserve"> EU</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based economic operators.</w:t>
      </w:r>
    </w:p>
    <w:p w14:paraId="0000000A" w14:textId="62A6E0B4" w:rsidR="00706BDF"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Today</w:t>
      </w:r>
      <w:r w:rsidR="003D3C4A"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the Government Procurement Agreement (GPA), a plurilateral agreement concluded in the framework of the World Trade Organisation (WTO)</w:t>
      </w:r>
      <w:r w:rsidR="003D3C4A" w:rsidRPr="00CF5CA3">
        <w:rPr>
          <w:rFonts w:ascii="Times New Roman" w:eastAsia="Book Antiqua" w:hAnsi="Times New Roman" w:cs="Times New Roman"/>
          <w:sz w:val="22"/>
          <w:szCs w:val="22"/>
        </w:rPr>
        <w:t xml:space="preserve">, </w:t>
      </w:r>
      <w:r w:rsidRPr="00CF5CA3">
        <w:rPr>
          <w:rFonts w:ascii="Times New Roman" w:eastAsia="Book Antiqua" w:hAnsi="Times New Roman" w:cs="Times New Roman"/>
          <w:sz w:val="22"/>
          <w:szCs w:val="22"/>
        </w:rPr>
        <w:t xml:space="preserve">is the most relevant text for the opening of the </w:t>
      </w:r>
      <w:r w:rsidR="003D3C4A" w:rsidRPr="00CF5CA3">
        <w:rPr>
          <w:rFonts w:ascii="Times New Roman" w:eastAsia="Book Antiqua" w:hAnsi="Times New Roman" w:cs="Times New Roman"/>
          <w:sz w:val="22"/>
          <w:szCs w:val="22"/>
        </w:rPr>
        <w:t xml:space="preserve">European </w:t>
      </w:r>
      <w:r w:rsidRPr="00CF5CA3">
        <w:rPr>
          <w:rFonts w:ascii="Times New Roman" w:eastAsia="Book Antiqua" w:hAnsi="Times New Roman" w:cs="Times New Roman"/>
          <w:sz w:val="22"/>
          <w:szCs w:val="22"/>
        </w:rPr>
        <w:t xml:space="preserve">public contracts market to economic operators from third countries. A specific trade agreement on public procurement was vouchsafed since Article III:8 of the General Agreement on Tariffs and Trade (GATT) 1994 and Article XIII of the General Agreement on Trade in Services (GATS) exclude government procurement from the main </w:t>
      </w:r>
      <w:r w:rsidRPr="00CF5CA3">
        <w:rPr>
          <w:rFonts w:ascii="Times New Roman" w:eastAsia="Book Antiqua" w:hAnsi="Times New Roman" w:cs="Times New Roman"/>
          <w:sz w:val="22"/>
          <w:szCs w:val="22"/>
        </w:rPr>
        <w:lastRenderedPageBreak/>
        <w:t>multilateral WTO disciplines.</w:t>
      </w:r>
      <w:r w:rsidRPr="00CF5CA3">
        <w:rPr>
          <w:rFonts w:ascii="Times New Roman" w:eastAsia="Book Antiqua" w:hAnsi="Times New Roman" w:cs="Times New Roman"/>
          <w:sz w:val="22"/>
          <w:szCs w:val="22"/>
          <w:vertAlign w:val="superscript"/>
        </w:rPr>
        <w:footnoteReference w:id="2"/>
      </w:r>
      <w:r w:rsidRPr="00CF5CA3">
        <w:rPr>
          <w:rFonts w:ascii="Times New Roman" w:eastAsia="Book Antiqua" w:hAnsi="Times New Roman" w:cs="Times New Roman"/>
          <w:sz w:val="22"/>
          <w:szCs w:val="22"/>
        </w:rPr>
        <w:t xml:space="preserve"> Only those procuring entities listed by each party in its Annexes I to III are covered under the GPA. Subjective coverage is not only limited by thresholds. The parties have committed to open to foreign competition only those supplies and services contracts listed in Annexes IV and V.</w:t>
      </w:r>
      <w:r w:rsidRPr="00CF5CA3">
        <w:rPr>
          <w:rFonts w:ascii="Times New Roman" w:eastAsia="Book Antiqua" w:hAnsi="Times New Roman" w:cs="Times New Roman"/>
          <w:sz w:val="22"/>
          <w:szCs w:val="22"/>
          <w:vertAlign w:val="superscript"/>
        </w:rPr>
        <w:footnoteReference w:id="3"/>
      </w:r>
      <w:r w:rsidR="00457F5E" w:rsidRPr="00CF5CA3">
        <w:rPr>
          <w:rFonts w:ascii="Times New Roman" w:eastAsia="Book Antiqua" w:hAnsi="Times New Roman" w:cs="Times New Roman"/>
          <w:sz w:val="22"/>
          <w:szCs w:val="22"/>
        </w:rPr>
        <w:t xml:space="preserve"> Economic operators whose country is part to a trade agreement with the EU are not granted access to all and every procurement or concession in the EU, as the relevant schedules of commitments (</w:t>
      </w:r>
      <w:proofErr w:type="spellStart"/>
      <w:r w:rsidR="00457F5E" w:rsidRPr="00CF5CA3">
        <w:rPr>
          <w:rFonts w:ascii="Times New Roman" w:eastAsia="Book Antiqua" w:hAnsi="Times New Roman" w:cs="Times New Roman"/>
          <w:sz w:val="22"/>
          <w:szCs w:val="22"/>
        </w:rPr>
        <w:t>eg</w:t>
      </w:r>
      <w:proofErr w:type="spellEnd"/>
      <w:r w:rsidR="00457F5E" w:rsidRPr="00CF5CA3">
        <w:rPr>
          <w:rFonts w:ascii="Times New Roman" w:eastAsia="Book Antiqua" w:hAnsi="Times New Roman" w:cs="Times New Roman"/>
          <w:sz w:val="22"/>
          <w:szCs w:val="22"/>
        </w:rPr>
        <w:t xml:space="preserve"> GPA Annexes) will apply.</w:t>
      </w:r>
      <w:r w:rsidR="003721E1" w:rsidRPr="00CF5CA3">
        <w:rPr>
          <w:rStyle w:val="Rimandonotaapidipagina"/>
          <w:rFonts w:ascii="Times New Roman" w:eastAsia="Book Antiqua" w:hAnsi="Times New Roman" w:cs="Times New Roman"/>
          <w:sz w:val="22"/>
          <w:szCs w:val="22"/>
        </w:rPr>
        <w:footnoteReference w:id="4"/>
      </w:r>
      <w:r w:rsidR="00457F5E" w:rsidRPr="00CF5CA3">
        <w:rPr>
          <w:rFonts w:ascii="Times New Roman" w:eastAsia="Book Antiqua" w:hAnsi="Times New Roman" w:cs="Times New Roman"/>
          <w:sz w:val="22"/>
          <w:szCs w:val="22"/>
        </w:rPr>
        <w:t xml:space="preserve"> </w:t>
      </w:r>
      <w:r w:rsidRPr="00CF5CA3">
        <w:rPr>
          <w:rFonts w:ascii="Times New Roman" w:eastAsia="Book Antiqua" w:hAnsi="Times New Roman" w:cs="Times New Roman"/>
          <w:sz w:val="22"/>
          <w:szCs w:val="22"/>
        </w:rPr>
        <w:t>The GPA and other international agreements to which the EU is a part</w:t>
      </w:r>
      <w:r w:rsidR="00B03391" w:rsidRPr="00CF5CA3">
        <w:rPr>
          <w:rFonts w:ascii="Times New Roman" w:eastAsia="Book Antiqua" w:hAnsi="Times New Roman" w:cs="Times New Roman"/>
          <w:sz w:val="22"/>
          <w:szCs w:val="22"/>
        </w:rPr>
        <w:t>y</w:t>
      </w:r>
      <w:r w:rsidRPr="00CF5CA3">
        <w:rPr>
          <w:rFonts w:ascii="Times New Roman" w:eastAsia="Book Antiqua" w:hAnsi="Times New Roman" w:cs="Times New Roman"/>
          <w:sz w:val="22"/>
          <w:szCs w:val="22"/>
        </w:rPr>
        <w:t xml:space="preserve"> do not cover economic operators from many countries, including</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for instance</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Turkey and the People</w:t>
      </w:r>
      <w:r w:rsidR="00B03391" w:rsidRPr="00CF5CA3">
        <w:rPr>
          <w:rFonts w:ascii="Times New Roman" w:eastAsia="Book Antiqua" w:hAnsi="Times New Roman" w:cs="Times New Roman"/>
          <w:sz w:val="22"/>
          <w:szCs w:val="22"/>
        </w:rPr>
        <w:t>’s</w:t>
      </w:r>
      <w:r w:rsidRPr="00CF5CA3">
        <w:rPr>
          <w:rFonts w:ascii="Times New Roman" w:eastAsia="Book Antiqua" w:hAnsi="Times New Roman" w:cs="Times New Roman"/>
          <w:sz w:val="22"/>
          <w:szCs w:val="22"/>
        </w:rPr>
        <w:t xml:space="preserve"> Republic of China.</w:t>
      </w:r>
      <w:r w:rsidR="003721E1" w:rsidRPr="00CF5CA3">
        <w:rPr>
          <w:rStyle w:val="Rimandonotaapidipagina"/>
          <w:rFonts w:ascii="Times New Roman" w:eastAsia="Book Antiqua" w:hAnsi="Times New Roman" w:cs="Times New Roman"/>
          <w:sz w:val="22"/>
          <w:szCs w:val="22"/>
        </w:rPr>
        <w:footnoteReference w:id="5"/>
      </w:r>
    </w:p>
    <w:p w14:paraId="0000000B" w14:textId="4A421DB0" w:rsidR="00706BDF"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 xml:space="preserve">The external dimension of EU public procurement </w:t>
      </w:r>
      <w:r w:rsidR="00457F5E" w:rsidRPr="00CF5CA3">
        <w:rPr>
          <w:rFonts w:ascii="Times New Roman" w:eastAsia="Book Antiqua" w:hAnsi="Times New Roman" w:cs="Times New Roman"/>
          <w:sz w:val="22"/>
          <w:szCs w:val="22"/>
        </w:rPr>
        <w:t>i</w:t>
      </w:r>
      <w:r w:rsidRPr="00CF5CA3">
        <w:rPr>
          <w:rFonts w:ascii="Times New Roman" w:eastAsia="Book Antiqua" w:hAnsi="Times New Roman" w:cs="Times New Roman"/>
          <w:sz w:val="22"/>
          <w:szCs w:val="22"/>
        </w:rPr>
        <w:t xml:space="preserve">s </w:t>
      </w:r>
      <w:r w:rsidR="00457F5E" w:rsidRPr="00CF5CA3">
        <w:rPr>
          <w:rFonts w:ascii="Times New Roman" w:eastAsia="Book Antiqua" w:hAnsi="Times New Roman" w:cs="Times New Roman"/>
          <w:sz w:val="22"/>
          <w:szCs w:val="22"/>
        </w:rPr>
        <w:t xml:space="preserve">regulated under </w:t>
      </w:r>
      <w:r w:rsidRPr="00CF5CA3">
        <w:rPr>
          <w:rFonts w:ascii="Times New Roman" w:eastAsia="Book Antiqua" w:hAnsi="Times New Roman" w:cs="Times New Roman"/>
          <w:sz w:val="22"/>
          <w:szCs w:val="22"/>
        </w:rPr>
        <w:t xml:space="preserve">Article 25 of </w:t>
      </w:r>
      <w:r w:rsidR="00B03391" w:rsidRPr="00CF5CA3">
        <w:rPr>
          <w:rFonts w:ascii="Times New Roman" w:eastAsia="Book Antiqua" w:hAnsi="Times New Roman" w:cs="Times New Roman"/>
          <w:sz w:val="22"/>
          <w:szCs w:val="22"/>
        </w:rPr>
        <w:t xml:space="preserve">the Classic </w:t>
      </w:r>
      <w:r w:rsidRPr="00CF5CA3">
        <w:rPr>
          <w:rFonts w:ascii="Times New Roman" w:eastAsia="Book Antiqua" w:hAnsi="Times New Roman" w:cs="Times New Roman"/>
          <w:sz w:val="22"/>
          <w:szCs w:val="22"/>
        </w:rPr>
        <w:t xml:space="preserve">Directive. Article 25 is mirrored in Article 43 of </w:t>
      </w:r>
      <w:r w:rsidR="00B03391" w:rsidRPr="00CF5CA3">
        <w:rPr>
          <w:rFonts w:ascii="Times New Roman" w:eastAsia="Book Antiqua" w:hAnsi="Times New Roman" w:cs="Times New Roman"/>
          <w:sz w:val="22"/>
          <w:szCs w:val="22"/>
        </w:rPr>
        <w:t xml:space="preserve">the Utilities </w:t>
      </w:r>
      <w:r w:rsidRPr="00CF5CA3">
        <w:rPr>
          <w:rFonts w:ascii="Times New Roman" w:eastAsia="Book Antiqua" w:hAnsi="Times New Roman" w:cs="Times New Roman"/>
          <w:sz w:val="22"/>
          <w:szCs w:val="22"/>
        </w:rPr>
        <w:t>Directive.  However, the Utilities Directive has additional provisions on third countries</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content in tenders. The Concessions Directive instead has no corresponding provisions</w:t>
      </w:r>
      <w:r w:rsidR="00B03391" w:rsidRPr="00CF5CA3">
        <w:rPr>
          <w:rFonts w:ascii="Times New Roman" w:eastAsia="Book Antiqua" w:hAnsi="Times New Roman" w:cs="Times New Roman"/>
          <w:sz w:val="22"/>
          <w:szCs w:val="22"/>
        </w:rPr>
        <w:t>,</w:t>
      </w:r>
      <w:r w:rsidR="00C924E1" w:rsidRPr="00CF5CA3">
        <w:rPr>
          <w:rFonts w:ascii="Times New Roman" w:eastAsia="Book Antiqua" w:hAnsi="Times New Roman" w:cs="Times New Roman"/>
          <w:sz w:val="22"/>
          <w:szCs w:val="22"/>
        </w:rPr>
        <w:t xml:space="preserve"> even if </w:t>
      </w:r>
      <w:r w:rsidRPr="00CF5CA3">
        <w:rPr>
          <w:rFonts w:ascii="Times New Roman" w:eastAsia="Book Antiqua" w:hAnsi="Times New Roman" w:cs="Times New Roman"/>
          <w:sz w:val="22"/>
          <w:szCs w:val="22"/>
        </w:rPr>
        <w:t>some works concessions are covered in the EU Annex 6 to the WTO-GPA</w:t>
      </w:r>
      <w:r w:rsidR="00457F5E" w:rsidRPr="00CF5CA3">
        <w:rPr>
          <w:rFonts w:ascii="Times New Roman" w:eastAsia="Book Antiqua" w:hAnsi="Times New Roman" w:cs="Times New Roman"/>
          <w:sz w:val="22"/>
          <w:szCs w:val="22"/>
        </w:rPr>
        <w:t xml:space="preserve"> and </w:t>
      </w:r>
      <w:r w:rsidRPr="00CF5CA3">
        <w:rPr>
          <w:rFonts w:ascii="Times New Roman" w:eastAsia="Book Antiqua" w:hAnsi="Times New Roman" w:cs="Times New Roman"/>
          <w:sz w:val="22"/>
          <w:szCs w:val="22"/>
        </w:rPr>
        <w:t>the WTO-GPA is recalled in Article</w:t>
      </w:r>
      <w:r w:rsidR="00457F5E" w:rsidRPr="00CF5CA3">
        <w:rPr>
          <w:rFonts w:ascii="Times New Roman" w:eastAsia="Book Antiqua" w:hAnsi="Times New Roman" w:cs="Times New Roman"/>
          <w:sz w:val="22"/>
          <w:szCs w:val="22"/>
        </w:rPr>
        <w:t>s</w:t>
      </w:r>
      <w:r w:rsidRPr="00CF5CA3">
        <w:rPr>
          <w:rFonts w:ascii="Times New Roman" w:eastAsia="Book Antiqua" w:hAnsi="Times New Roman" w:cs="Times New Roman"/>
          <w:sz w:val="22"/>
          <w:szCs w:val="22"/>
        </w:rPr>
        <w:t xml:space="preserve"> 9 </w:t>
      </w:r>
      <w:r w:rsidR="00457F5E" w:rsidRPr="00CF5CA3">
        <w:rPr>
          <w:rFonts w:ascii="Times New Roman" w:eastAsia="Book Antiqua" w:hAnsi="Times New Roman" w:cs="Times New Roman"/>
          <w:sz w:val="22"/>
          <w:szCs w:val="22"/>
        </w:rPr>
        <w:t xml:space="preserve">and 53 </w:t>
      </w:r>
      <w:r w:rsidRPr="00CF5CA3">
        <w:rPr>
          <w:rFonts w:ascii="Times New Roman" w:eastAsia="Book Antiqua" w:hAnsi="Times New Roman" w:cs="Times New Roman"/>
          <w:sz w:val="22"/>
          <w:szCs w:val="22"/>
        </w:rPr>
        <w:t>of</w:t>
      </w:r>
      <w:r w:rsidR="00E03765" w:rsidRPr="00CF5CA3">
        <w:rPr>
          <w:rFonts w:ascii="Times New Roman" w:eastAsia="Book Antiqua" w:hAnsi="Times New Roman" w:cs="Times New Roman"/>
          <w:sz w:val="22"/>
          <w:szCs w:val="22"/>
        </w:rPr>
        <w:t xml:space="preserve"> </w:t>
      </w:r>
      <w:r w:rsidR="00457F5E" w:rsidRPr="00CF5CA3">
        <w:rPr>
          <w:rFonts w:ascii="Times New Roman" w:eastAsia="Book Antiqua" w:hAnsi="Times New Roman" w:cs="Times New Roman"/>
          <w:sz w:val="22"/>
          <w:szCs w:val="22"/>
        </w:rPr>
        <w:t xml:space="preserve">that </w:t>
      </w:r>
      <w:proofErr w:type="gramStart"/>
      <w:r w:rsidR="00457F5E" w:rsidRPr="00CF5CA3">
        <w:rPr>
          <w:rFonts w:ascii="Times New Roman" w:eastAsia="Book Antiqua" w:hAnsi="Times New Roman" w:cs="Times New Roman"/>
          <w:sz w:val="22"/>
          <w:szCs w:val="22"/>
        </w:rPr>
        <w:t>directive</w:t>
      </w:r>
      <w:proofErr w:type="gramEnd"/>
      <w:r w:rsidRPr="00CF5CA3">
        <w:rPr>
          <w:rFonts w:ascii="Times New Roman" w:eastAsia="Book Antiqua" w:hAnsi="Times New Roman" w:cs="Times New Roman"/>
          <w:sz w:val="22"/>
          <w:szCs w:val="22"/>
        </w:rPr>
        <w:t>.</w:t>
      </w:r>
    </w:p>
    <w:p w14:paraId="0000000C" w14:textId="1D632DE6" w:rsidR="00706BDF" w:rsidRPr="00CF5CA3" w:rsidRDefault="00EA2314" w:rsidP="00B03391">
      <w:pPr>
        <w:jc w:val="both"/>
        <w:rPr>
          <w:rFonts w:ascii="Times New Roman" w:eastAsia="Book Antiqua" w:hAnsi="Times New Roman" w:cs="Times New Roman"/>
          <w:sz w:val="22"/>
          <w:szCs w:val="22"/>
        </w:rPr>
      </w:pPr>
      <w:r>
        <w:rPr>
          <w:rFonts w:ascii="Times New Roman" w:eastAsia="Book Antiqua" w:hAnsi="Times New Roman" w:cs="Times New Roman"/>
          <w:sz w:val="22"/>
          <w:szCs w:val="22"/>
        </w:rPr>
        <w:t xml:space="preserve">When the 2014 Public Procurement Directives were passed, </w:t>
      </w:r>
      <w:r w:rsidR="001F7452" w:rsidRPr="00CF5CA3">
        <w:rPr>
          <w:rFonts w:ascii="Times New Roman" w:eastAsia="Book Antiqua" w:hAnsi="Times New Roman" w:cs="Times New Roman"/>
          <w:sz w:val="22"/>
          <w:szCs w:val="22"/>
        </w:rPr>
        <w:t xml:space="preserve">unchallenged (neo-)liberalism allocated different productions around the world according to </w:t>
      </w:r>
      <w:r w:rsidR="00B03391" w:rsidRPr="00CF5CA3">
        <w:rPr>
          <w:rFonts w:ascii="Times New Roman" w:eastAsia="Book Antiqua" w:hAnsi="Times New Roman" w:cs="Times New Roman"/>
          <w:sz w:val="22"/>
          <w:szCs w:val="22"/>
        </w:rPr>
        <w:t>“</w:t>
      </w:r>
      <w:r w:rsidR="001F7452" w:rsidRPr="00CF5CA3">
        <w:rPr>
          <w:rFonts w:ascii="Times New Roman" w:eastAsia="Book Antiqua" w:hAnsi="Times New Roman" w:cs="Times New Roman"/>
          <w:sz w:val="22"/>
          <w:szCs w:val="22"/>
        </w:rPr>
        <w:t>efficiency</w:t>
      </w:r>
      <w:r w:rsidR="00B03391" w:rsidRPr="00CF5CA3">
        <w:rPr>
          <w:rFonts w:ascii="Times New Roman" w:eastAsia="Book Antiqua" w:hAnsi="Times New Roman" w:cs="Times New Roman"/>
          <w:sz w:val="22"/>
          <w:szCs w:val="22"/>
        </w:rPr>
        <w:t>”</w:t>
      </w:r>
      <w:r w:rsidR="001F7452" w:rsidRPr="00CF5CA3">
        <w:rPr>
          <w:rFonts w:ascii="Times New Roman" w:eastAsia="Book Antiqua" w:hAnsi="Times New Roman" w:cs="Times New Roman"/>
          <w:sz w:val="22"/>
          <w:szCs w:val="22"/>
        </w:rPr>
        <w:t>, ie where costs were lower</w:t>
      </w:r>
      <w:r w:rsidR="00B03391" w:rsidRPr="00CF5CA3">
        <w:rPr>
          <w:rFonts w:ascii="Times New Roman" w:eastAsia="Book Antiqua" w:hAnsi="Times New Roman" w:cs="Times New Roman"/>
          <w:sz w:val="22"/>
          <w:szCs w:val="22"/>
        </w:rPr>
        <w:t>,</w:t>
      </w:r>
      <w:r w:rsidR="001F7452" w:rsidRPr="00CF5CA3">
        <w:rPr>
          <w:rFonts w:ascii="Times New Roman" w:eastAsia="Book Antiqua" w:hAnsi="Times New Roman" w:cs="Times New Roman"/>
          <w:sz w:val="22"/>
          <w:szCs w:val="22"/>
        </w:rPr>
        <w:t xml:space="preserve"> either because of higher productivity or lower production costs or simply because externali</w:t>
      </w:r>
      <w:r w:rsidR="006C2516" w:rsidRPr="00CF5CA3">
        <w:rPr>
          <w:rFonts w:ascii="Times New Roman" w:eastAsia="Book Antiqua" w:hAnsi="Times New Roman" w:cs="Times New Roman"/>
          <w:sz w:val="22"/>
          <w:szCs w:val="22"/>
        </w:rPr>
        <w:t>s</w:t>
      </w:r>
      <w:r w:rsidR="001F7452" w:rsidRPr="00CF5CA3">
        <w:rPr>
          <w:rFonts w:ascii="Times New Roman" w:eastAsia="Book Antiqua" w:hAnsi="Times New Roman" w:cs="Times New Roman"/>
          <w:sz w:val="22"/>
          <w:szCs w:val="22"/>
        </w:rPr>
        <w:t xml:space="preserve">ing costs on the environment, workers and communities was easier. Seamless global supply chains then delivered (mainly) goods where </w:t>
      </w:r>
      <w:r w:rsidR="00B03391" w:rsidRPr="00CF5CA3">
        <w:rPr>
          <w:rFonts w:ascii="Times New Roman" w:eastAsia="Book Antiqua" w:hAnsi="Times New Roman" w:cs="Times New Roman"/>
          <w:sz w:val="22"/>
          <w:szCs w:val="22"/>
        </w:rPr>
        <w:t xml:space="preserve">the </w:t>
      </w:r>
      <w:r w:rsidR="001F7452" w:rsidRPr="00CF5CA3">
        <w:rPr>
          <w:rFonts w:ascii="Times New Roman" w:eastAsia="Book Antiqua" w:hAnsi="Times New Roman" w:cs="Times New Roman"/>
          <w:sz w:val="22"/>
          <w:szCs w:val="22"/>
        </w:rPr>
        <w:t xml:space="preserve">demand was. </w:t>
      </w:r>
      <w:r w:rsidR="00457F5E" w:rsidRPr="00CF5CA3">
        <w:rPr>
          <w:rFonts w:ascii="Times New Roman" w:eastAsia="Book Antiqua" w:hAnsi="Times New Roman" w:cs="Times New Roman"/>
          <w:sz w:val="22"/>
          <w:szCs w:val="22"/>
        </w:rPr>
        <w:t>T</w:t>
      </w:r>
      <w:r w:rsidR="001F7452" w:rsidRPr="00CF5CA3">
        <w:rPr>
          <w:rFonts w:ascii="Times New Roman" w:eastAsia="Book Antiqua" w:hAnsi="Times New Roman" w:cs="Times New Roman"/>
          <w:sz w:val="22"/>
          <w:szCs w:val="22"/>
        </w:rPr>
        <w:t xml:space="preserve">he WTO-GPA ensured – and still ensures - a measure of reciprocal opening of procurement markets. The </w:t>
      </w:r>
      <w:r w:rsidR="00113535" w:rsidRPr="00CF5CA3">
        <w:rPr>
          <w:rFonts w:ascii="Times New Roman" w:eastAsia="Book Antiqua" w:hAnsi="Times New Roman" w:cs="Times New Roman"/>
          <w:sz w:val="22"/>
          <w:szCs w:val="22"/>
        </w:rPr>
        <w:t xml:space="preserve">Public Procurement Directives </w:t>
      </w:r>
      <w:r w:rsidR="001F7452" w:rsidRPr="00CF5CA3">
        <w:rPr>
          <w:rFonts w:ascii="Times New Roman" w:eastAsia="Book Antiqua" w:hAnsi="Times New Roman" w:cs="Times New Roman"/>
          <w:sz w:val="22"/>
          <w:szCs w:val="22"/>
        </w:rPr>
        <w:t>were an incarnation of public procurement market opening – and market making – harmoni</w:t>
      </w:r>
      <w:r w:rsidR="00E03765" w:rsidRPr="00CF5CA3">
        <w:rPr>
          <w:rFonts w:ascii="Times New Roman" w:eastAsia="Book Antiqua" w:hAnsi="Times New Roman" w:cs="Times New Roman"/>
          <w:sz w:val="22"/>
          <w:szCs w:val="22"/>
        </w:rPr>
        <w:t>s</w:t>
      </w:r>
      <w:r w:rsidR="001F7452" w:rsidRPr="00CF5CA3">
        <w:rPr>
          <w:rFonts w:ascii="Times New Roman" w:eastAsia="Book Antiqua" w:hAnsi="Times New Roman" w:cs="Times New Roman"/>
          <w:sz w:val="22"/>
          <w:szCs w:val="22"/>
        </w:rPr>
        <w:t>ation instruments.</w:t>
      </w:r>
      <w:r w:rsidR="001F7452" w:rsidRPr="00CF5CA3">
        <w:rPr>
          <w:rFonts w:ascii="Times New Roman" w:eastAsia="Book Antiqua" w:hAnsi="Times New Roman" w:cs="Times New Roman"/>
          <w:sz w:val="22"/>
          <w:szCs w:val="22"/>
          <w:vertAlign w:val="superscript"/>
        </w:rPr>
        <w:footnoteReference w:id="6"/>
      </w:r>
    </w:p>
    <w:p w14:paraId="1AAC7CE2" w14:textId="25F8AF90" w:rsidR="00424752" w:rsidRPr="00CF5CA3" w:rsidRDefault="00B03391"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T</w:t>
      </w:r>
      <w:r w:rsidR="00457F5E" w:rsidRPr="00CF5CA3">
        <w:rPr>
          <w:rFonts w:ascii="Times New Roman" w:eastAsia="Book Antiqua" w:hAnsi="Times New Roman" w:cs="Times New Roman"/>
          <w:sz w:val="22"/>
          <w:szCs w:val="22"/>
        </w:rPr>
        <w:t>he EU and most of its Member States have in the past been quite welcoming to economic operators from third countries, including those not benefiting from reciprocal market opening agreements.</w:t>
      </w:r>
      <w:r w:rsidR="00457F5E" w:rsidRPr="00CF5CA3">
        <w:rPr>
          <w:rFonts w:ascii="Times New Roman" w:eastAsia="Book Antiqua" w:hAnsi="Times New Roman" w:cs="Times New Roman"/>
          <w:sz w:val="22"/>
          <w:szCs w:val="22"/>
          <w:vertAlign w:val="superscript"/>
        </w:rPr>
        <w:footnoteReference w:id="7"/>
      </w:r>
      <w:r w:rsidR="00457F5E" w:rsidRPr="00CF5CA3">
        <w:rPr>
          <w:rFonts w:ascii="Times New Roman" w:eastAsia="Book Antiqua" w:hAnsi="Times New Roman" w:cs="Times New Roman"/>
          <w:sz w:val="22"/>
          <w:szCs w:val="22"/>
        </w:rPr>
        <w:t xml:space="preserve"> This open attitude has changed markedly in the past few years</w:t>
      </w:r>
      <w:r w:rsidRPr="00CF5CA3">
        <w:rPr>
          <w:rFonts w:ascii="Times New Roman" w:eastAsia="Book Antiqua" w:hAnsi="Times New Roman" w:cs="Times New Roman"/>
          <w:sz w:val="22"/>
          <w:szCs w:val="22"/>
        </w:rPr>
        <w:t>,</w:t>
      </w:r>
      <w:r w:rsidR="00457F5E" w:rsidRPr="00CF5CA3">
        <w:rPr>
          <w:rFonts w:ascii="Times New Roman" w:eastAsia="Book Antiqua" w:hAnsi="Times New Roman" w:cs="Times New Roman"/>
          <w:sz w:val="22"/>
          <w:szCs w:val="22"/>
        </w:rPr>
        <w:t xml:space="preserve"> and this </w:t>
      </w:r>
      <w:r w:rsidRPr="00CF5CA3">
        <w:rPr>
          <w:rFonts w:ascii="Times New Roman" w:eastAsia="Book Antiqua" w:hAnsi="Times New Roman" w:cs="Times New Roman"/>
          <w:sz w:val="22"/>
          <w:szCs w:val="22"/>
        </w:rPr>
        <w:t xml:space="preserve">is </w:t>
      </w:r>
      <w:r w:rsidR="00457F5E" w:rsidRPr="00CF5CA3">
        <w:rPr>
          <w:rFonts w:ascii="Times New Roman" w:eastAsia="Book Antiqua" w:hAnsi="Times New Roman" w:cs="Times New Roman"/>
          <w:sz w:val="22"/>
          <w:szCs w:val="22"/>
        </w:rPr>
        <w:t>because of many reasons. At a very basic level, EU institutions realised that third countries have failed to reciprocate and to grant EU</w:t>
      </w:r>
      <w:r w:rsidRPr="00CF5CA3">
        <w:rPr>
          <w:rFonts w:ascii="Times New Roman" w:eastAsia="Book Antiqua" w:hAnsi="Times New Roman" w:cs="Times New Roman"/>
          <w:sz w:val="22"/>
          <w:szCs w:val="22"/>
        </w:rPr>
        <w:t>-</w:t>
      </w:r>
      <w:r w:rsidR="00457F5E" w:rsidRPr="00CF5CA3">
        <w:rPr>
          <w:rFonts w:ascii="Times New Roman" w:eastAsia="Book Antiqua" w:hAnsi="Times New Roman" w:cs="Times New Roman"/>
          <w:sz w:val="22"/>
          <w:szCs w:val="22"/>
        </w:rPr>
        <w:t xml:space="preserve">based economic operators access to their public contract markets. Moreover, some third countries have been actively supporting the efforts by their own companies to penetrate </w:t>
      </w:r>
      <w:r w:rsidRPr="00CF5CA3">
        <w:rPr>
          <w:rFonts w:ascii="Times New Roman" w:eastAsia="Book Antiqua" w:hAnsi="Times New Roman" w:cs="Times New Roman"/>
          <w:sz w:val="22"/>
          <w:szCs w:val="22"/>
        </w:rPr>
        <w:t xml:space="preserve">the </w:t>
      </w:r>
      <w:r w:rsidR="00457F5E" w:rsidRPr="00CF5CA3">
        <w:rPr>
          <w:rFonts w:ascii="Times New Roman" w:eastAsia="Book Antiqua" w:hAnsi="Times New Roman" w:cs="Times New Roman"/>
          <w:sz w:val="22"/>
          <w:szCs w:val="22"/>
        </w:rPr>
        <w:t>EU public contracts market with subsidies coming on top of more lenient regulatory environments allowing for lower production costs.</w:t>
      </w:r>
      <w:r w:rsidR="00457F5E" w:rsidRPr="00CF5CA3">
        <w:rPr>
          <w:rFonts w:ascii="Times New Roman" w:eastAsia="Book Antiqua" w:hAnsi="Times New Roman" w:cs="Times New Roman"/>
          <w:sz w:val="22"/>
          <w:szCs w:val="22"/>
          <w:vertAlign w:val="superscript"/>
        </w:rPr>
        <w:footnoteReference w:id="8"/>
      </w:r>
      <w:r w:rsidR="00457F5E" w:rsidRPr="00CF5CA3">
        <w:rPr>
          <w:rFonts w:ascii="Times New Roman" w:eastAsia="Book Antiqua" w:hAnsi="Times New Roman" w:cs="Times New Roman"/>
          <w:sz w:val="22"/>
          <w:szCs w:val="22"/>
        </w:rPr>
        <w:t xml:space="preserve"> </w:t>
      </w:r>
      <w:r w:rsidR="00424752" w:rsidRPr="00CF5CA3">
        <w:rPr>
          <w:rFonts w:ascii="Times New Roman" w:eastAsia="Book Antiqua" w:hAnsi="Times New Roman" w:cs="Times New Roman"/>
          <w:sz w:val="22"/>
          <w:szCs w:val="22"/>
        </w:rPr>
        <w:t xml:space="preserve">Already in 2019, the Commission adopted a </w:t>
      </w:r>
      <w:r w:rsidR="00424752" w:rsidRPr="00CF5CA3">
        <w:rPr>
          <w:rFonts w:ascii="Times New Roman" w:eastAsia="Book Antiqua" w:hAnsi="Times New Roman" w:cs="Times New Roman"/>
          <w:i/>
          <w:sz w:val="22"/>
          <w:szCs w:val="22"/>
        </w:rPr>
        <w:t>Guidance on the participation of third-country bidders and goods in the EU procurement market</w:t>
      </w:r>
      <w:r w:rsidR="00424752" w:rsidRPr="00CF5CA3">
        <w:rPr>
          <w:rFonts w:ascii="Times New Roman" w:eastAsia="Book Antiqua" w:hAnsi="Times New Roman" w:cs="Times New Roman"/>
          <w:sz w:val="22"/>
          <w:szCs w:val="22"/>
        </w:rPr>
        <w:t>.</w:t>
      </w:r>
      <w:r w:rsidR="00424752" w:rsidRPr="00CF5CA3">
        <w:rPr>
          <w:rFonts w:ascii="Times New Roman" w:eastAsia="Book Antiqua" w:hAnsi="Times New Roman" w:cs="Times New Roman"/>
          <w:sz w:val="22"/>
          <w:szCs w:val="22"/>
          <w:vertAlign w:val="superscript"/>
        </w:rPr>
        <w:footnoteReference w:id="9"/>
      </w:r>
      <w:r w:rsidR="00424752" w:rsidRPr="00CF5CA3">
        <w:rPr>
          <w:rFonts w:ascii="Times New Roman" w:eastAsia="Book Antiqua" w:hAnsi="Times New Roman" w:cs="Times New Roman"/>
          <w:sz w:val="22"/>
          <w:szCs w:val="22"/>
        </w:rPr>
        <w:t xml:space="preserve"> The toolbox, however, boiled down to </w:t>
      </w:r>
      <w:r w:rsidRPr="00CF5CA3">
        <w:rPr>
          <w:rFonts w:ascii="Times New Roman" w:eastAsia="Book Antiqua" w:hAnsi="Times New Roman" w:cs="Times New Roman"/>
          <w:sz w:val="22"/>
          <w:szCs w:val="22"/>
        </w:rPr>
        <w:t xml:space="preserve">the </w:t>
      </w:r>
      <w:r w:rsidR="00424752" w:rsidRPr="00CF5CA3">
        <w:rPr>
          <w:rFonts w:ascii="Times New Roman" w:eastAsia="Book Antiqua" w:hAnsi="Times New Roman" w:cs="Times New Roman"/>
          <w:sz w:val="22"/>
          <w:szCs w:val="22"/>
        </w:rPr>
        <w:t>potential exclusion of abnormally low tenders and a passionate call to use strategic procurement.</w:t>
      </w:r>
      <w:r w:rsidR="00424752" w:rsidRPr="00CF5CA3">
        <w:rPr>
          <w:rFonts w:ascii="Times New Roman" w:eastAsia="Book Antiqua" w:hAnsi="Times New Roman" w:cs="Times New Roman"/>
          <w:sz w:val="22"/>
          <w:szCs w:val="22"/>
          <w:vertAlign w:val="superscript"/>
        </w:rPr>
        <w:footnoteReference w:id="10"/>
      </w:r>
    </w:p>
    <w:p w14:paraId="00000010" w14:textId="0D1DBF4C" w:rsidR="00706BDF"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lastRenderedPageBreak/>
        <w:t xml:space="preserve">At a deeper level, COVID and the consequences of the Russian invasion of Ukraine made it clear that </w:t>
      </w:r>
      <w:r w:rsidR="00B65262" w:rsidRPr="00CF5CA3">
        <w:rPr>
          <w:rFonts w:ascii="Times New Roman" w:eastAsia="Book Antiqua" w:hAnsi="Times New Roman" w:cs="Times New Roman"/>
          <w:sz w:val="22"/>
          <w:szCs w:val="22"/>
        </w:rPr>
        <w:t xml:space="preserve">blindly </w:t>
      </w:r>
      <w:r w:rsidRPr="00CF5CA3">
        <w:rPr>
          <w:rFonts w:ascii="Times New Roman" w:eastAsia="Book Antiqua" w:hAnsi="Times New Roman" w:cs="Times New Roman"/>
          <w:sz w:val="22"/>
          <w:szCs w:val="22"/>
        </w:rPr>
        <w:t xml:space="preserve">relying on international </w:t>
      </w:r>
      <w:r w:rsidR="00D9709B">
        <w:rPr>
          <w:rFonts w:ascii="Times New Roman" w:eastAsia="Book Antiqua" w:hAnsi="Times New Roman" w:cs="Times New Roman"/>
          <w:sz w:val="22"/>
          <w:szCs w:val="22"/>
        </w:rPr>
        <w:t>products/inputs</w:t>
      </w:r>
      <w:r w:rsidRPr="00CF5CA3">
        <w:rPr>
          <w:rFonts w:ascii="Times New Roman" w:eastAsia="Book Antiqua" w:hAnsi="Times New Roman" w:cs="Times New Roman"/>
          <w:sz w:val="22"/>
          <w:szCs w:val="22"/>
        </w:rPr>
        <w:t xml:space="preserve"> left the EU exposed to breakdowns in global supply chains and to the ensuing price shocks. These events have taught us that global supply chains are far from being seamless. They are delicate things prone to sudden disruption.</w:t>
      </w:r>
      <w:r w:rsidRPr="00CF5CA3">
        <w:rPr>
          <w:rFonts w:ascii="Times New Roman" w:eastAsia="Book Antiqua" w:hAnsi="Times New Roman" w:cs="Times New Roman"/>
          <w:sz w:val="22"/>
          <w:szCs w:val="22"/>
          <w:vertAlign w:val="superscript"/>
        </w:rPr>
        <w:footnoteReference w:id="11"/>
      </w:r>
      <w:r w:rsidRPr="00CF5CA3">
        <w:rPr>
          <w:rFonts w:ascii="Times New Roman" w:eastAsia="Book Antiqua" w:hAnsi="Times New Roman" w:cs="Times New Roman"/>
          <w:sz w:val="22"/>
          <w:szCs w:val="22"/>
        </w:rPr>
        <w:t xml:space="preserve"> And to blackmail. The recent </w:t>
      </w:r>
      <w:r w:rsidRPr="00CF5CA3">
        <w:rPr>
          <w:rFonts w:ascii="Times New Roman" w:eastAsia="Book Antiqua" w:hAnsi="Times New Roman" w:cs="Times New Roman"/>
          <w:i/>
          <w:sz w:val="22"/>
          <w:szCs w:val="22"/>
        </w:rPr>
        <w:t>Competitiveness Compass</w:t>
      </w:r>
      <w:r w:rsidRPr="00CF5CA3">
        <w:rPr>
          <w:rFonts w:ascii="Times New Roman" w:eastAsia="Book Antiqua" w:hAnsi="Times New Roman" w:cs="Times New Roman"/>
          <w:sz w:val="22"/>
          <w:szCs w:val="22"/>
        </w:rPr>
        <w:t xml:space="preserve"> argues that “In a context where other major players impose access restrictions to their markets and seek to boost manufacturing capacity in critical technologies, Europe must safeguard its own capacities”.</w:t>
      </w:r>
      <w:r w:rsidRPr="00CF5CA3">
        <w:rPr>
          <w:rFonts w:ascii="Times New Roman" w:eastAsia="Book Antiqua" w:hAnsi="Times New Roman" w:cs="Times New Roman"/>
          <w:sz w:val="22"/>
          <w:szCs w:val="22"/>
          <w:vertAlign w:val="superscript"/>
        </w:rPr>
        <w:footnoteReference w:id="12"/>
      </w:r>
      <w:r w:rsidRPr="00CF5CA3">
        <w:rPr>
          <w:rFonts w:ascii="Times New Roman" w:eastAsia="Book Antiqua" w:hAnsi="Times New Roman" w:cs="Times New Roman"/>
          <w:sz w:val="22"/>
          <w:szCs w:val="22"/>
        </w:rPr>
        <w:t xml:space="preserve"> The various conflicts raging in the Middle East have compounded the need to buttress the resilience of EU supply chains, including with reference to public contracts.</w:t>
      </w:r>
      <w:r w:rsidRPr="00CF5CA3">
        <w:rPr>
          <w:rFonts w:ascii="Times New Roman" w:eastAsia="Book Antiqua" w:hAnsi="Times New Roman" w:cs="Times New Roman"/>
          <w:sz w:val="22"/>
          <w:szCs w:val="22"/>
          <w:vertAlign w:val="superscript"/>
        </w:rPr>
        <w:footnoteReference w:id="13"/>
      </w:r>
      <w:r w:rsidRPr="00CF5CA3">
        <w:rPr>
          <w:rFonts w:ascii="Times New Roman" w:eastAsia="Book Antiqua" w:hAnsi="Times New Roman" w:cs="Times New Roman"/>
          <w:sz w:val="22"/>
          <w:szCs w:val="22"/>
        </w:rPr>
        <w:t xml:space="preserve"> Finally, at a wider political level, the realisation of the social impact on European workers of offshoring production outside of the EU together with the fact that the externalisation of environmental and even social costs is ultimately bound to bounce back </w:t>
      </w:r>
      <w:proofErr w:type="spellStart"/>
      <w:r w:rsidRPr="00CF5CA3">
        <w:rPr>
          <w:rFonts w:ascii="Times New Roman" w:eastAsia="Book Antiqua" w:hAnsi="Times New Roman" w:cs="Times New Roman"/>
          <w:sz w:val="22"/>
          <w:szCs w:val="22"/>
        </w:rPr>
        <w:t>eg</w:t>
      </w:r>
      <w:proofErr w:type="spellEnd"/>
      <w:r w:rsidRPr="00CF5CA3">
        <w:rPr>
          <w:rFonts w:ascii="Times New Roman" w:eastAsia="Book Antiqua" w:hAnsi="Times New Roman" w:cs="Times New Roman"/>
          <w:sz w:val="22"/>
          <w:szCs w:val="22"/>
        </w:rPr>
        <w:t xml:space="preserve"> through climate change or immigration, have together caused some in the EU to reconsider the benefits of production delocalisation or offshoring.</w:t>
      </w:r>
      <w:r w:rsidRPr="00CF5CA3">
        <w:rPr>
          <w:rFonts w:ascii="Times New Roman" w:eastAsia="Book Antiqua" w:hAnsi="Times New Roman" w:cs="Times New Roman"/>
          <w:sz w:val="22"/>
          <w:szCs w:val="22"/>
          <w:vertAlign w:val="superscript"/>
        </w:rPr>
        <w:footnoteReference w:id="14"/>
      </w:r>
      <w:r w:rsidRPr="00CF5CA3">
        <w:rPr>
          <w:rFonts w:ascii="Times New Roman" w:eastAsia="Book Antiqua" w:hAnsi="Times New Roman" w:cs="Times New Roman"/>
          <w:sz w:val="22"/>
          <w:szCs w:val="22"/>
        </w:rPr>
        <w:t xml:space="preserve"> </w:t>
      </w:r>
    </w:p>
    <w:p w14:paraId="00000013" w14:textId="1CE78B37" w:rsidR="00706BDF" w:rsidRPr="00CF5CA3" w:rsidRDefault="001F7452">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In this chapter, the measures enshrined in the Foreign Subsidies Regulation (FSR)</w:t>
      </w:r>
      <w:r w:rsidRPr="00CF5CA3">
        <w:rPr>
          <w:rFonts w:ascii="Times New Roman" w:eastAsia="Book Antiqua" w:hAnsi="Times New Roman" w:cs="Times New Roman"/>
          <w:sz w:val="22"/>
          <w:szCs w:val="22"/>
          <w:vertAlign w:val="superscript"/>
        </w:rPr>
        <w:footnoteReference w:id="15"/>
      </w:r>
      <w:r w:rsidRPr="00CF5CA3">
        <w:rPr>
          <w:rFonts w:ascii="Times New Roman" w:eastAsia="Book Antiqua" w:hAnsi="Times New Roman" w:cs="Times New Roman"/>
          <w:sz w:val="22"/>
          <w:szCs w:val="22"/>
        </w:rPr>
        <w:t xml:space="preserve"> to protect EU bidders from unfair competition from subsidised economic operators from third countries </w:t>
      </w:r>
      <w:r w:rsidR="00113535" w:rsidRPr="00CF5CA3">
        <w:rPr>
          <w:rFonts w:ascii="Times New Roman" w:eastAsia="Book Antiqua" w:hAnsi="Times New Roman" w:cs="Times New Roman"/>
          <w:sz w:val="22"/>
          <w:szCs w:val="22"/>
        </w:rPr>
        <w:t xml:space="preserve">will be analysed first </w:t>
      </w:r>
      <w:r w:rsidRPr="00CF5CA3">
        <w:rPr>
          <w:rFonts w:ascii="Times New Roman" w:eastAsia="Book Antiqua" w:hAnsi="Times New Roman" w:cs="Times New Roman"/>
          <w:sz w:val="22"/>
          <w:szCs w:val="22"/>
        </w:rPr>
        <w:t>(§ 2). The procurement provisions of the Net</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Zero </w:t>
      </w:r>
      <w:r w:rsidR="008617EF" w:rsidRPr="00CF5CA3">
        <w:rPr>
          <w:rFonts w:ascii="Times New Roman" w:eastAsia="Book Antiqua" w:hAnsi="Times New Roman" w:cs="Times New Roman"/>
          <w:sz w:val="22"/>
          <w:szCs w:val="22"/>
        </w:rPr>
        <w:t>Industr</w:t>
      </w:r>
      <w:r w:rsidRPr="00CF5CA3">
        <w:rPr>
          <w:rFonts w:ascii="Times New Roman" w:eastAsia="Book Antiqua" w:hAnsi="Times New Roman" w:cs="Times New Roman"/>
          <w:sz w:val="22"/>
          <w:szCs w:val="22"/>
        </w:rPr>
        <w:t>y Act (NZIA)</w:t>
      </w:r>
      <w:r w:rsidRPr="00CF5CA3">
        <w:rPr>
          <w:rFonts w:ascii="Times New Roman" w:eastAsia="Book Antiqua" w:hAnsi="Times New Roman" w:cs="Times New Roman"/>
          <w:sz w:val="22"/>
          <w:szCs w:val="22"/>
          <w:vertAlign w:val="superscript"/>
        </w:rPr>
        <w:footnoteReference w:id="16"/>
      </w:r>
      <w:r w:rsidRPr="00CF5CA3">
        <w:rPr>
          <w:rFonts w:ascii="Times New Roman" w:eastAsia="Book Antiqua" w:hAnsi="Times New Roman" w:cs="Times New Roman"/>
          <w:sz w:val="22"/>
          <w:szCs w:val="22"/>
        </w:rPr>
        <w:t xml:space="preserve"> enacted to ensure the resilience of supply chains vital for the green transition</w:t>
      </w:r>
      <w:r w:rsidR="00E03765"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will be analysed next (§ 3). The above provisions tend to restrict the participation of third</w:t>
      </w:r>
      <w:r w:rsidR="00E03765"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country economic operators in the EU public procurement market. The IPI</w:t>
      </w:r>
      <w:r w:rsidRPr="00CF5CA3">
        <w:rPr>
          <w:rFonts w:ascii="Times New Roman" w:eastAsia="Book Antiqua" w:hAnsi="Times New Roman" w:cs="Times New Roman"/>
          <w:sz w:val="22"/>
          <w:szCs w:val="22"/>
          <w:vertAlign w:val="superscript"/>
        </w:rPr>
        <w:footnoteReference w:id="17"/>
      </w:r>
      <w:r w:rsidRPr="00CF5CA3">
        <w:rPr>
          <w:rFonts w:ascii="Times New Roman" w:eastAsia="Book Antiqua" w:hAnsi="Times New Roman" w:cs="Times New Roman"/>
          <w:sz w:val="22"/>
          <w:szCs w:val="22"/>
        </w:rPr>
        <w:t xml:space="preserve"> is instead intended to entice third countries to open their public procurement market to EU</w:t>
      </w:r>
      <w:r w:rsidR="00E03765"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based economic operators, but it goes well beyond nudging (§ 4). An assessment of the changed interpretation of Article 25 of </w:t>
      </w:r>
      <w:r w:rsidR="00B03391" w:rsidRPr="00CF5CA3">
        <w:rPr>
          <w:rFonts w:ascii="Times New Roman" w:eastAsia="Book Antiqua" w:hAnsi="Times New Roman" w:cs="Times New Roman"/>
          <w:sz w:val="22"/>
          <w:szCs w:val="22"/>
        </w:rPr>
        <w:t xml:space="preserve">the Classic </w:t>
      </w:r>
      <w:r w:rsidRPr="00CF5CA3">
        <w:rPr>
          <w:rFonts w:ascii="Times New Roman" w:eastAsia="Book Antiqua" w:hAnsi="Times New Roman" w:cs="Times New Roman"/>
          <w:sz w:val="22"/>
          <w:szCs w:val="22"/>
        </w:rPr>
        <w:t>Directive in a very different EU framework for the international dimension of public procurement will follow (§ 5). The conclusions will reflect on how this new international trade law framework could be consolidated in the soon</w:t>
      </w:r>
      <w:r w:rsidR="00B03391" w:rsidRPr="00CF5CA3">
        <w:rPr>
          <w:rFonts w:ascii="Times New Roman" w:eastAsia="Book Antiqua" w:hAnsi="Times New Roman" w:cs="Times New Roman"/>
          <w:sz w:val="22"/>
          <w:szCs w:val="22"/>
        </w:rPr>
        <w:t>-to-be-</w:t>
      </w:r>
      <w:r w:rsidRPr="00CF5CA3">
        <w:rPr>
          <w:rFonts w:ascii="Times New Roman" w:eastAsia="Book Antiqua" w:hAnsi="Times New Roman" w:cs="Times New Roman"/>
          <w:sz w:val="22"/>
          <w:szCs w:val="22"/>
        </w:rPr>
        <w:t xml:space="preserve">reformed </w:t>
      </w:r>
      <w:r w:rsidR="00113535" w:rsidRPr="00CF5CA3">
        <w:rPr>
          <w:rFonts w:ascii="Times New Roman" w:eastAsia="Book Antiqua" w:hAnsi="Times New Roman" w:cs="Times New Roman"/>
          <w:sz w:val="22"/>
          <w:szCs w:val="22"/>
        </w:rPr>
        <w:t xml:space="preserve">Public Procurement Directives </w:t>
      </w:r>
      <w:r w:rsidRPr="00CF5CA3">
        <w:rPr>
          <w:rFonts w:ascii="Times New Roman" w:eastAsia="Book Antiqua" w:hAnsi="Times New Roman" w:cs="Times New Roman"/>
          <w:sz w:val="22"/>
          <w:szCs w:val="22"/>
        </w:rPr>
        <w:t>(§ 6).</w:t>
      </w:r>
    </w:p>
    <w:p w14:paraId="00000014" w14:textId="77777777" w:rsidR="00706BDF" w:rsidRPr="00CF5CA3" w:rsidRDefault="001F7452">
      <w:pPr>
        <w:jc w:val="both"/>
        <w:rPr>
          <w:rFonts w:ascii="Times New Roman" w:eastAsia="Book Antiqua" w:hAnsi="Times New Roman" w:cs="Times New Roman"/>
          <w:i/>
          <w:iCs/>
          <w:sz w:val="22"/>
          <w:szCs w:val="22"/>
        </w:rPr>
      </w:pPr>
      <w:r w:rsidRPr="00CF5CA3">
        <w:rPr>
          <w:rFonts w:ascii="Times New Roman" w:eastAsia="Book Antiqua" w:hAnsi="Times New Roman" w:cs="Times New Roman"/>
          <w:i/>
          <w:iCs/>
          <w:sz w:val="22"/>
          <w:szCs w:val="22"/>
        </w:rPr>
        <w:t>2. The Foreign Subsidies Regulation (FSR)</w:t>
      </w:r>
    </w:p>
    <w:p w14:paraId="00000015" w14:textId="1A7CA554" w:rsidR="00706BDF" w:rsidRPr="00CF5CA3" w:rsidRDefault="001F7452">
      <w:pPr>
        <w:jc w:val="both"/>
        <w:rPr>
          <w:rFonts w:ascii="Times New Roman" w:eastAsia="Times New Roman" w:hAnsi="Times New Roman" w:cs="Times New Roman"/>
          <w:sz w:val="22"/>
          <w:szCs w:val="22"/>
        </w:rPr>
      </w:pPr>
      <w:r w:rsidRPr="00CF5CA3">
        <w:rPr>
          <w:rFonts w:ascii="Times New Roman" w:eastAsia="Book Antiqua" w:hAnsi="Times New Roman" w:cs="Times New Roman"/>
          <w:sz w:val="22"/>
          <w:szCs w:val="22"/>
        </w:rPr>
        <w:t xml:space="preserve">The FSR, enacted late in 2022, aims </w:t>
      </w:r>
      <w:r w:rsidR="00B03391" w:rsidRPr="00CF5CA3">
        <w:rPr>
          <w:rFonts w:ascii="Times New Roman" w:eastAsia="Book Antiqua" w:hAnsi="Times New Roman" w:cs="Times New Roman"/>
          <w:sz w:val="22"/>
          <w:szCs w:val="22"/>
        </w:rPr>
        <w:t>to</w:t>
      </w:r>
      <w:r w:rsidRPr="00CF5CA3">
        <w:rPr>
          <w:rFonts w:ascii="Times New Roman" w:eastAsia="Book Antiqua" w:hAnsi="Times New Roman" w:cs="Times New Roman"/>
          <w:sz w:val="22"/>
          <w:szCs w:val="22"/>
        </w:rPr>
        <w:t xml:space="preserve"> tackl</w:t>
      </w:r>
      <w:r w:rsidR="00B03391" w:rsidRPr="00CF5CA3">
        <w:rPr>
          <w:rFonts w:ascii="Times New Roman" w:eastAsia="Book Antiqua" w:hAnsi="Times New Roman" w:cs="Times New Roman"/>
          <w:sz w:val="22"/>
          <w:szCs w:val="22"/>
        </w:rPr>
        <w:t>e</w:t>
      </w:r>
      <w:r w:rsidRPr="00CF5CA3">
        <w:rPr>
          <w:rFonts w:ascii="Times New Roman" w:eastAsia="Book Antiqua" w:hAnsi="Times New Roman" w:cs="Times New Roman"/>
          <w:sz w:val="22"/>
          <w:szCs w:val="22"/>
        </w:rPr>
        <w:t xml:space="preserve"> distortions in the EU internal market caused by foreign subsidies, thereby ensuring fair competition.</w:t>
      </w:r>
      <w:r w:rsidRPr="00CF5CA3">
        <w:rPr>
          <w:rFonts w:ascii="Times New Roman" w:eastAsia="Book Antiqua" w:hAnsi="Times New Roman" w:cs="Times New Roman"/>
          <w:sz w:val="22"/>
          <w:szCs w:val="22"/>
          <w:vertAlign w:val="superscript"/>
        </w:rPr>
        <w:footnoteReference w:id="18"/>
      </w:r>
      <w:r w:rsidRPr="00CF5CA3">
        <w:rPr>
          <w:rFonts w:ascii="Times New Roman" w:eastAsia="Book Antiqua" w:hAnsi="Times New Roman" w:cs="Times New Roman"/>
          <w:sz w:val="22"/>
          <w:szCs w:val="22"/>
        </w:rPr>
        <w:t xml:space="preserve"> </w:t>
      </w:r>
      <w:r w:rsidR="00BE2DC3" w:rsidRPr="00CF5CA3">
        <w:rPr>
          <w:rFonts w:ascii="Times New Roman" w:eastAsia="Book Antiqua" w:hAnsi="Times New Roman" w:cs="Times New Roman"/>
          <w:sz w:val="22"/>
          <w:szCs w:val="22"/>
        </w:rPr>
        <w:t xml:space="preserve">Limiting the attention here to public procurement, </w:t>
      </w:r>
      <w:r w:rsidR="00FB2148" w:rsidRPr="00CF5CA3">
        <w:rPr>
          <w:rFonts w:ascii="Times New Roman" w:eastAsia="Book Antiqua" w:hAnsi="Times New Roman" w:cs="Times New Roman"/>
          <w:sz w:val="22"/>
          <w:szCs w:val="22"/>
        </w:rPr>
        <w:t xml:space="preserve">Article 27, the focus of the legislative intervention </w:t>
      </w:r>
      <w:r w:rsidR="00B03391" w:rsidRPr="00CF5CA3">
        <w:rPr>
          <w:rFonts w:ascii="Times New Roman" w:eastAsia="Book Antiqua" w:hAnsi="Times New Roman" w:cs="Times New Roman"/>
          <w:sz w:val="22"/>
          <w:szCs w:val="22"/>
        </w:rPr>
        <w:t>is</w:t>
      </w:r>
      <w:r w:rsidR="00FB2148" w:rsidRPr="00CF5CA3">
        <w:rPr>
          <w:rFonts w:ascii="Times New Roman" w:eastAsia="Book Antiqua" w:hAnsi="Times New Roman" w:cs="Times New Roman"/>
          <w:sz w:val="22"/>
          <w:szCs w:val="22"/>
        </w:rPr>
        <w:t xml:space="preserve"> “Foreign subsidies that cause or risk causing a distortion in a public procurement procedure shall be understood as foreign subsidies that enable an economic operator to submit a tender that is unduly advantageous”.</w:t>
      </w:r>
      <w:r w:rsidR="00FB2148" w:rsidRPr="00CF5CA3">
        <w:rPr>
          <w:rStyle w:val="Rimandonotaapidipagina"/>
          <w:rFonts w:ascii="Times New Roman" w:eastAsia="Book Antiqua" w:hAnsi="Times New Roman" w:cs="Times New Roman"/>
          <w:sz w:val="22"/>
          <w:szCs w:val="22"/>
        </w:rPr>
        <w:footnoteReference w:id="19"/>
      </w:r>
      <w:r w:rsidR="00FB2148" w:rsidRPr="00CF5CA3">
        <w:rPr>
          <w:rFonts w:ascii="Times New Roman" w:eastAsia="Book Antiqua" w:hAnsi="Times New Roman" w:cs="Times New Roman"/>
          <w:sz w:val="22"/>
          <w:szCs w:val="22"/>
        </w:rPr>
        <w:t xml:space="preserve"> </w:t>
      </w:r>
      <w:r w:rsidR="006E345B" w:rsidRPr="00CF5CA3">
        <w:rPr>
          <w:rFonts w:ascii="Times New Roman" w:eastAsia="Book Antiqua" w:hAnsi="Times New Roman" w:cs="Times New Roman"/>
          <w:sz w:val="22"/>
          <w:szCs w:val="22"/>
        </w:rPr>
        <w:t>Two elements are relevant here, a distortion caused</w:t>
      </w:r>
      <w:r w:rsidR="00E03765" w:rsidRPr="00CF5CA3">
        <w:rPr>
          <w:rStyle w:val="Rimandocommento"/>
          <w:rFonts w:ascii="Times New Roman" w:hAnsi="Times New Roman" w:cs="Times New Roman"/>
          <w:sz w:val="22"/>
          <w:szCs w:val="22"/>
        </w:rPr>
        <w:t xml:space="preserve"> </w:t>
      </w:r>
      <w:r w:rsidR="006E345B" w:rsidRPr="00CF5CA3">
        <w:rPr>
          <w:rFonts w:ascii="Times New Roman" w:eastAsia="Book Antiqua" w:hAnsi="Times New Roman" w:cs="Times New Roman"/>
          <w:sz w:val="22"/>
          <w:szCs w:val="22"/>
        </w:rPr>
        <w:t xml:space="preserve">by the subsidy and an unduly advantageous tender. </w:t>
      </w:r>
      <w:proofErr w:type="spellStart"/>
      <w:r w:rsidR="006E345B" w:rsidRPr="00CF5CA3">
        <w:rPr>
          <w:rFonts w:ascii="Times New Roman" w:eastAsia="Book Antiqua" w:hAnsi="Times New Roman" w:cs="Times New Roman"/>
          <w:sz w:val="22"/>
          <w:szCs w:val="22"/>
        </w:rPr>
        <w:t>Gattinara</w:t>
      </w:r>
      <w:proofErr w:type="spellEnd"/>
      <w:r w:rsidR="006E345B" w:rsidRPr="00CF5CA3">
        <w:rPr>
          <w:rFonts w:ascii="Times New Roman" w:eastAsia="Book Antiqua" w:hAnsi="Times New Roman" w:cs="Times New Roman"/>
          <w:sz w:val="22"/>
          <w:szCs w:val="22"/>
        </w:rPr>
        <w:t xml:space="preserve"> and Ondrusek have shown how the notion and the treatment of the latter notion are inspired by the well-known public procurement rules on abnormally low tenders.</w:t>
      </w:r>
      <w:r w:rsidR="006E345B" w:rsidRPr="00CF5CA3">
        <w:rPr>
          <w:rStyle w:val="Rimandonotaapidipagina"/>
          <w:rFonts w:ascii="Times New Roman" w:eastAsia="Book Antiqua" w:hAnsi="Times New Roman" w:cs="Times New Roman"/>
          <w:sz w:val="22"/>
          <w:szCs w:val="22"/>
        </w:rPr>
        <w:footnoteReference w:id="20"/>
      </w:r>
    </w:p>
    <w:p w14:paraId="2F7D6BAA" w14:textId="6BA57846" w:rsidR="00F00F07"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lastRenderedPageBreak/>
        <w:t>Under Articles 28 and 29 of the FSR, when given thresholds referred to both the contract value (at least EUR 250 million) and to the subsidies received at group level (EUR 4 million) are met, economic operators participating in a public procurement procedure shall notify the contracting authority or entity of all foreign financial contributions meeting the above threshold. Otherwise, economic operators shall “list in a declaration all foreign financial contributions received and confirm that the foreign financial contributions received are not notifiable”.</w:t>
      </w:r>
      <w:r w:rsidRPr="00CF5CA3">
        <w:rPr>
          <w:rFonts w:ascii="Times New Roman" w:eastAsia="Book Antiqua" w:hAnsi="Times New Roman" w:cs="Times New Roman"/>
          <w:sz w:val="22"/>
          <w:szCs w:val="22"/>
          <w:vertAlign w:val="superscript"/>
        </w:rPr>
        <w:footnoteReference w:id="21"/>
      </w:r>
      <w:r w:rsidRPr="00CF5CA3">
        <w:rPr>
          <w:rFonts w:ascii="Times New Roman" w:eastAsia="Book Antiqua" w:hAnsi="Times New Roman" w:cs="Times New Roman"/>
          <w:sz w:val="22"/>
          <w:szCs w:val="22"/>
        </w:rPr>
        <w:t xml:space="preserve"> The notification or declaration is submitted to the Commission by the contracting authority or entity</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wh</w:t>
      </w:r>
      <w:r w:rsidR="00B03391" w:rsidRPr="00CF5CA3">
        <w:rPr>
          <w:rFonts w:ascii="Times New Roman" w:eastAsia="Book Antiqua" w:hAnsi="Times New Roman" w:cs="Times New Roman"/>
          <w:sz w:val="22"/>
          <w:szCs w:val="22"/>
        </w:rPr>
        <w:t>ich</w:t>
      </w:r>
      <w:r w:rsidRPr="00CF5CA3">
        <w:rPr>
          <w:rFonts w:ascii="Times New Roman" w:eastAsia="Book Antiqua" w:hAnsi="Times New Roman" w:cs="Times New Roman"/>
          <w:sz w:val="22"/>
          <w:szCs w:val="22"/>
        </w:rPr>
        <w:t xml:space="preserve"> must also communicate their suspicions in case they think the information submitted to them is not trustworthy. Under Article 30(2) and (3), the Commission is tasked with carrying out a preliminary review no later than 20 working days after it receives a complete notification. In case it decides to initiate an in-depth investigation, it shall inform the economic operator concerned and the contracting authority or the contracting entity without delay.</w:t>
      </w:r>
      <w:r w:rsidR="0060081B" w:rsidRPr="00CF5CA3">
        <w:rPr>
          <w:rFonts w:ascii="Times New Roman" w:eastAsia="Book Antiqua" w:hAnsi="Times New Roman" w:cs="Times New Roman"/>
          <w:sz w:val="22"/>
          <w:szCs w:val="22"/>
          <w:vertAlign w:val="superscript"/>
        </w:rPr>
        <w:footnoteReference w:id="22"/>
      </w:r>
      <w:r w:rsidRPr="00CF5CA3">
        <w:rPr>
          <w:rFonts w:ascii="Times New Roman" w:eastAsia="Book Antiqua" w:hAnsi="Times New Roman" w:cs="Times New Roman"/>
          <w:sz w:val="22"/>
          <w:szCs w:val="22"/>
        </w:rPr>
        <w:t xml:space="preserve"> </w:t>
      </w:r>
      <w:r w:rsidR="00F00F07" w:rsidRPr="00CF5CA3">
        <w:rPr>
          <w:rFonts w:ascii="Times New Roman" w:eastAsia="Book Antiqua" w:hAnsi="Times New Roman" w:cs="Times New Roman"/>
          <w:sz w:val="22"/>
          <w:szCs w:val="22"/>
        </w:rPr>
        <w:t xml:space="preserve">Under Articles 9 and 29(8), the Commission can also start an investigation </w:t>
      </w:r>
      <w:r w:rsidR="00F00F07" w:rsidRPr="00CF5CA3">
        <w:rPr>
          <w:rFonts w:ascii="Times New Roman" w:eastAsia="Book Antiqua" w:hAnsi="Times New Roman" w:cs="Times New Roman"/>
          <w:i/>
          <w:sz w:val="22"/>
          <w:szCs w:val="22"/>
        </w:rPr>
        <w:t>ex officio</w:t>
      </w:r>
      <w:r w:rsidR="00F00F07" w:rsidRPr="00CF5CA3">
        <w:rPr>
          <w:rFonts w:ascii="Times New Roman" w:eastAsia="Book Antiqua" w:hAnsi="Times New Roman" w:cs="Times New Roman"/>
          <w:sz w:val="22"/>
          <w:szCs w:val="22"/>
        </w:rPr>
        <w:t>, but only with reference to concluded contracts.</w:t>
      </w:r>
      <w:r w:rsidR="00F66B3B" w:rsidRPr="00CF5CA3">
        <w:rPr>
          <w:rStyle w:val="Rimandonotaapidipagina"/>
          <w:rFonts w:ascii="Times New Roman" w:eastAsia="Book Antiqua" w:hAnsi="Times New Roman" w:cs="Times New Roman"/>
          <w:sz w:val="22"/>
          <w:szCs w:val="22"/>
        </w:rPr>
        <w:footnoteReference w:id="23"/>
      </w:r>
    </w:p>
    <w:p w14:paraId="00000019" w14:textId="4A02809E" w:rsidR="00706BDF"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In case the Commission finds that the subsidies received have negatively distorted the competition on the public contracts market, the concerned economic operator has the possibility to offer commitments “appropriate and sufficient to fully and effectively remedy the distortion” (Article 11 and 31). Otherwise, the Commission shall adopt an implementing act in the form of a decision prohibiting the award of the contract to the economic operator concerned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decision prohibiting the award of the contract</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w:t>
      </w:r>
      <w:r w:rsidR="00046EE4" w:rsidRPr="00CF5CA3">
        <w:rPr>
          <w:rStyle w:val="Rimandonotaapidipagina"/>
          <w:rFonts w:ascii="Times New Roman" w:eastAsia="Book Antiqua" w:hAnsi="Times New Roman" w:cs="Times New Roman"/>
          <w:sz w:val="22"/>
          <w:szCs w:val="22"/>
        </w:rPr>
        <w:footnoteReference w:id="24"/>
      </w:r>
    </w:p>
    <w:p w14:paraId="7423821C" w14:textId="3ADF34D9" w:rsidR="00BB72A0"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An implemented regulation has been adopted</w:t>
      </w:r>
      <w:r w:rsidRPr="00CF5CA3">
        <w:rPr>
          <w:rFonts w:ascii="Times New Roman" w:eastAsia="Book Antiqua" w:hAnsi="Times New Roman" w:cs="Times New Roman"/>
          <w:sz w:val="22"/>
          <w:szCs w:val="22"/>
          <w:vertAlign w:val="superscript"/>
        </w:rPr>
        <w:footnoteReference w:id="25"/>
      </w:r>
      <w:r w:rsidR="00E03765"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and the Commission has launched a consultation to start working towards guidelines for the application of the FSR.</w:t>
      </w:r>
      <w:r w:rsidRPr="00CF5CA3">
        <w:rPr>
          <w:rFonts w:ascii="Times New Roman" w:eastAsia="Book Antiqua" w:hAnsi="Times New Roman" w:cs="Times New Roman"/>
          <w:sz w:val="22"/>
          <w:szCs w:val="22"/>
          <w:vertAlign w:val="superscript"/>
        </w:rPr>
        <w:footnoteReference w:id="26"/>
      </w:r>
      <w:r w:rsidRPr="00CF5CA3">
        <w:rPr>
          <w:rFonts w:ascii="Times New Roman" w:eastAsia="Book Antiqua" w:hAnsi="Times New Roman" w:cs="Times New Roman"/>
          <w:sz w:val="22"/>
          <w:szCs w:val="22"/>
        </w:rPr>
        <w:t xml:space="preserve"> So far, the Commission has received notification concerning more than 300 </w:t>
      </w:r>
      <w:r w:rsidR="003D3C4A" w:rsidRPr="00CF5CA3">
        <w:rPr>
          <w:rFonts w:ascii="Times New Roman" w:eastAsia="Book Antiqua" w:hAnsi="Times New Roman" w:cs="Times New Roman"/>
          <w:sz w:val="22"/>
          <w:szCs w:val="22"/>
        </w:rPr>
        <w:t xml:space="preserve">public </w:t>
      </w:r>
      <w:r w:rsidRPr="00CF5CA3">
        <w:rPr>
          <w:rFonts w:ascii="Times New Roman" w:eastAsia="Book Antiqua" w:hAnsi="Times New Roman" w:cs="Times New Roman"/>
          <w:sz w:val="22"/>
          <w:szCs w:val="22"/>
        </w:rPr>
        <w:t xml:space="preserve">procurement procedures and opened </w:t>
      </w:r>
      <w:r w:rsidR="00BE2DC3" w:rsidRPr="00CF5CA3">
        <w:rPr>
          <w:rFonts w:ascii="Times New Roman" w:eastAsia="Book Antiqua" w:hAnsi="Times New Roman" w:cs="Times New Roman"/>
          <w:sz w:val="22"/>
          <w:szCs w:val="22"/>
        </w:rPr>
        <w:t xml:space="preserve">three </w:t>
      </w:r>
      <w:r w:rsidRPr="00CF5CA3">
        <w:rPr>
          <w:rFonts w:ascii="Times New Roman" w:eastAsia="Book Antiqua" w:hAnsi="Times New Roman" w:cs="Times New Roman"/>
          <w:sz w:val="22"/>
          <w:szCs w:val="22"/>
        </w:rPr>
        <w:t>in-depth investigations</w:t>
      </w:r>
      <w:r w:rsidR="002947AF" w:rsidRPr="00CF5CA3">
        <w:rPr>
          <w:rFonts w:ascii="Times New Roman" w:eastAsia="Book Antiqua" w:hAnsi="Times New Roman" w:cs="Times New Roman"/>
          <w:sz w:val="22"/>
          <w:szCs w:val="22"/>
        </w:rPr>
        <w:t>, one</w:t>
      </w:r>
      <w:r w:rsidRPr="00CF5CA3">
        <w:rPr>
          <w:rFonts w:ascii="Times New Roman" w:eastAsia="Book Antiqua" w:hAnsi="Times New Roman" w:cs="Times New Roman"/>
          <w:sz w:val="22"/>
          <w:szCs w:val="22"/>
        </w:rPr>
        <w:t xml:space="preserve"> concerning procurements</w:t>
      </w:r>
      <w:r w:rsidR="00BE2DC3" w:rsidRPr="00CF5CA3">
        <w:rPr>
          <w:rFonts w:ascii="Times New Roman" w:eastAsia="Book Antiqua" w:hAnsi="Times New Roman" w:cs="Times New Roman"/>
          <w:sz w:val="22"/>
          <w:szCs w:val="22"/>
        </w:rPr>
        <w:t xml:space="preserve"> for trains in Bulgaria and involving CRRC Qingdao Sifang Locomotive Co.</w:t>
      </w:r>
      <w:r w:rsidR="00F13E15" w:rsidRPr="00CF5CA3">
        <w:rPr>
          <w:rFonts w:ascii="Times New Roman" w:eastAsia="Book Antiqua" w:hAnsi="Times New Roman" w:cs="Times New Roman"/>
          <w:sz w:val="22"/>
          <w:szCs w:val="22"/>
        </w:rPr>
        <w:t>,</w:t>
      </w:r>
      <w:r w:rsidR="00C54615" w:rsidRPr="00CF5CA3">
        <w:rPr>
          <w:rStyle w:val="Rimandonotaapidipagina"/>
          <w:rFonts w:ascii="Times New Roman" w:eastAsia="Book Antiqua" w:hAnsi="Times New Roman" w:cs="Times New Roman"/>
          <w:sz w:val="22"/>
          <w:szCs w:val="22"/>
        </w:rPr>
        <w:footnoteReference w:id="27"/>
      </w:r>
      <w:r w:rsidR="00F13E15" w:rsidRPr="00CF5CA3">
        <w:rPr>
          <w:rFonts w:ascii="Times New Roman" w:eastAsia="Book Antiqua" w:hAnsi="Times New Roman" w:cs="Times New Roman"/>
          <w:sz w:val="22"/>
          <w:szCs w:val="22"/>
        </w:rPr>
        <w:t xml:space="preserve"> </w:t>
      </w:r>
      <w:r w:rsidR="002947AF" w:rsidRPr="00CF5CA3">
        <w:rPr>
          <w:rFonts w:ascii="Times New Roman" w:eastAsia="Book Antiqua" w:hAnsi="Times New Roman" w:cs="Times New Roman"/>
          <w:sz w:val="22"/>
          <w:szCs w:val="22"/>
        </w:rPr>
        <w:t xml:space="preserve">and two others concerning </w:t>
      </w:r>
      <w:r w:rsidR="00726125" w:rsidRPr="00CF5CA3">
        <w:rPr>
          <w:rFonts w:ascii="Times New Roman" w:eastAsia="Book Antiqua" w:hAnsi="Times New Roman" w:cs="Times New Roman"/>
          <w:sz w:val="22"/>
          <w:szCs w:val="22"/>
        </w:rPr>
        <w:t>the design, construction and operation of a photovoltaic park in Romania</w:t>
      </w:r>
      <w:r w:rsidR="002947AF" w:rsidRPr="00CF5CA3">
        <w:rPr>
          <w:rStyle w:val="Rimandonotaapidipagina"/>
          <w:rFonts w:ascii="Times New Roman" w:eastAsia="Book Antiqua" w:hAnsi="Times New Roman" w:cs="Times New Roman"/>
          <w:sz w:val="22"/>
          <w:szCs w:val="22"/>
        </w:rPr>
        <w:footnoteReference w:id="28"/>
      </w:r>
      <w:r w:rsidRPr="00CF5CA3">
        <w:rPr>
          <w:rFonts w:ascii="Times New Roman" w:eastAsia="Book Antiqua" w:hAnsi="Times New Roman" w:cs="Times New Roman"/>
          <w:sz w:val="22"/>
          <w:szCs w:val="22"/>
        </w:rPr>
        <w:t xml:space="preserve">. </w:t>
      </w:r>
      <w:r w:rsidR="00EF54B9" w:rsidRPr="00CF5CA3">
        <w:rPr>
          <w:rFonts w:ascii="Times New Roman" w:eastAsia="Book Antiqua" w:hAnsi="Times New Roman" w:cs="Times New Roman"/>
          <w:sz w:val="22"/>
          <w:szCs w:val="22"/>
        </w:rPr>
        <w:t xml:space="preserve">In all cases, the tenders were withdrawn after the launch of the preliminary investigations. </w:t>
      </w:r>
      <w:r w:rsidR="00BB72A0" w:rsidRPr="00CF5CA3">
        <w:rPr>
          <w:rFonts w:ascii="Times New Roman" w:eastAsia="Book Antiqua" w:hAnsi="Times New Roman" w:cs="Times New Roman"/>
          <w:sz w:val="22"/>
          <w:szCs w:val="22"/>
        </w:rPr>
        <w:t xml:space="preserve">Two </w:t>
      </w:r>
      <w:r w:rsidR="00BB72A0" w:rsidRPr="00CF5CA3">
        <w:rPr>
          <w:rFonts w:ascii="Times New Roman" w:eastAsia="Book Antiqua" w:hAnsi="Times New Roman" w:cs="Times New Roman"/>
          <w:i/>
          <w:iCs/>
          <w:sz w:val="22"/>
          <w:szCs w:val="22"/>
        </w:rPr>
        <w:t>ex officio</w:t>
      </w:r>
      <w:r w:rsidR="00BB72A0" w:rsidRPr="00CF5CA3">
        <w:rPr>
          <w:rFonts w:ascii="Times New Roman" w:eastAsia="Book Antiqua" w:hAnsi="Times New Roman" w:cs="Times New Roman"/>
          <w:sz w:val="22"/>
          <w:szCs w:val="22"/>
        </w:rPr>
        <w:t xml:space="preserve"> investigations are currently pending, concerning wind turbines and security </w:t>
      </w:r>
      <w:r w:rsidR="00EF54B9" w:rsidRPr="00CF5CA3">
        <w:rPr>
          <w:rFonts w:ascii="Times New Roman" w:eastAsia="Book Antiqua" w:hAnsi="Times New Roman" w:cs="Times New Roman"/>
          <w:sz w:val="22"/>
          <w:szCs w:val="22"/>
        </w:rPr>
        <w:t>equipment</w:t>
      </w:r>
      <w:r w:rsidR="00BB72A0" w:rsidRPr="00CF5CA3">
        <w:rPr>
          <w:rFonts w:ascii="Times New Roman" w:eastAsia="Book Antiqua" w:hAnsi="Times New Roman" w:cs="Times New Roman"/>
          <w:sz w:val="22"/>
          <w:szCs w:val="22"/>
        </w:rPr>
        <w:t>.</w:t>
      </w:r>
      <w:r w:rsidR="00BB72A0" w:rsidRPr="00CF5CA3">
        <w:rPr>
          <w:rStyle w:val="Rimandonotaapidipagina"/>
          <w:rFonts w:ascii="Times New Roman" w:eastAsia="Book Antiqua" w:hAnsi="Times New Roman" w:cs="Times New Roman"/>
          <w:sz w:val="22"/>
          <w:szCs w:val="22"/>
        </w:rPr>
        <w:footnoteReference w:id="29"/>
      </w:r>
    </w:p>
    <w:p w14:paraId="0000001A" w14:textId="2830C3D3" w:rsidR="00706BDF" w:rsidRPr="00CF5CA3" w:rsidRDefault="00E14AB9"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While a very small percentage of the notification</w:t>
      </w:r>
      <w:r w:rsidR="00EF54B9" w:rsidRPr="00CF5CA3">
        <w:rPr>
          <w:rFonts w:ascii="Times New Roman" w:eastAsia="Book Antiqua" w:hAnsi="Times New Roman" w:cs="Times New Roman"/>
          <w:sz w:val="22"/>
          <w:szCs w:val="22"/>
        </w:rPr>
        <w:t>s</w:t>
      </w:r>
      <w:r w:rsidRPr="00CF5CA3">
        <w:rPr>
          <w:rFonts w:ascii="Times New Roman" w:eastAsia="Book Antiqua" w:hAnsi="Times New Roman" w:cs="Times New Roman"/>
          <w:sz w:val="22"/>
          <w:szCs w:val="22"/>
        </w:rPr>
        <w:t xml:space="preserve"> are actually leading to in-depth investigations, </w:t>
      </w:r>
      <w:r w:rsidR="00EF54B9" w:rsidRPr="00CF5CA3">
        <w:rPr>
          <w:rFonts w:ascii="Times New Roman" w:eastAsia="Book Antiqua" w:hAnsi="Times New Roman" w:cs="Times New Roman"/>
          <w:sz w:val="22"/>
          <w:szCs w:val="22"/>
        </w:rPr>
        <w:t xml:space="preserve">the Commission is clearly focusing on some strategic technology and this is confirmed by </w:t>
      </w:r>
      <w:r w:rsidR="00EF54B9" w:rsidRPr="00CF5CA3">
        <w:rPr>
          <w:rFonts w:ascii="Times New Roman" w:eastAsia="Book Antiqua" w:hAnsi="Times New Roman" w:cs="Times New Roman"/>
          <w:i/>
          <w:iCs/>
          <w:sz w:val="22"/>
          <w:szCs w:val="22"/>
        </w:rPr>
        <w:t>ex officio</w:t>
      </w:r>
      <w:r w:rsidR="00EF54B9" w:rsidRPr="00CF5CA3">
        <w:rPr>
          <w:rFonts w:ascii="Times New Roman" w:eastAsia="Book Antiqua" w:hAnsi="Times New Roman" w:cs="Times New Roman"/>
          <w:sz w:val="22"/>
          <w:szCs w:val="22"/>
        </w:rPr>
        <w:t xml:space="preserve"> investigations. The withdrawal of </w:t>
      </w:r>
      <w:r w:rsidR="004E35B2" w:rsidRPr="00CF5CA3">
        <w:rPr>
          <w:rFonts w:ascii="Times New Roman" w:eastAsia="Book Antiqua" w:hAnsi="Times New Roman" w:cs="Times New Roman"/>
          <w:sz w:val="22"/>
          <w:szCs w:val="22"/>
        </w:rPr>
        <w:t xml:space="preserve">all </w:t>
      </w:r>
      <w:r w:rsidR="00EF54B9" w:rsidRPr="00CF5CA3">
        <w:rPr>
          <w:rFonts w:ascii="Times New Roman" w:eastAsia="Book Antiqua" w:hAnsi="Times New Roman" w:cs="Times New Roman"/>
          <w:sz w:val="22"/>
          <w:szCs w:val="22"/>
        </w:rPr>
        <w:t>tenderers suspected of having received subsidies is clearly signalling an impact of the FSR on public procurements across (especially Eastern) Europe.</w:t>
      </w:r>
    </w:p>
    <w:p w14:paraId="27329106" w14:textId="76175C57" w:rsidR="00A86502" w:rsidRPr="00CF5CA3" w:rsidRDefault="003E5722">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lastRenderedPageBreak/>
        <w:t xml:space="preserve">Finally, the Commission </w:t>
      </w:r>
      <w:r w:rsidR="009B30C1">
        <w:rPr>
          <w:rFonts w:ascii="Times New Roman" w:eastAsia="Book Antiqua" w:hAnsi="Times New Roman" w:cs="Times New Roman"/>
          <w:sz w:val="22"/>
          <w:szCs w:val="22"/>
        </w:rPr>
        <w:t xml:space="preserve">has opened a consultation on </w:t>
      </w:r>
      <w:r w:rsidRPr="00CF5CA3">
        <w:rPr>
          <w:rFonts w:ascii="Times New Roman" w:eastAsia="Book Antiqua" w:hAnsi="Times New Roman" w:cs="Times New Roman"/>
          <w:sz w:val="22"/>
          <w:szCs w:val="22"/>
        </w:rPr>
        <w:t>a possible revision of the FSR as foreseen under Article 52(2).</w:t>
      </w:r>
      <w:r w:rsidR="009B30C1">
        <w:rPr>
          <w:rStyle w:val="Rimandonotaapidipagina"/>
          <w:rFonts w:ascii="Times New Roman" w:eastAsia="Book Antiqua" w:hAnsi="Times New Roman" w:cs="Times New Roman"/>
          <w:sz w:val="22"/>
          <w:szCs w:val="22"/>
        </w:rPr>
        <w:footnoteReference w:id="30"/>
      </w:r>
    </w:p>
    <w:p w14:paraId="0000001D" w14:textId="41279958" w:rsidR="00706BDF" w:rsidRPr="00CF5CA3" w:rsidRDefault="001F7452">
      <w:pPr>
        <w:jc w:val="both"/>
        <w:rPr>
          <w:rFonts w:ascii="Times New Roman" w:eastAsia="Book Antiqua" w:hAnsi="Times New Roman" w:cs="Times New Roman"/>
          <w:i/>
          <w:iCs/>
          <w:sz w:val="22"/>
          <w:szCs w:val="22"/>
        </w:rPr>
      </w:pPr>
      <w:r w:rsidRPr="00CF5CA3">
        <w:rPr>
          <w:rFonts w:ascii="Times New Roman" w:eastAsia="Book Antiqua" w:hAnsi="Times New Roman" w:cs="Times New Roman"/>
          <w:i/>
          <w:iCs/>
          <w:sz w:val="22"/>
          <w:szCs w:val="22"/>
        </w:rPr>
        <w:t>3. The NZIA and the concern for resilience</w:t>
      </w:r>
    </w:p>
    <w:p w14:paraId="00000022" w14:textId="2D27B7FD" w:rsidR="00706BDF" w:rsidRPr="00CF5CA3" w:rsidRDefault="001F7452" w:rsidP="00DF6C56">
      <w:pPr>
        <w:spacing w:after="240"/>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 xml:space="preserve">The NZIA was announced in the Commission Communication on </w:t>
      </w:r>
      <w:r w:rsidRPr="00CF5CA3">
        <w:rPr>
          <w:rFonts w:ascii="Times New Roman" w:eastAsia="Book Antiqua" w:hAnsi="Times New Roman" w:cs="Times New Roman"/>
          <w:i/>
          <w:sz w:val="22"/>
          <w:szCs w:val="22"/>
          <w:highlight w:val="white"/>
        </w:rPr>
        <w:t>A Green Deal Industrial Plan for the Net-Zero Age</w:t>
      </w:r>
      <w:r w:rsidRPr="00CF5CA3">
        <w:rPr>
          <w:rFonts w:ascii="Times New Roman" w:eastAsia="Book Antiqua" w:hAnsi="Times New Roman" w:cs="Times New Roman"/>
          <w:sz w:val="22"/>
          <w:szCs w:val="22"/>
          <w:highlight w:val="white"/>
          <w:vertAlign w:val="superscript"/>
        </w:rPr>
        <w:footnoteReference w:id="31"/>
      </w:r>
      <w:r w:rsidRPr="00CF5CA3">
        <w:rPr>
          <w:rFonts w:ascii="Times New Roman" w:eastAsia="Book Antiqua" w:hAnsi="Times New Roman" w:cs="Times New Roman"/>
          <w:sz w:val="22"/>
          <w:szCs w:val="22"/>
          <w:highlight w:val="white"/>
        </w:rPr>
        <w:t xml:space="preserve"> </w:t>
      </w:r>
      <w:r w:rsidR="00B03391" w:rsidRPr="00CF5CA3">
        <w:rPr>
          <w:rFonts w:ascii="Times New Roman" w:eastAsia="Book Antiqua" w:hAnsi="Times New Roman" w:cs="Times New Roman"/>
          <w:sz w:val="22"/>
          <w:szCs w:val="22"/>
          <w:highlight w:val="white"/>
        </w:rPr>
        <w:t>in</w:t>
      </w:r>
      <w:r w:rsidRPr="00CF5CA3">
        <w:rPr>
          <w:rFonts w:ascii="Times New Roman" w:eastAsia="Book Antiqua" w:hAnsi="Times New Roman" w:cs="Times New Roman"/>
          <w:sz w:val="22"/>
          <w:szCs w:val="22"/>
          <w:highlight w:val="white"/>
        </w:rPr>
        <w:t xml:space="preserve"> early 2023 and was rapidly adopted.</w:t>
      </w:r>
      <w:r w:rsidRPr="00CF5CA3">
        <w:rPr>
          <w:rFonts w:ascii="Times New Roman" w:eastAsia="Book Antiqua" w:hAnsi="Times New Roman" w:cs="Times New Roman"/>
          <w:sz w:val="22"/>
          <w:szCs w:val="22"/>
          <w:highlight w:val="white"/>
          <w:vertAlign w:val="superscript"/>
        </w:rPr>
        <w:footnoteReference w:id="32"/>
      </w:r>
      <w:r w:rsidRPr="00CF5CA3">
        <w:rPr>
          <w:rFonts w:ascii="Times New Roman" w:eastAsia="Book Antiqua" w:hAnsi="Times New Roman" w:cs="Times New Roman"/>
          <w:b/>
          <w:color w:val="333333"/>
          <w:sz w:val="22"/>
          <w:szCs w:val="22"/>
          <w:highlight w:val="white"/>
        </w:rPr>
        <w:t xml:space="preserve"> </w:t>
      </w:r>
      <w:r w:rsidRPr="00CF5CA3">
        <w:rPr>
          <w:rFonts w:ascii="Times New Roman" w:eastAsia="Book Antiqua" w:hAnsi="Times New Roman" w:cs="Times New Roman"/>
          <w:sz w:val="22"/>
          <w:szCs w:val="22"/>
        </w:rPr>
        <w:t xml:space="preserve">The NZIA is interesting here under two related aspects. First, the NZIA makes the resilience of the EU economy a central concern in </w:t>
      </w:r>
      <w:r w:rsidR="003D3C4A" w:rsidRPr="00CF5CA3">
        <w:rPr>
          <w:rFonts w:ascii="Times New Roman" w:eastAsia="Book Antiqua" w:hAnsi="Times New Roman" w:cs="Times New Roman"/>
          <w:sz w:val="22"/>
          <w:szCs w:val="22"/>
        </w:rPr>
        <w:t xml:space="preserve">public </w:t>
      </w:r>
      <w:r w:rsidRPr="00CF5CA3">
        <w:rPr>
          <w:rFonts w:ascii="Times New Roman" w:eastAsia="Book Antiqua" w:hAnsi="Times New Roman" w:cs="Times New Roman"/>
          <w:sz w:val="22"/>
          <w:szCs w:val="22"/>
        </w:rPr>
        <w:t xml:space="preserve">procurement law. Secondly, it introduces specific additional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adjustments</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compared to the FSR to buttress - or to allow the reconstruction of - EU industry by limiting the competitive advantages enjoyed by economic operators hailing from third countries</w:t>
      </w:r>
      <w:r w:rsidR="00DF6C56" w:rsidRPr="00CF5CA3">
        <w:rPr>
          <w:rFonts w:ascii="Times New Roman" w:eastAsia="Book Antiqua" w:hAnsi="Times New Roman" w:cs="Times New Roman"/>
          <w:sz w:val="22"/>
          <w:szCs w:val="22"/>
        </w:rPr>
        <w:t xml:space="preserve"> without the need to establish the existence and effects of possible subsidies</w:t>
      </w:r>
      <w:r w:rsidRPr="00CF5CA3">
        <w:rPr>
          <w:rFonts w:ascii="Times New Roman" w:eastAsia="Book Antiqua" w:hAnsi="Times New Roman" w:cs="Times New Roman"/>
          <w:sz w:val="22"/>
          <w:szCs w:val="22"/>
        </w:rPr>
        <w:t>.</w:t>
      </w:r>
      <w:r w:rsidR="00DF6C56" w:rsidRPr="00CF5CA3">
        <w:rPr>
          <w:rFonts w:ascii="Times New Roman" w:eastAsia="Book Antiqua" w:hAnsi="Times New Roman" w:cs="Times New Roman"/>
          <w:sz w:val="22"/>
          <w:szCs w:val="22"/>
        </w:rPr>
        <w:t xml:space="preserve"> </w:t>
      </w:r>
      <w:r w:rsidRPr="00CF5CA3">
        <w:rPr>
          <w:rFonts w:ascii="Times New Roman" w:eastAsia="Book Antiqua" w:hAnsi="Times New Roman" w:cs="Times New Roman"/>
          <w:sz w:val="22"/>
          <w:szCs w:val="22"/>
        </w:rPr>
        <w:t>The green transition required to meet the ambitious climate goals of the EU needs a reliable supply of those technologies covered under the NZIA and listed in its Annex (</w:t>
      </w:r>
      <w:proofErr w:type="spellStart"/>
      <w:r w:rsidRPr="00CF5CA3">
        <w:rPr>
          <w:rFonts w:ascii="Times New Roman" w:eastAsia="Book Antiqua" w:hAnsi="Times New Roman" w:cs="Times New Roman"/>
          <w:sz w:val="22"/>
          <w:szCs w:val="22"/>
        </w:rPr>
        <w:t>eg</w:t>
      </w:r>
      <w:proofErr w:type="spellEnd"/>
      <w:r w:rsidRPr="00CF5CA3">
        <w:rPr>
          <w:rFonts w:ascii="Times New Roman" w:eastAsia="Book Antiqua" w:hAnsi="Times New Roman" w:cs="Times New Roman"/>
          <w:sz w:val="22"/>
          <w:szCs w:val="22"/>
        </w:rPr>
        <w:t xml:space="preserve"> Solar thermal and Wind technologies).</w:t>
      </w:r>
      <w:r w:rsidRPr="00CF5CA3">
        <w:rPr>
          <w:rFonts w:ascii="Times New Roman" w:eastAsia="Book Antiqua" w:hAnsi="Times New Roman" w:cs="Times New Roman"/>
          <w:sz w:val="22"/>
          <w:szCs w:val="22"/>
          <w:vertAlign w:val="superscript"/>
        </w:rPr>
        <w:footnoteReference w:id="33"/>
      </w:r>
      <w:r w:rsidRPr="00CF5CA3">
        <w:rPr>
          <w:rFonts w:ascii="Times New Roman" w:eastAsia="Book Antiqua" w:hAnsi="Times New Roman" w:cs="Times New Roman"/>
          <w:sz w:val="22"/>
          <w:szCs w:val="22"/>
        </w:rPr>
        <w:t xml:space="preserve"> </w:t>
      </w:r>
    </w:p>
    <w:p w14:paraId="00000023" w14:textId="2AD28B40" w:rsidR="00706BDF" w:rsidRPr="00CF5CA3" w:rsidRDefault="001F7452" w:rsidP="00B03391">
      <w:pPr>
        <w:spacing w:after="240"/>
        <w:jc w:val="both"/>
        <w:rPr>
          <w:rFonts w:ascii="Times New Roman" w:eastAsia="Book Antiqua" w:hAnsi="Times New Roman" w:cs="Times New Roman"/>
          <w:sz w:val="22"/>
          <w:szCs w:val="22"/>
          <w:highlight w:val="white"/>
        </w:rPr>
      </w:pPr>
      <w:r w:rsidRPr="00CF5CA3">
        <w:rPr>
          <w:rFonts w:ascii="Times New Roman" w:eastAsia="Book Antiqua" w:hAnsi="Times New Roman" w:cs="Times New Roman"/>
          <w:sz w:val="22"/>
          <w:szCs w:val="22"/>
        </w:rPr>
        <w:t xml:space="preserve">Public procurement has a role to play. </w:t>
      </w:r>
      <w:r w:rsidRPr="00CF5CA3">
        <w:rPr>
          <w:rFonts w:ascii="Times New Roman" w:eastAsia="Book Antiqua" w:hAnsi="Times New Roman" w:cs="Times New Roman"/>
          <w:sz w:val="22"/>
          <w:szCs w:val="22"/>
          <w:highlight w:val="white"/>
        </w:rPr>
        <w:t>Article 25 NZIA is dedicated to “Sustainability and resilience contribution in public procurement procedures”.</w:t>
      </w:r>
      <w:r w:rsidRPr="00CF5CA3">
        <w:rPr>
          <w:rFonts w:ascii="Times New Roman" w:eastAsia="Book Antiqua" w:hAnsi="Times New Roman" w:cs="Times New Roman"/>
          <w:sz w:val="22"/>
          <w:szCs w:val="22"/>
          <w:highlight w:val="white"/>
          <w:vertAlign w:val="superscript"/>
        </w:rPr>
        <w:footnoteReference w:id="34"/>
      </w:r>
      <w:r w:rsidRPr="00CF5CA3">
        <w:rPr>
          <w:rFonts w:ascii="Times New Roman" w:eastAsia="Book Antiqua" w:hAnsi="Times New Roman" w:cs="Times New Roman"/>
          <w:sz w:val="22"/>
          <w:szCs w:val="22"/>
          <w:highlight w:val="white"/>
        </w:rPr>
        <w:t xml:space="preserve"> Focusing here on resilience, under Article 25(7)</w:t>
      </w:r>
      <w:r w:rsidR="00B03391" w:rsidRPr="00CF5CA3">
        <w:rPr>
          <w:rFonts w:ascii="Times New Roman" w:eastAsia="Book Antiqua" w:hAnsi="Times New Roman" w:cs="Times New Roman"/>
          <w:sz w:val="22"/>
          <w:szCs w:val="22"/>
          <w:highlight w:val="white"/>
        </w:rPr>
        <w:t>,</w:t>
      </w:r>
      <w:r w:rsidRPr="00CF5CA3">
        <w:rPr>
          <w:rFonts w:ascii="Times New Roman" w:eastAsia="Book Antiqua" w:hAnsi="Times New Roman" w:cs="Times New Roman"/>
          <w:sz w:val="22"/>
          <w:szCs w:val="22"/>
          <w:highlight w:val="white"/>
        </w:rPr>
        <w:t xml:space="preserve"> contracting authorities and entities acquiring covered technologies must </w:t>
      </w:r>
      <w:proofErr w:type="gramStart"/>
      <w:r w:rsidRPr="00CF5CA3">
        <w:rPr>
          <w:rFonts w:ascii="Times New Roman" w:eastAsia="Book Antiqua" w:hAnsi="Times New Roman" w:cs="Times New Roman"/>
          <w:sz w:val="22"/>
          <w:szCs w:val="22"/>
          <w:highlight w:val="white"/>
        </w:rPr>
        <w:t>take into account</w:t>
      </w:r>
      <w:proofErr w:type="gramEnd"/>
      <w:r w:rsidRPr="00CF5CA3">
        <w:rPr>
          <w:rFonts w:ascii="Times New Roman" w:eastAsia="Book Antiqua" w:hAnsi="Times New Roman" w:cs="Times New Roman"/>
          <w:sz w:val="22"/>
          <w:szCs w:val="22"/>
          <w:highlight w:val="white"/>
        </w:rPr>
        <w:t xml:space="preserve"> “tender’s resilience contribution” when contracts or framework agreements are covered under one of the </w:t>
      </w:r>
      <w:proofErr w:type="gramStart"/>
      <w:r w:rsidR="00423740" w:rsidRPr="00CF5CA3">
        <w:rPr>
          <w:rFonts w:ascii="Times New Roman" w:eastAsia="Book Antiqua" w:hAnsi="Times New Roman" w:cs="Times New Roman"/>
          <w:sz w:val="22"/>
          <w:szCs w:val="22"/>
          <w:highlight w:val="white"/>
        </w:rPr>
        <w:t>Public</w:t>
      </w:r>
      <w:proofErr w:type="gramEnd"/>
      <w:r w:rsidR="00423740" w:rsidRPr="00CF5CA3">
        <w:rPr>
          <w:rFonts w:ascii="Times New Roman" w:eastAsia="Book Antiqua" w:hAnsi="Times New Roman" w:cs="Times New Roman"/>
          <w:sz w:val="22"/>
          <w:szCs w:val="22"/>
          <w:highlight w:val="white"/>
        </w:rPr>
        <w:t xml:space="preserve"> procurement </w:t>
      </w:r>
      <w:r w:rsidRPr="00CF5CA3">
        <w:rPr>
          <w:rFonts w:ascii="Times New Roman" w:eastAsia="Book Antiqua" w:hAnsi="Times New Roman" w:cs="Times New Roman"/>
          <w:sz w:val="22"/>
          <w:szCs w:val="22"/>
          <w:highlight w:val="white"/>
        </w:rPr>
        <w:t xml:space="preserve">directives. More specifically, if the Commission has established that </w:t>
      </w:r>
      <w:r w:rsidR="00997E81" w:rsidRPr="00CF5CA3">
        <w:rPr>
          <w:rFonts w:ascii="Times New Roman" w:eastAsia="Book Antiqua" w:hAnsi="Times New Roman" w:cs="Times New Roman"/>
          <w:sz w:val="22"/>
          <w:szCs w:val="22"/>
          <w:highlight w:val="white"/>
        </w:rPr>
        <w:t>a huge</w:t>
      </w:r>
      <w:r w:rsidRPr="00CF5CA3">
        <w:rPr>
          <w:rFonts w:ascii="Times New Roman" w:eastAsia="Book Antiqua" w:hAnsi="Times New Roman" w:cs="Times New Roman"/>
          <w:sz w:val="22"/>
          <w:szCs w:val="22"/>
          <w:highlight w:val="white"/>
        </w:rPr>
        <w:t xml:space="preserve"> proportion of a specific net-zero technology or its main specific components </w:t>
      </w:r>
      <w:r w:rsidR="00997E81" w:rsidRPr="00CF5CA3">
        <w:rPr>
          <w:rFonts w:ascii="Times New Roman" w:eastAsia="Book Antiqua" w:hAnsi="Times New Roman" w:cs="Times New Roman"/>
          <w:sz w:val="22"/>
          <w:szCs w:val="22"/>
          <w:highlight w:val="white"/>
        </w:rPr>
        <w:t xml:space="preserve">is </w:t>
      </w:r>
      <w:r w:rsidRPr="00CF5CA3">
        <w:rPr>
          <w:rFonts w:ascii="Times New Roman" w:eastAsia="Book Antiqua" w:hAnsi="Times New Roman" w:cs="Times New Roman"/>
          <w:sz w:val="22"/>
          <w:szCs w:val="22"/>
          <w:highlight w:val="white"/>
        </w:rPr>
        <w:t xml:space="preserve">originating </w:t>
      </w:r>
      <w:r w:rsidR="00997E81" w:rsidRPr="00CF5CA3">
        <w:rPr>
          <w:rFonts w:ascii="Times New Roman" w:eastAsia="Book Antiqua" w:hAnsi="Times New Roman" w:cs="Times New Roman"/>
          <w:sz w:val="22"/>
          <w:szCs w:val="22"/>
          <w:highlight w:val="white"/>
        </w:rPr>
        <w:t xml:space="preserve">in </w:t>
      </w:r>
      <w:r w:rsidRPr="00CF5CA3">
        <w:rPr>
          <w:rFonts w:ascii="Times New Roman" w:eastAsia="Book Antiqua" w:hAnsi="Times New Roman" w:cs="Times New Roman"/>
          <w:sz w:val="22"/>
          <w:szCs w:val="22"/>
          <w:highlight w:val="white"/>
        </w:rPr>
        <w:t>a third, public buyers must include a number of conditions in the procurement documents to bind future contractors not to supply more than 50% of the specific net-zero technology or of its main specific components from any of the third countries listed by the Commission.</w:t>
      </w:r>
      <w:r w:rsidRPr="00CF5CA3">
        <w:rPr>
          <w:rFonts w:ascii="Times New Roman" w:eastAsia="Book Antiqua" w:hAnsi="Times New Roman" w:cs="Times New Roman"/>
          <w:sz w:val="22"/>
          <w:szCs w:val="22"/>
          <w:highlight w:val="white"/>
          <w:vertAlign w:val="superscript"/>
        </w:rPr>
        <w:footnoteReference w:id="35"/>
      </w:r>
      <w:r w:rsidRPr="00CF5CA3">
        <w:rPr>
          <w:rFonts w:ascii="Times New Roman" w:eastAsia="Book Antiqua" w:hAnsi="Times New Roman" w:cs="Times New Roman"/>
          <w:sz w:val="22"/>
          <w:szCs w:val="22"/>
          <w:highlight w:val="white"/>
        </w:rPr>
        <w:t xml:space="preserve"> Contractors are bound to provide evidence of their compliance with that condition and must pay a </w:t>
      </w:r>
      <w:r w:rsidR="00B03391" w:rsidRPr="00CF5CA3">
        <w:rPr>
          <w:rFonts w:ascii="Times New Roman" w:eastAsia="Book Antiqua" w:hAnsi="Times New Roman" w:cs="Times New Roman"/>
          <w:sz w:val="22"/>
          <w:szCs w:val="22"/>
          <w:highlight w:val="white"/>
        </w:rPr>
        <w:t>“</w:t>
      </w:r>
      <w:r w:rsidRPr="00CF5CA3">
        <w:rPr>
          <w:rFonts w:ascii="Times New Roman" w:eastAsia="Book Antiqua" w:hAnsi="Times New Roman" w:cs="Times New Roman"/>
          <w:sz w:val="22"/>
          <w:szCs w:val="22"/>
          <w:highlight w:val="white"/>
        </w:rPr>
        <w:t>proportionate charge</w:t>
      </w:r>
      <w:r w:rsidR="00B03391" w:rsidRPr="00CF5CA3">
        <w:rPr>
          <w:rFonts w:ascii="Times New Roman" w:eastAsia="Book Antiqua" w:hAnsi="Times New Roman" w:cs="Times New Roman"/>
          <w:sz w:val="22"/>
          <w:szCs w:val="22"/>
          <w:highlight w:val="white"/>
        </w:rPr>
        <w:t>”</w:t>
      </w:r>
      <w:r w:rsidRPr="00CF5CA3">
        <w:rPr>
          <w:rFonts w:ascii="Times New Roman" w:eastAsia="Book Antiqua" w:hAnsi="Times New Roman" w:cs="Times New Roman"/>
          <w:sz w:val="22"/>
          <w:szCs w:val="22"/>
          <w:highlight w:val="white"/>
        </w:rPr>
        <w:t xml:space="preserve"> in case of breach of their obligations.</w:t>
      </w:r>
      <w:r w:rsidRPr="00CF5CA3">
        <w:rPr>
          <w:rFonts w:ascii="Times New Roman" w:eastAsia="Book Antiqua" w:hAnsi="Times New Roman" w:cs="Times New Roman"/>
          <w:sz w:val="22"/>
          <w:szCs w:val="22"/>
          <w:highlight w:val="white"/>
          <w:vertAlign w:val="superscript"/>
        </w:rPr>
        <w:footnoteReference w:id="36"/>
      </w:r>
      <w:r w:rsidRPr="00CF5CA3">
        <w:rPr>
          <w:rFonts w:ascii="Times New Roman" w:eastAsia="Book Antiqua" w:hAnsi="Times New Roman" w:cs="Times New Roman"/>
          <w:sz w:val="22"/>
          <w:szCs w:val="22"/>
          <w:highlight w:val="white"/>
        </w:rPr>
        <w:t xml:space="preserve"> </w:t>
      </w:r>
    </w:p>
    <w:p w14:paraId="00000024" w14:textId="081E457A" w:rsidR="00706BDF" w:rsidRPr="00CF5CA3" w:rsidRDefault="001F7452" w:rsidP="00B03391">
      <w:pPr>
        <w:spacing w:after="240"/>
        <w:jc w:val="both"/>
        <w:rPr>
          <w:rFonts w:ascii="Times New Roman" w:eastAsia="Book Antiqua" w:hAnsi="Times New Roman" w:cs="Times New Roman"/>
          <w:sz w:val="22"/>
          <w:szCs w:val="22"/>
          <w:highlight w:val="white"/>
        </w:rPr>
      </w:pPr>
      <w:r w:rsidRPr="00CF5CA3">
        <w:rPr>
          <w:rFonts w:ascii="Times New Roman" w:eastAsia="Book Antiqua" w:hAnsi="Times New Roman" w:cs="Times New Roman"/>
          <w:sz w:val="22"/>
          <w:szCs w:val="22"/>
          <w:highlight w:val="white"/>
        </w:rPr>
        <w:t>Under Article 25(8), those obligations do not apply to contracts covered by the GPA or any other relevant international agreements by which the Union is bound.</w:t>
      </w:r>
      <w:r w:rsidRPr="00CF5CA3">
        <w:rPr>
          <w:rFonts w:ascii="Times New Roman" w:eastAsia="Book Antiqua" w:hAnsi="Times New Roman" w:cs="Times New Roman"/>
          <w:sz w:val="22"/>
          <w:szCs w:val="22"/>
          <w:highlight w:val="white"/>
          <w:vertAlign w:val="superscript"/>
        </w:rPr>
        <w:footnoteReference w:id="37"/>
      </w:r>
      <w:r w:rsidRPr="00CF5CA3">
        <w:rPr>
          <w:rFonts w:ascii="Times New Roman" w:eastAsia="Book Antiqua" w:hAnsi="Times New Roman" w:cs="Times New Roman"/>
          <w:sz w:val="22"/>
          <w:szCs w:val="22"/>
          <w:highlight w:val="white"/>
        </w:rPr>
        <w:t xml:space="preserve"> Unlike with the </w:t>
      </w:r>
      <w:r w:rsidR="00B03391" w:rsidRPr="00CF5CA3">
        <w:rPr>
          <w:rFonts w:ascii="Times New Roman" w:eastAsia="Book Antiqua" w:hAnsi="Times New Roman" w:cs="Times New Roman"/>
          <w:sz w:val="22"/>
          <w:szCs w:val="22"/>
          <w:highlight w:val="white"/>
        </w:rPr>
        <w:t>“</w:t>
      </w:r>
      <w:r w:rsidRPr="00CF5CA3">
        <w:rPr>
          <w:rFonts w:ascii="Times New Roman" w:eastAsia="Book Antiqua" w:hAnsi="Times New Roman" w:cs="Times New Roman"/>
          <w:sz w:val="22"/>
          <w:szCs w:val="22"/>
          <w:highlight w:val="white"/>
        </w:rPr>
        <w:t>sustainability contribution</w:t>
      </w:r>
      <w:r w:rsidR="00B03391" w:rsidRPr="00CF5CA3">
        <w:rPr>
          <w:rFonts w:ascii="Times New Roman" w:eastAsia="Book Antiqua" w:hAnsi="Times New Roman" w:cs="Times New Roman"/>
          <w:sz w:val="22"/>
          <w:szCs w:val="22"/>
          <w:highlight w:val="white"/>
        </w:rPr>
        <w:t>”</w:t>
      </w:r>
      <w:r w:rsidRPr="00CF5CA3">
        <w:rPr>
          <w:rFonts w:ascii="Times New Roman" w:eastAsia="Book Antiqua" w:hAnsi="Times New Roman" w:cs="Times New Roman"/>
          <w:sz w:val="22"/>
          <w:szCs w:val="22"/>
          <w:highlight w:val="white"/>
        </w:rPr>
        <w:t>, higher costs</w:t>
      </w:r>
      <w:r w:rsidR="00B03391" w:rsidRPr="00CF5CA3">
        <w:rPr>
          <w:rFonts w:ascii="Times New Roman" w:eastAsia="Book Antiqua" w:hAnsi="Times New Roman" w:cs="Times New Roman"/>
          <w:sz w:val="22"/>
          <w:szCs w:val="22"/>
          <w:highlight w:val="white"/>
        </w:rPr>
        <w:t>,</w:t>
      </w:r>
      <w:r w:rsidRPr="00CF5CA3">
        <w:rPr>
          <w:rFonts w:ascii="Times New Roman" w:eastAsia="Book Antiqua" w:hAnsi="Times New Roman" w:cs="Times New Roman"/>
          <w:sz w:val="22"/>
          <w:szCs w:val="22"/>
          <w:highlight w:val="white"/>
        </w:rPr>
        <w:t xml:space="preserve"> even exceeding 20% are not an excuse to forgo the </w:t>
      </w:r>
      <w:r w:rsidR="00B03391" w:rsidRPr="00CF5CA3">
        <w:rPr>
          <w:rFonts w:ascii="Times New Roman" w:eastAsia="Book Antiqua" w:hAnsi="Times New Roman" w:cs="Times New Roman"/>
          <w:sz w:val="22"/>
          <w:szCs w:val="22"/>
          <w:highlight w:val="white"/>
        </w:rPr>
        <w:t>“</w:t>
      </w:r>
      <w:r w:rsidRPr="00CF5CA3">
        <w:rPr>
          <w:rFonts w:ascii="Times New Roman" w:eastAsia="Book Antiqua" w:hAnsi="Times New Roman" w:cs="Times New Roman"/>
          <w:sz w:val="22"/>
          <w:szCs w:val="22"/>
          <w:highlight w:val="white"/>
        </w:rPr>
        <w:t>resilience contribution</w:t>
      </w:r>
      <w:r w:rsidR="00B03391" w:rsidRPr="00CF5CA3">
        <w:rPr>
          <w:rFonts w:ascii="Times New Roman" w:eastAsia="Book Antiqua" w:hAnsi="Times New Roman" w:cs="Times New Roman"/>
          <w:sz w:val="22"/>
          <w:szCs w:val="22"/>
          <w:highlight w:val="white"/>
        </w:rPr>
        <w:t>”</w:t>
      </w:r>
      <w:r w:rsidRPr="00CF5CA3">
        <w:rPr>
          <w:rFonts w:ascii="Times New Roman" w:eastAsia="Book Antiqua" w:hAnsi="Times New Roman" w:cs="Times New Roman"/>
          <w:sz w:val="22"/>
          <w:szCs w:val="22"/>
          <w:highlight w:val="white"/>
        </w:rPr>
        <w:t xml:space="preserve">. However, under Article 25(11), where the application of the resilience contribution has led to “a situation where no suitable tenders or no suitable requests to participate have been submitted in response to a public procurement procedure”, the contracting authorities or contracting entities may, on an exceptional basis, either use a negotiated procedure without prior publication or not to take into account of the resilience contribution in a subsequent procedure addressing the same aims. The provision </w:t>
      </w:r>
      <w:r w:rsidR="00997E81" w:rsidRPr="00CF5CA3">
        <w:rPr>
          <w:rFonts w:ascii="Times New Roman" w:eastAsia="Book Antiqua" w:hAnsi="Times New Roman" w:cs="Times New Roman"/>
          <w:sz w:val="22"/>
          <w:szCs w:val="22"/>
          <w:highlight w:val="white"/>
        </w:rPr>
        <w:t xml:space="preserve">diverges from </w:t>
      </w:r>
      <w:r w:rsidRPr="00CF5CA3">
        <w:rPr>
          <w:rFonts w:ascii="Times New Roman" w:eastAsia="Book Antiqua" w:hAnsi="Times New Roman" w:cs="Times New Roman"/>
          <w:sz w:val="22"/>
          <w:szCs w:val="22"/>
          <w:highlight w:val="white"/>
        </w:rPr>
        <w:t xml:space="preserve">the approach in Article 32(2)(a) of </w:t>
      </w:r>
      <w:r w:rsidR="00B03391" w:rsidRPr="00CF5CA3">
        <w:rPr>
          <w:rFonts w:ascii="Times New Roman" w:eastAsia="Book Antiqua" w:hAnsi="Times New Roman" w:cs="Times New Roman"/>
          <w:sz w:val="22"/>
          <w:szCs w:val="22"/>
          <w:highlight w:val="white"/>
        </w:rPr>
        <w:t xml:space="preserve">the Classic </w:t>
      </w:r>
      <w:r w:rsidRPr="00CF5CA3">
        <w:rPr>
          <w:rFonts w:ascii="Times New Roman" w:eastAsia="Book Antiqua" w:hAnsi="Times New Roman" w:cs="Times New Roman"/>
          <w:sz w:val="22"/>
          <w:szCs w:val="22"/>
          <w:highlight w:val="white"/>
        </w:rPr>
        <w:t xml:space="preserve">Directive </w:t>
      </w:r>
      <w:r w:rsidR="00997E81" w:rsidRPr="00CF5CA3">
        <w:rPr>
          <w:rFonts w:ascii="Times New Roman" w:eastAsia="Book Antiqua" w:hAnsi="Times New Roman" w:cs="Times New Roman"/>
          <w:sz w:val="22"/>
          <w:szCs w:val="22"/>
          <w:highlight w:val="white"/>
        </w:rPr>
        <w:t xml:space="preserve">as </w:t>
      </w:r>
      <w:r w:rsidRPr="00CF5CA3">
        <w:rPr>
          <w:rFonts w:ascii="Times New Roman" w:eastAsia="Book Antiqua" w:hAnsi="Times New Roman" w:cs="Times New Roman"/>
          <w:sz w:val="22"/>
          <w:szCs w:val="22"/>
          <w:highlight w:val="white"/>
        </w:rPr>
        <w:t>recourse to negotiated procedures</w:t>
      </w:r>
      <w:r w:rsidR="00997E81" w:rsidRPr="00CF5CA3">
        <w:rPr>
          <w:rFonts w:ascii="Times New Roman" w:eastAsia="Book Antiqua" w:hAnsi="Times New Roman" w:cs="Times New Roman"/>
          <w:sz w:val="22"/>
          <w:szCs w:val="22"/>
          <w:highlight w:val="white"/>
        </w:rPr>
        <w:t xml:space="preserve"> </w:t>
      </w:r>
      <w:r w:rsidRPr="00CF5CA3">
        <w:rPr>
          <w:rFonts w:ascii="Times New Roman" w:eastAsia="Book Antiqua" w:hAnsi="Times New Roman" w:cs="Times New Roman"/>
          <w:sz w:val="22"/>
          <w:szCs w:val="22"/>
          <w:highlight w:val="white"/>
        </w:rPr>
        <w:t xml:space="preserve">is here only one possibility, the other being forgoing the resilience criterion in a following </w:t>
      </w:r>
      <w:r w:rsidR="00B03391" w:rsidRPr="00CF5CA3">
        <w:rPr>
          <w:rFonts w:ascii="Times New Roman" w:eastAsia="Book Antiqua" w:hAnsi="Times New Roman" w:cs="Times New Roman"/>
          <w:sz w:val="22"/>
          <w:szCs w:val="22"/>
          <w:highlight w:val="white"/>
        </w:rPr>
        <w:t>“</w:t>
      </w:r>
      <w:r w:rsidRPr="00CF5CA3">
        <w:rPr>
          <w:rFonts w:ascii="Times New Roman" w:eastAsia="Book Antiqua" w:hAnsi="Times New Roman" w:cs="Times New Roman"/>
          <w:sz w:val="22"/>
          <w:szCs w:val="22"/>
          <w:highlight w:val="white"/>
        </w:rPr>
        <w:t>regular</w:t>
      </w:r>
      <w:r w:rsidR="00B03391" w:rsidRPr="00CF5CA3">
        <w:rPr>
          <w:rFonts w:ascii="Times New Roman" w:eastAsia="Book Antiqua" w:hAnsi="Times New Roman" w:cs="Times New Roman"/>
          <w:sz w:val="22"/>
          <w:szCs w:val="22"/>
          <w:highlight w:val="white"/>
        </w:rPr>
        <w:t>”</w:t>
      </w:r>
      <w:r w:rsidRPr="00CF5CA3">
        <w:rPr>
          <w:rFonts w:ascii="Times New Roman" w:eastAsia="Book Antiqua" w:hAnsi="Times New Roman" w:cs="Times New Roman"/>
          <w:sz w:val="22"/>
          <w:szCs w:val="22"/>
          <w:highlight w:val="white"/>
        </w:rPr>
        <w:t xml:space="preserve"> procedure.</w:t>
      </w:r>
      <w:r w:rsidRPr="00CF5CA3">
        <w:rPr>
          <w:rFonts w:ascii="Times New Roman" w:eastAsia="Book Antiqua" w:hAnsi="Times New Roman" w:cs="Times New Roman"/>
          <w:sz w:val="22"/>
          <w:szCs w:val="22"/>
          <w:highlight w:val="white"/>
          <w:vertAlign w:val="superscript"/>
        </w:rPr>
        <w:footnoteReference w:id="38"/>
      </w:r>
      <w:r w:rsidRPr="00CF5CA3">
        <w:rPr>
          <w:rFonts w:ascii="Times New Roman" w:eastAsia="Book Antiqua" w:hAnsi="Times New Roman" w:cs="Times New Roman"/>
          <w:sz w:val="22"/>
          <w:szCs w:val="22"/>
          <w:highlight w:val="white"/>
        </w:rPr>
        <w:t xml:space="preserve"> </w:t>
      </w:r>
    </w:p>
    <w:p w14:paraId="00000026" w14:textId="049B7946" w:rsidR="00706BDF" w:rsidRPr="00CF5CA3" w:rsidRDefault="001F7452" w:rsidP="00B03391">
      <w:pPr>
        <w:spacing w:after="240"/>
        <w:jc w:val="both"/>
        <w:rPr>
          <w:rFonts w:ascii="Times New Roman" w:eastAsia="Book Antiqua" w:hAnsi="Times New Roman" w:cs="Times New Roman"/>
          <w:sz w:val="22"/>
          <w:szCs w:val="22"/>
          <w:highlight w:val="white"/>
        </w:rPr>
      </w:pPr>
      <w:r w:rsidRPr="00CF5CA3">
        <w:rPr>
          <w:rFonts w:ascii="Times New Roman" w:eastAsia="Book Antiqua" w:hAnsi="Times New Roman" w:cs="Times New Roman"/>
          <w:sz w:val="22"/>
          <w:szCs w:val="22"/>
          <w:highlight w:val="white"/>
        </w:rPr>
        <w:t xml:space="preserve">Compared with the FSR (and the IPI), which might be considered as protective or reactive measures to shield EU producers from unfair competition from abroad, the NZIA is </w:t>
      </w:r>
      <w:r w:rsidR="00E53898" w:rsidRPr="00CF5CA3">
        <w:rPr>
          <w:rFonts w:ascii="Times New Roman" w:eastAsia="Book Antiqua" w:hAnsi="Times New Roman" w:cs="Times New Roman"/>
          <w:sz w:val="22"/>
          <w:szCs w:val="22"/>
          <w:highlight w:val="white"/>
        </w:rPr>
        <w:t xml:space="preserve">the first </w:t>
      </w:r>
      <w:r w:rsidRPr="00CF5CA3">
        <w:rPr>
          <w:rFonts w:ascii="Times New Roman" w:eastAsia="Book Antiqua" w:hAnsi="Times New Roman" w:cs="Times New Roman"/>
          <w:sz w:val="22"/>
          <w:szCs w:val="22"/>
          <w:highlight w:val="white"/>
        </w:rPr>
        <w:t xml:space="preserve">proactive measure targeted </w:t>
      </w:r>
      <w:r w:rsidR="00B03391" w:rsidRPr="00CF5CA3">
        <w:rPr>
          <w:rFonts w:ascii="Times New Roman" w:eastAsia="Book Antiqua" w:hAnsi="Times New Roman" w:cs="Times New Roman"/>
          <w:sz w:val="22"/>
          <w:szCs w:val="22"/>
          <w:highlight w:val="white"/>
        </w:rPr>
        <w:t>at</w:t>
      </w:r>
      <w:r w:rsidRPr="00CF5CA3">
        <w:rPr>
          <w:rFonts w:ascii="Times New Roman" w:eastAsia="Book Antiqua" w:hAnsi="Times New Roman" w:cs="Times New Roman"/>
          <w:sz w:val="22"/>
          <w:szCs w:val="22"/>
          <w:highlight w:val="white"/>
        </w:rPr>
        <w:t xml:space="preserve"> strengthening EU producers and</w:t>
      </w:r>
      <w:r w:rsidR="00E03765" w:rsidRPr="00CF5CA3">
        <w:rPr>
          <w:rFonts w:ascii="Times New Roman" w:eastAsia="Book Antiqua" w:hAnsi="Times New Roman" w:cs="Times New Roman"/>
          <w:sz w:val="22"/>
          <w:szCs w:val="22"/>
          <w:highlight w:val="white"/>
        </w:rPr>
        <w:t>,</w:t>
      </w:r>
      <w:r w:rsidRPr="00CF5CA3">
        <w:rPr>
          <w:rFonts w:ascii="Times New Roman" w:eastAsia="Book Antiqua" w:hAnsi="Times New Roman" w:cs="Times New Roman"/>
          <w:sz w:val="22"/>
          <w:szCs w:val="22"/>
          <w:highlight w:val="white"/>
        </w:rPr>
        <w:t xml:space="preserve"> more generally</w:t>
      </w:r>
      <w:r w:rsidR="00B03391" w:rsidRPr="00CF5CA3">
        <w:rPr>
          <w:rFonts w:ascii="Times New Roman" w:eastAsia="Book Antiqua" w:hAnsi="Times New Roman" w:cs="Times New Roman"/>
          <w:sz w:val="22"/>
          <w:szCs w:val="22"/>
          <w:highlight w:val="white"/>
        </w:rPr>
        <w:t>,</w:t>
      </w:r>
      <w:r w:rsidRPr="00CF5CA3">
        <w:rPr>
          <w:rFonts w:ascii="Times New Roman" w:eastAsia="Book Antiqua" w:hAnsi="Times New Roman" w:cs="Times New Roman"/>
          <w:sz w:val="22"/>
          <w:szCs w:val="22"/>
          <w:highlight w:val="white"/>
        </w:rPr>
        <w:t xml:space="preserve"> to reduce the dependence of the EU on third countries.</w:t>
      </w:r>
      <w:r w:rsidR="00E53898" w:rsidRPr="00CF5CA3">
        <w:rPr>
          <w:rFonts w:ascii="Times New Roman" w:eastAsia="Book Antiqua" w:hAnsi="Times New Roman" w:cs="Times New Roman"/>
          <w:sz w:val="22"/>
          <w:szCs w:val="22"/>
          <w:highlight w:val="white"/>
        </w:rPr>
        <w:t xml:space="preserve"> It is expected to be followed by a Critical Medicines Act and possibly by a wider but not necessarily general </w:t>
      </w:r>
      <w:r w:rsidR="00B03391" w:rsidRPr="00CF5CA3">
        <w:rPr>
          <w:rFonts w:ascii="Times New Roman" w:eastAsia="Book Antiqua" w:hAnsi="Times New Roman" w:cs="Times New Roman"/>
          <w:sz w:val="22"/>
          <w:szCs w:val="22"/>
          <w:highlight w:val="white"/>
        </w:rPr>
        <w:lastRenderedPageBreak/>
        <w:t>“</w:t>
      </w:r>
      <w:r w:rsidR="00E53898" w:rsidRPr="00CF5CA3">
        <w:rPr>
          <w:rFonts w:ascii="Times New Roman" w:eastAsia="Book Antiqua" w:hAnsi="Times New Roman" w:cs="Times New Roman"/>
          <w:sz w:val="22"/>
          <w:szCs w:val="22"/>
          <w:highlight w:val="white"/>
        </w:rPr>
        <w:t>European preference</w:t>
      </w:r>
      <w:r w:rsidR="00B03391" w:rsidRPr="00CF5CA3">
        <w:rPr>
          <w:rFonts w:ascii="Times New Roman" w:eastAsia="Book Antiqua" w:hAnsi="Times New Roman" w:cs="Times New Roman"/>
          <w:sz w:val="22"/>
          <w:szCs w:val="22"/>
          <w:highlight w:val="white"/>
        </w:rPr>
        <w:t>”</w:t>
      </w:r>
      <w:r w:rsidR="00E53898" w:rsidRPr="00CF5CA3">
        <w:rPr>
          <w:rFonts w:ascii="Times New Roman" w:eastAsia="Book Antiqua" w:hAnsi="Times New Roman" w:cs="Times New Roman"/>
          <w:sz w:val="22"/>
          <w:szCs w:val="22"/>
          <w:highlight w:val="white"/>
        </w:rPr>
        <w:t xml:space="preserve"> (below §6). While sectoral legislation providing advantages for European producers and suppliers is to be confined in specific rules that however need to be expressly linked to the </w:t>
      </w:r>
      <w:r w:rsidR="00B03391" w:rsidRPr="00CF5CA3">
        <w:rPr>
          <w:rFonts w:ascii="Times New Roman" w:eastAsia="Book Antiqua" w:hAnsi="Times New Roman" w:cs="Times New Roman"/>
          <w:sz w:val="22"/>
          <w:szCs w:val="22"/>
          <w:highlight w:val="white"/>
        </w:rPr>
        <w:t>P</w:t>
      </w:r>
      <w:r w:rsidR="00E53898" w:rsidRPr="00CF5CA3">
        <w:rPr>
          <w:rFonts w:ascii="Times New Roman" w:eastAsia="Book Antiqua" w:hAnsi="Times New Roman" w:cs="Times New Roman"/>
          <w:sz w:val="22"/>
          <w:szCs w:val="22"/>
          <w:highlight w:val="white"/>
        </w:rPr>
        <w:t xml:space="preserve">ublic </w:t>
      </w:r>
      <w:r w:rsidR="00B03391" w:rsidRPr="00CF5CA3">
        <w:rPr>
          <w:rFonts w:ascii="Times New Roman" w:eastAsia="Book Antiqua" w:hAnsi="Times New Roman" w:cs="Times New Roman"/>
          <w:sz w:val="22"/>
          <w:szCs w:val="22"/>
          <w:highlight w:val="white"/>
        </w:rPr>
        <w:t>P</w:t>
      </w:r>
      <w:r w:rsidR="00E53898" w:rsidRPr="00CF5CA3">
        <w:rPr>
          <w:rFonts w:ascii="Times New Roman" w:eastAsia="Book Antiqua" w:hAnsi="Times New Roman" w:cs="Times New Roman"/>
          <w:sz w:val="22"/>
          <w:szCs w:val="22"/>
          <w:highlight w:val="white"/>
        </w:rPr>
        <w:t xml:space="preserve">rocurement </w:t>
      </w:r>
      <w:r w:rsidR="00B03391" w:rsidRPr="00CF5CA3">
        <w:rPr>
          <w:rFonts w:ascii="Times New Roman" w:eastAsia="Book Antiqua" w:hAnsi="Times New Roman" w:cs="Times New Roman"/>
          <w:sz w:val="22"/>
          <w:szCs w:val="22"/>
          <w:highlight w:val="white"/>
        </w:rPr>
        <w:t>D</w:t>
      </w:r>
      <w:r w:rsidR="00E53898" w:rsidRPr="00CF5CA3">
        <w:rPr>
          <w:rFonts w:ascii="Times New Roman" w:eastAsia="Book Antiqua" w:hAnsi="Times New Roman" w:cs="Times New Roman"/>
          <w:sz w:val="22"/>
          <w:szCs w:val="22"/>
          <w:highlight w:val="white"/>
        </w:rPr>
        <w:t xml:space="preserve">irectives, a </w:t>
      </w:r>
      <w:r w:rsidR="00B03391" w:rsidRPr="00CF5CA3">
        <w:rPr>
          <w:rFonts w:ascii="Times New Roman" w:eastAsia="Book Antiqua" w:hAnsi="Times New Roman" w:cs="Times New Roman"/>
          <w:sz w:val="22"/>
          <w:szCs w:val="22"/>
          <w:highlight w:val="white"/>
        </w:rPr>
        <w:t>“</w:t>
      </w:r>
      <w:r w:rsidR="00E53898" w:rsidRPr="00CF5CA3">
        <w:rPr>
          <w:rFonts w:ascii="Times New Roman" w:eastAsia="Book Antiqua" w:hAnsi="Times New Roman" w:cs="Times New Roman"/>
          <w:sz w:val="22"/>
          <w:szCs w:val="22"/>
          <w:highlight w:val="white"/>
        </w:rPr>
        <w:t>European preference</w:t>
      </w:r>
      <w:r w:rsidR="00B03391" w:rsidRPr="00CF5CA3">
        <w:rPr>
          <w:rFonts w:ascii="Times New Roman" w:eastAsia="Book Antiqua" w:hAnsi="Times New Roman" w:cs="Times New Roman"/>
          <w:sz w:val="22"/>
          <w:szCs w:val="22"/>
          <w:highlight w:val="white"/>
        </w:rPr>
        <w:t>”</w:t>
      </w:r>
      <w:r w:rsidR="00E53898" w:rsidRPr="00CF5CA3">
        <w:rPr>
          <w:rFonts w:ascii="Times New Roman" w:eastAsia="Book Antiqua" w:hAnsi="Times New Roman" w:cs="Times New Roman"/>
          <w:sz w:val="22"/>
          <w:szCs w:val="22"/>
          <w:highlight w:val="white"/>
        </w:rPr>
        <w:t xml:space="preserve"> should rather be articulated in the </w:t>
      </w:r>
      <w:r w:rsidR="00B03391" w:rsidRPr="00CF5CA3">
        <w:rPr>
          <w:rFonts w:ascii="Times New Roman" w:eastAsia="Book Antiqua" w:hAnsi="Times New Roman" w:cs="Times New Roman"/>
          <w:sz w:val="22"/>
          <w:szCs w:val="22"/>
          <w:highlight w:val="white"/>
        </w:rPr>
        <w:t>P</w:t>
      </w:r>
      <w:r w:rsidR="00E53898" w:rsidRPr="00CF5CA3">
        <w:rPr>
          <w:rFonts w:ascii="Times New Roman" w:eastAsia="Book Antiqua" w:hAnsi="Times New Roman" w:cs="Times New Roman"/>
          <w:sz w:val="22"/>
          <w:szCs w:val="22"/>
          <w:highlight w:val="white"/>
        </w:rPr>
        <w:t xml:space="preserve">ublic </w:t>
      </w:r>
      <w:r w:rsidR="00B03391" w:rsidRPr="00CF5CA3">
        <w:rPr>
          <w:rFonts w:ascii="Times New Roman" w:eastAsia="Book Antiqua" w:hAnsi="Times New Roman" w:cs="Times New Roman"/>
          <w:sz w:val="22"/>
          <w:szCs w:val="22"/>
          <w:highlight w:val="white"/>
        </w:rPr>
        <w:t>P</w:t>
      </w:r>
      <w:r w:rsidR="00E53898" w:rsidRPr="00CF5CA3">
        <w:rPr>
          <w:rFonts w:ascii="Times New Roman" w:eastAsia="Book Antiqua" w:hAnsi="Times New Roman" w:cs="Times New Roman"/>
          <w:sz w:val="22"/>
          <w:szCs w:val="22"/>
          <w:highlight w:val="white"/>
        </w:rPr>
        <w:t xml:space="preserve">rocurement </w:t>
      </w:r>
      <w:r w:rsidR="00B03391" w:rsidRPr="00CF5CA3">
        <w:rPr>
          <w:rFonts w:ascii="Times New Roman" w:eastAsia="Book Antiqua" w:hAnsi="Times New Roman" w:cs="Times New Roman"/>
          <w:sz w:val="22"/>
          <w:szCs w:val="22"/>
          <w:highlight w:val="white"/>
        </w:rPr>
        <w:t>D</w:t>
      </w:r>
      <w:r w:rsidR="00E53898" w:rsidRPr="00CF5CA3">
        <w:rPr>
          <w:rFonts w:ascii="Times New Roman" w:eastAsia="Book Antiqua" w:hAnsi="Times New Roman" w:cs="Times New Roman"/>
          <w:sz w:val="22"/>
          <w:szCs w:val="22"/>
          <w:highlight w:val="white"/>
        </w:rPr>
        <w:t>irectives, with a delegation to the Commission to change or update the list of preferred products or services.</w:t>
      </w:r>
    </w:p>
    <w:p w14:paraId="00000027" w14:textId="0F2EA8D1" w:rsidR="00706BDF" w:rsidRPr="00CF5CA3" w:rsidRDefault="001F7452">
      <w:pPr>
        <w:jc w:val="both"/>
        <w:rPr>
          <w:rFonts w:ascii="Times New Roman" w:eastAsia="Book Antiqua" w:hAnsi="Times New Roman" w:cs="Times New Roman"/>
          <w:i/>
          <w:iCs/>
          <w:sz w:val="22"/>
          <w:szCs w:val="22"/>
        </w:rPr>
      </w:pPr>
      <w:r w:rsidRPr="00CF5CA3">
        <w:rPr>
          <w:rFonts w:ascii="Times New Roman" w:eastAsia="Book Antiqua" w:hAnsi="Times New Roman" w:cs="Times New Roman"/>
          <w:i/>
          <w:iCs/>
          <w:sz w:val="22"/>
          <w:szCs w:val="22"/>
        </w:rPr>
        <w:t>4. The International Procurement Instrument (IPI)</w:t>
      </w:r>
    </w:p>
    <w:p w14:paraId="0000002B" w14:textId="606B204E" w:rsidR="00706BDF" w:rsidRPr="00CF5CA3" w:rsidRDefault="001F7452">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 xml:space="preserve">The history of the adoption of the International Procurement Instrument (IPI) represents well the seismic changes </w:t>
      </w:r>
      <w:r w:rsidR="00B03391" w:rsidRPr="00CF5CA3">
        <w:rPr>
          <w:rFonts w:ascii="Times New Roman" w:eastAsia="Book Antiqua" w:hAnsi="Times New Roman" w:cs="Times New Roman"/>
          <w:sz w:val="22"/>
          <w:szCs w:val="22"/>
        </w:rPr>
        <w:t>that have</w:t>
      </w:r>
      <w:r w:rsidRPr="00CF5CA3">
        <w:rPr>
          <w:rFonts w:ascii="Times New Roman" w:eastAsia="Book Antiqua" w:hAnsi="Times New Roman" w:cs="Times New Roman"/>
          <w:sz w:val="22"/>
          <w:szCs w:val="22"/>
        </w:rPr>
        <w:t xml:space="preserve"> affected and </w:t>
      </w:r>
      <w:r w:rsidR="00B03391" w:rsidRPr="00CF5CA3">
        <w:rPr>
          <w:rFonts w:ascii="Times New Roman" w:eastAsia="Book Antiqua" w:hAnsi="Times New Roman" w:cs="Times New Roman"/>
          <w:sz w:val="22"/>
          <w:szCs w:val="22"/>
        </w:rPr>
        <w:t xml:space="preserve">are </w:t>
      </w:r>
      <w:r w:rsidRPr="00CF5CA3">
        <w:rPr>
          <w:rFonts w:ascii="Times New Roman" w:eastAsia="Book Antiqua" w:hAnsi="Times New Roman" w:cs="Times New Roman"/>
          <w:sz w:val="22"/>
          <w:szCs w:val="22"/>
        </w:rPr>
        <w:t>affecting the external dimension of EU public procurement.</w:t>
      </w:r>
      <w:r w:rsidR="00145761" w:rsidRPr="00CF5CA3">
        <w:rPr>
          <w:rStyle w:val="Rimandonotaapidipagina"/>
          <w:rFonts w:ascii="Times New Roman" w:eastAsia="Book Antiqua" w:hAnsi="Times New Roman" w:cs="Times New Roman"/>
          <w:sz w:val="22"/>
          <w:szCs w:val="22"/>
        </w:rPr>
        <w:footnoteReference w:id="39"/>
      </w:r>
      <w:r w:rsidR="00997E81" w:rsidRPr="00CF5CA3">
        <w:rPr>
          <w:rFonts w:ascii="Times New Roman" w:eastAsia="Book Antiqua" w:hAnsi="Times New Roman" w:cs="Times New Roman"/>
          <w:sz w:val="22"/>
          <w:szCs w:val="22"/>
        </w:rPr>
        <w:t xml:space="preserve"> The Commission tabled its first proposal i</w:t>
      </w:r>
      <w:r w:rsidRPr="00CF5CA3">
        <w:rPr>
          <w:rFonts w:ascii="Times New Roman" w:eastAsia="Book Antiqua" w:hAnsi="Times New Roman" w:cs="Times New Roman"/>
          <w:sz w:val="22"/>
          <w:szCs w:val="22"/>
        </w:rPr>
        <w:t>n 2012</w:t>
      </w:r>
      <w:r w:rsidRPr="00CF5CA3">
        <w:rPr>
          <w:rFonts w:ascii="Times New Roman" w:eastAsia="Book Antiqua" w:hAnsi="Times New Roman" w:cs="Times New Roman"/>
          <w:sz w:val="22"/>
          <w:szCs w:val="22"/>
          <w:vertAlign w:val="superscript"/>
        </w:rPr>
        <w:footnoteReference w:id="40"/>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w:t>
      </w:r>
      <w:r w:rsidR="00997E81" w:rsidRPr="00CF5CA3">
        <w:rPr>
          <w:rFonts w:ascii="Times New Roman" w:eastAsia="Book Antiqua" w:hAnsi="Times New Roman" w:cs="Times New Roman"/>
          <w:sz w:val="22"/>
          <w:szCs w:val="22"/>
        </w:rPr>
        <w:t>but, because of the opposition from s</w:t>
      </w:r>
      <w:r w:rsidRPr="00CF5CA3">
        <w:rPr>
          <w:rFonts w:ascii="Times New Roman" w:eastAsia="Book Antiqua" w:hAnsi="Times New Roman" w:cs="Times New Roman"/>
          <w:sz w:val="22"/>
          <w:szCs w:val="22"/>
        </w:rPr>
        <w:t xml:space="preserve">ome Member States, </w:t>
      </w:r>
      <w:r w:rsidR="00997E81" w:rsidRPr="00CF5CA3">
        <w:rPr>
          <w:rFonts w:ascii="Times New Roman" w:eastAsia="Book Antiqua" w:hAnsi="Times New Roman" w:cs="Times New Roman"/>
          <w:sz w:val="22"/>
          <w:szCs w:val="22"/>
        </w:rPr>
        <w:t xml:space="preserve">the proposal was </w:t>
      </w:r>
      <w:r w:rsidRPr="00CF5CA3">
        <w:rPr>
          <w:rFonts w:ascii="Times New Roman" w:eastAsia="Book Antiqua" w:hAnsi="Times New Roman" w:cs="Times New Roman"/>
          <w:sz w:val="22"/>
          <w:szCs w:val="22"/>
        </w:rPr>
        <w:t>revised in 2016.</w:t>
      </w:r>
      <w:r w:rsidRPr="00CF5CA3">
        <w:rPr>
          <w:rFonts w:ascii="Times New Roman" w:eastAsia="Book Antiqua" w:hAnsi="Times New Roman" w:cs="Times New Roman"/>
          <w:sz w:val="22"/>
          <w:szCs w:val="22"/>
          <w:vertAlign w:val="superscript"/>
        </w:rPr>
        <w:footnoteReference w:id="41"/>
      </w:r>
      <w:r w:rsidRPr="00CF5CA3">
        <w:rPr>
          <w:rFonts w:ascii="Times New Roman" w:eastAsia="Book Antiqua" w:hAnsi="Times New Roman" w:cs="Times New Roman"/>
          <w:sz w:val="22"/>
          <w:szCs w:val="22"/>
        </w:rPr>
        <w:t xml:space="preserve"> But it was only in early 2019 that the legislative process restarted in earnest. Facing increased competition from Chinese companies harming EU industry, the Council decided that “the EU must also safeguard its interests in the light of unfair practices of third countries, making full use of trade defence instruments and our public procurement rules, as well as ensuring effective reciprocity for public procurement with third countries” and called “for resuming discussions on the EU’s international procurement instrument”.</w:t>
      </w:r>
      <w:r w:rsidRPr="00CF5CA3">
        <w:rPr>
          <w:rFonts w:ascii="Times New Roman" w:eastAsia="Book Antiqua" w:hAnsi="Times New Roman" w:cs="Times New Roman"/>
          <w:sz w:val="22"/>
          <w:szCs w:val="22"/>
          <w:vertAlign w:val="superscript"/>
        </w:rPr>
        <w:footnoteReference w:id="42"/>
      </w:r>
      <w:r w:rsidR="00997E81" w:rsidRPr="00CF5CA3">
        <w:rPr>
          <w:rFonts w:ascii="Times New Roman" w:eastAsia="Book Antiqua" w:hAnsi="Times New Roman" w:cs="Times New Roman"/>
          <w:sz w:val="22"/>
          <w:szCs w:val="22"/>
          <w:vertAlign w:val="superscript"/>
        </w:rPr>
        <w:t xml:space="preserve"> </w:t>
      </w:r>
      <w:r w:rsidR="00997E81" w:rsidRPr="00CF5CA3">
        <w:rPr>
          <w:rFonts w:ascii="Times New Roman" w:eastAsia="Book Antiqua" w:hAnsi="Times New Roman" w:cs="Times New Roman"/>
          <w:sz w:val="22"/>
          <w:szCs w:val="22"/>
        </w:rPr>
        <w:t>In i</w:t>
      </w:r>
      <w:r w:rsidRPr="00CF5CA3">
        <w:rPr>
          <w:rFonts w:ascii="Times New Roman" w:eastAsia="Book Antiqua" w:hAnsi="Times New Roman" w:cs="Times New Roman"/>
          <w:sz w:val="22"/>
          <w:szCs w:val="22"/>
        </w:rPr>
        <w:t>ts New Industrial Strategy</w:t>
      </w:r>
      <w:r w:rsidR="00997E8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vertAlign w:val="superscript"/>
        </w:rPr>
        <w:footnoteReference w:id="43"/>
      </w:r>
      <w:r w:rsidRPr="00CF5CA3">
        <w:rPr>
          <w:rFonts w:ascii="Times New Roman" w:eastAsia="Book Antiqua" w:hAnsi="Times New Roman" w:cs="Times New Roman"/>
          <w:sz w:val="22"/>
          <w:szCs w:val="22"/>
        </w:rPr>
        <w:t xml:space="preserve"> </w:t>
      </w:r>
      <w:r w:rsidR="00997E81" w:rsidRPr="00CF5CA3">
        <w:rPr>
          <w:rFonts w:ascii="Times New Roman" w:eastAsia="Book Antiqua" w:hAnsi="Times New Roman" w:cs="Times New Roman"/>
          <w:sz w:val="22"/>
          <w:szCs w:val="22"/>
        </w:rPr>
        <w:t>t</w:t>
      </w:r>
      <w:r w:rsidRPr="00CF5CA3">
        <w:rPr>
          <w:rFonts w:ascii="Times New Roman" w:eastAsia="Book Antiqua" w:hAnsi="Times New Roman" w:cs="Times New Roman"/>
          <w:sz w:val="22"/>
          <w:szCs w:val="22"/>
        </w:rPr>
        <w:t xml:space="preserve">he Commission </w:t>
      </w:r>
      <w:r w:rsidR="00997E81" w:rsidRPr="00CF5CA3">
        <w:rPr>
          <w:rFonts w:ascii="Times New Roman" w:eastAsia="Book Antiqua" w:hAnsi="Times New Roman" w:cs="Times New Roman"/>
          <w:sz w:val="22"/>
          <w:szCs w:val="22"/>
        </w:rPr>
        <w:t>wrote of “</w:t>
      </w:r>
      <w:r w:rsidRPr="00CF5CA3">
        <w:rPr>
          <w:rFonts w:ascii="Times New Roman" w:eastAsia="Book Antiqua" w:hAnsi="Times New Roman" w:cs="Times New Roman"/>
          <w:sz w:val="22"/>
          <w:szCs w:val="22"/>
        </w:rPr>
        <w:t>a time of moving geopolitical plates which affect the nature of competition”.</w:t>
      </w:r>
      <w:r w:rsidRPr="00CF5CA3">
        <w:rPr>
          <w:rFonts w:ascii="Times New Roman" w:eastAsia="Book Antiqua" w:hAnsi="Times New Roman" w:cs="Times New Roman"/>
          <w:sz w:val="22"/>
          <w:szCs w:val="22"/>
          <w:vertAlign w:val="superscript"/>
        </w:rPr>
        <w:footnoteReference w:id="44"/>
      </w:r>
      <w:r w:rsidRPr="00CF5CA3">
        <w:rPr>
          <w:rFonts w:ascii="Times New Roman" w:eastAsia="Book Antiqua" w:hAnsi="Times New Roman" w:cs="Times New Roman"/>
          <w:sz w:val="22"/>
          <w:szCs w:val="22"/>
        </w:rPr>
        <w:t xml:space="preserve"> </w:t>
      </w:r>
      <w:r w:rsidR="00997E81" w:rsidRPr="00CF5CA3">
        <w:rPr>
          <w:rFonts w:ascii="Times New Roman" w:eastAsia="Book Antiqua" w:hAnsi="Times New Roman" w:cs="Times New Roman"/>
          <w:sz w:val="22"/>
          <w:szCs w:val="22"/>
        </w:rPr>
        <w:t>Therefore,</w:t>
      </w:r>
      <w:r w:rsidRPr="00CF5CA3">
        <w:rPr>
          <w:rFonts w:ascii="Times New Roman" w:eastAsia="Book Antiqua" w:hAnsi="Times New Roman" w:cs="Times New Roman"/>
          <w:sz w:val="22"/>
          <w:szCs w:val="22"/>
        </w:rPr>
        <w:t xml:space="preserve"> “A swift agreement on the proposed International Procurement Instrument will also be essential to address lack of reciprocity and to give the EU further leverage in negotiations”.</w:t>
      </w:r>
      <w:r w:rsidRPr="00CF5CA3">
        <w:rPr>
          <w:rFonts w:ascii="Times New Roman" w:eastAsia="Book Antiqua" w:hAnsi="Times New Roman" w:cs="Times New Roman"/>
          <w:sz w:val="22"/>
          <w:szCs w:val="22"/>
          <w:vertAlign w:val="superscript"/>
        </w:rPr>
        <w:footnoteReference w:id="45"/>
      </w:r>
    </w:p>
    <w:p w14:paraId="0000002C" w14:textId="08C32BC1" w:rsidR="00706BDF" w:rsidRPr="00CF5CA3" w:rsidRDefault="001F7452">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According to Recital 5, the “</w:t>
      </w:r>
      <w:r w:rsidRPr="00CF5CA3">
        <w:rPr>
          <w:rFonts w:ascii="Times New Roman" w:eastAsia="Book Antiqua" w:hAnsi="Times New Roman" w:cs="Times New Roman"/>
          <w:sz w:val="22"/>
          <w:szCs w:val="22"/>
          <w:highlight w:val="white"/>
        </w:rPr>
        <w:t>Union advocates an ambitious opening of the international public procurement and concession markets of the Union and its trading partners, in a spirit of reciprocity and mutual benefit”. On its face, the IPI Regulation is an instrument for market opening, not for market closure.</w:t>
      </w:r>
      <w:r w:rsidRPr="00CF5CA3">
        <w:rPr>
          <w:rFonts w:ascii="Times New Roman" w:eastAsia="Book Antiqua" w:hAnsi="Times New Roman" w:cs="Times New Roman"/>
          <w:sz w:val="22"/>
          <w:szCs w:val="22"/>
          <w:highlight w:val="white"/>
          <w:vertAlign w:val="superscript"/>
        </w:rPr>
        <w:footnoteReference w:id="46"/>
      </w:r>
      <w:r w:rsidRPr="00CF5CA3">
        <w:rPr>
          <w:rFonts w:ascii="Times New Roman" w:eastAsia="Book Antiqua" w:hAnsi="Times New Roman" w:cs="Times New Roman"/>
          <w:sz w:val="22"/>
          <w:szCs w:val="22"/>
          <w:highlight w:val="white"/>
        </w:rPr>
        <w:t xml:space="preserve"> Lacking reciprocity, the </w:t>
      </w:r>
      <w:r w:rsidR="00D933A3" w:rsidRPr="00CF5CA3">
        <w:rPr>
          <w:rFonts w:ascii="Times New Roman" w:eastAsia="Book Antiqua" w:hAnsi="Times New Roman" w:cs="Times New Roman"/>
          <w:sz w:val="22"/>
          <w:szCs w:val="22"/>
          <w:highlight w:val="white"/>
        </w:rPr>
        <w:t>EU market might be closed to put additional negotiating pressure on non-cooperative third countries</w:t>
      </w:r>
      <w:r w:rsidRPr="00CF5CA3">
        <w:rPr>
          <w:rFonts w:ascii="Times New Roman" w:eastAsia="Book Antiqua" w:hAnsi="Times New Roman" w:cs="Times New Roman"/>
          <w:sz w:val="22"/>
          <w:szCs w:val="22"/>
          <w:highlight w:val="white"/>
        </w:rPr>
        <w:t>.</w:t>
      </w:r>
    </w:p>
    <w:p w14:paraId="0000002D" w14:textId="2DC02B11" w:rsidR="00706BDF"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 xml:space="preserve">Under Articles 1(1) and 5 of the IPI Regulation, the Commission is charged with investigating - of its own motion or because of a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substantiated complaint</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 whether specific measures or practices exist in a third country that limit the access of EU economic operators, goods or services to that country</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s public procurement or concession markets.</w:t>
      </w:r>
      <w:r w:rsidRPr="00CF5CA3">
        <w:rPr>
          <w:rFonts w:ascii="Times New Roman" w:eastAsia="Book Antiqua" w:hAnsi="Times New Roman" w:cs="Times New Roman"/>
          <w:sz w:val="22"/>
          <w:szCs w:val="22"/>
          <w:vertAlign w:val="superscript"/>
        </w:rPr>
        <w:footnoteReference w:id="47"/>
      </w:r>
      <w:r w:rsidRPr="00CF5CA3">
        <w:rPr>
          <w:rFonts w:ascii="Times New Roman" w:eastAsia="Book Antiqua" w:hAnsi="Times New Roman" w:cs="Times New Roman"/>
          <w:sz w:val="22"/>
          <w:szCs w:val="22"/>
        </w:rPr>
        <w:t xml:space="preserve"> Participatory rights of the third country are guaranteed under Article 5 with the aim </w:t>
      </w:r>
      <w:r w:rsidR="00B03391" w:rsidRPr="00CF5CA3">
        <w:rPr>
          <w:rFonts w:ascii="Times New Roman" w:eastAsia="Book Antiqua" w:hAnsi="Times New Roman" w:cs="Times New Roman"/>
          <w:sz w:val="22"/>
          <w:szCs w:val="22"/>
        </w:rPr>
        <w:t>of</w:t>
      </w:r>
      <w:r w:rsidRPr="00CF5CA3">
        <w:rPr>
          <w:rFonts w:ascii="Times New Roman" w:eastAsia="Book Antiqua" w:hAnsi="Times New Roman" w:cs="Times New Roman"/>
          <w:sz w:val="22"/>
          <w:szCs w:val="22"/>
        </w:rPr>
        <w:t xml:space="preserve"> achiev</w:t>
      </w:r>
      <w:r w:rsidR="00B03391" w:rsidRPr="00CF5CA3">
        <w:rPr>
          <w:rFonts w:ascii="Times New Roman" w:eastAsia="Book Antiqua" w:hAnsi="Times New Roman" w:cs="Times New Roman"/>
          <w:sz w:val="22"/>
          <w:szCs w:val="22"/>
        </w:rPr>
        <w:t>ing</w:t>
      </w:r>
      <w:r w:rsidRPr="00CF5CA3">
        <w:rPr>
          <w:rFonts w:ascii="Times New Roman" w:eastAsia="Book Antiqua" w:hAnsi="Times New Roman" w:cs="Times New Roman"/>
          <w:sz w:val="22"/>
          <w:szCs w:val="22"/>
        </w:rPr>
        <w:t xml:space="preserve"> reciprocal market opening through corrective measures adopted by the relevant country.</w:t>
      </w:r>
      <w:r w:rsidRPr="00CF5CA3">
        <w:rPr>
          <w:rFonts w:ascii="Times New Roman" w:eastAsia="Book Antiqua" w:hAnsi="Times New Roman" w:cs="Times New Roman"/>
          <w:sz w:val="22"/>
          <w:szCs w:val="22"/>
          <w:vertAlign w:val="superscript"/>
        </w:rPr>
        <w:footnoteReference w:id="48"/>
      </w:r>
      <w:r w:rsidRPr="00CF5CA3">
        <w:rPr>
          <w:rFonts w:ascii="Times New Roman" w:eastAsia="Book Antiqua" w:hAnsi="Times New Roman" w:cs="Times New Roman"/>
          <w:sz w:val="22"/>
          <w:szCs w:val="22"/>
        </w:rPr>
        <w:t xml:space="preserve"> Consultation with the Member States and written participation of interested parties are also foreseen. If an acceptable </w:t>
      </w:r>
      <w:r w:rsidRPr="00CF5CA3">
        <w:rPr>
          <w:rFonts w:ascii="Times New Roman" w:eastAsia="Book Antiqua" w:hAnsi="Times New Roman" w:cs="Times New Roman"/>
          <w:i/>
          <w:sz w:val="22"/>
          <w:szCs w:val="22"/>
        </w:rPr>
        <w:t xml:space="preserve">modus vivendi </w:t>
      </w:r>
      <w:r w:rsidRPr="00CF5CA3">
        <w:rPr>
          <w:rFonts w:ascii="Times New Roman" w:eastAsia="Book Antiqua" w:hAnsi="Times New Roman" w:cs="Times New Roman"/>
          <w:sz w:val="22"/>
          <w:szCs w:val="22"/>
        </w:rPr>
        <w:t>is not achieved, based on a balance of all relevant interests, including the EU’s broader interests and those of EU economic operators, the Commission may adopt an IPI measure (Article 6(1) to (3)).</w:t>
      </w:r>
      <w:r w:rsidRPr="00CF5CA3">
        <w:rPr>
          <w:rFonts w:ascii="Times New Roman" w:eastAsia="Book Antiqua" w:hAnsi="Times New Roman" w:cs="Times New Roman"/>
          <w:sz w:val="22"/>
          <w:szCs w:val="22"/>
          <w:vertAlign w:val="superscript"/>
        </w:rPr>
        <w:footnoteReference w:id="49"/>
      </w:r>
      <w:r w:rsidR="00D933A3" w:rsidRPr="00CF5CA3">
        <w:rPr>
          <w:rFonts w:ascii="Times New Roman" w:eastAsia="Book Antiqua" w:hAnsi="Times New Roman" w:cs="Times New Roman"/>
          <w:sz w:val="22"/>
          <w:szCs w:val="22"/>
        </w:rPr>
        <w:t xml:space="preserve"> IPI measures can be applied only to procurement procedures where the estimated value of the tender is equal to or above EUR 15</w:t>
      </w:r>
      <w:r w:rsidR="00B03391" w:rsidRPr="00CF5CA3">
        <w:rPr>
          <w:rFonts w:ascii="Times New Roman" w:eastAsia="Book Antiqua" w:hAnsi="Times New Roman" w:cs="Times New Roman"/>
          <w:sz w:val="22"/>
          <w:szCs w:val="22"/>
        </w:rPr>
        <w:t>,000,</w:t>
      </w:r>
      <w:r w:rsidR="00D933A3" w:rsidRPr="00CF5CA3">
        <w:rPr>
          <w:rFonts w:ascii="Times New Roman" w:eastAsia="Book Antiqua" w:hAnsi="Times New Roman" w:cs="Times New Roman"/>
          <w:sz w:val="22"/>
          <w:szCs w:val="22"/>
        </w:rPr>
        <w:t>000 net of VAT for works and concessions, and equal to or above EUR 5</w:t>
      </w:r>
      <w:r w:rsidR="00B03391" w:rsidRPr="00CF5CA3">
        <w:rPr>
          <w:rFonts w:ascii="Times New Roman" w:eastAsia="Book Antiqua" w:hAnsi="Times New Roman" w:cs="Times New Roman"/>
          <w:sz w:val="22"/>
          <w:szCs w:val="22"/>
        </w:rPr>
        <w:t>,000,</w:t>
      </w:r>
      <w:r w:rsidR="00D933A3" w:rsidRPr="00CF5CA3">
        <w:rPr>
          <w:rFonts w:ascii="Times New Roman" w:eastAsia="Book Antiqua" w:hAnsi="Times New Roman" w:cs="Times New Roman"/>
          <w:sz w:val="22"/>
          <w:szCs w:val="22"/>
        </w:rPr>
        <w:t>000 net of VAT for goods and services (Article 6(4)).</w:t>
      </w:r>
    </w:p>
    <w:p w14:paraId="0000002E" w14:textId="362A99C0" w:rsidR="00706BDF"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lastRenderedPageBreak/>
        <w:t>The procedure has been deployed for the first time with reference to measures and practices in the Chinese procurement market for medical devices</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which have been considered by the Commission to discriminate unfairly against European companies and products. While the adoption of an IPI measure is now being considered, the report from the Commission evidenced both the widespread application of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Buy China</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rules and of centralised procurement practices favouring subsidised local producers. For its part, the Republic of China, while downplaying market closure measures and practices, insisted on the need for starting negotiations either in the framework of </w:t>
      </w:r>
      <w:r w:rsidR="00B03391" w:rsidRPr="00CF5CA3">
        <w:rPr>
          <w:rFonts w:ascii="Times New Roman" w:eastAsia="Book Antiqua" w:hAnsi="Times New Roman" w:cs="Times New Roman"/>
          <w:sz w:val="22"/>
          <w:szCs w:val="22"/>
        </w:rPr>
        <w:t>its</w:t>
      </w:r>
      <w:r w:rsidRPr="00CF5CA3">
        <w:rPr>
          <w:rFonts w:ascii="Times New Roman" w:eastAsia="Book Antiqua" w:hAnsi="Times New Roman" w:cs="Times New Roman"/>
          <w:sz w:val="22"/>
          <w:szCs w:val="22"/>
        </w:rPr>
        <w:t xml:space="preserve"> accession to the WTO-GPA or bilaterally.</w:t>
      </w:r>
      <w:r w:rsidRPr="00CF5CA3">
        <w:rPr>
          <w:rFonts w:ascii="Times New Roman" w:eastAsia="Book Antiqua" w:hAnsi="Times New Roman" w:cs="Times New Roman"/>
          <w:sz w:val="22"/>
          <w:szCs w:val="22"/>
          <w:vertAlign w:val="superscript"/>
        </w:rPr>
        <w:footnoteReference w:id="50"/>
      </w:r>
    </w:p>
    <w:p w14:paraId="0000002F" w14:textId="66DF8913" w:rsidR="00706BDF"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 xml:space="preserve">Under Article 6(6) of the IPI Regulation, an IPI measure may either consist </w:t>
      </w:r>
      <w:r w:rsidR="00B03391" w:rsidRPr="00CF5CA3">
        <w:rPr>
          <w:rFonts w:ascii="Times New Roman" w:eastAsia="Book Antiqua" w:hAnsi="Times New Roman" w:cs="Times New Roman"/>
          <w:sz w:val="22"/>
          <w:szCs w:val="22"/>
        </w:rPr>
        <w:t>of</w:t>
      </w:r>
      <w:r w:rsidRPr="00CF5CA3">
        <w:rPr>
          <w:rFonts w:ascii="Times New Roman" w:eastAsia="Book Antiqua" w:hAnsi="Times New Roman" w:cs="Times New Roman"/>
          <w:sz w:val="22"/>
          <w:szCs w:val="22"/>
        </w:rPr>
        <w:t xml:space="preserve"> a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score adjustment</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penalising tenderers from the concerned third country or in their outright exclusion from public procurement or concession procedures throughout the EU. According to the definition in Article 2(1)(d), </w:t>
      </w:r>
    </w:p>
    <w:p w14:paraId="00000030" w14:textId="5B8821EF" w:rsidR="00706BDF" w:rsidRPr="00CF5CA3" w:rsidRDefault="001F7452">
      <w:pPr>
        <w:ind w:left="720"/>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w:t>
      </w:r>
      <w:proofErr w:type="gramStart"/>
      <w:r w:rsidRPr="00CF5CA3">
        <w:rPr>
          <w:rFonts w:ascii="Times New Roman" w:eastAsia="Book Antiqua" w:hAnsi="Times New Roman" w:cs="Times New Roman"/>
          <w:sz w:val="22"/>
          <w:szCs w:val="22"/>
        </w:rPr>
        <w:t>score</w:t>
      </w:r>
      <w:proofErr w:type="gramEnd"/>
      <w:r w:rsidRPr="00CF5CA3">
        <w:rPr>
          <w:rFonts w:ascii="Times New Roman" w:eastAsia="Book Antiqua" w:hAnsi="Times New Roman" w:cs="Times New Roman"/>
          <w:sz w:val="22"/>
          <w:szCs w:val="22"/>
        </w:rPr>
        <w:t xml:space="preserve"> adjustment’ means the relative diminution by a given percentage of the score of a tender, resulting from its evaluation by a contracting authority or a contracting entity, </w:t>
      </w:r>
      <w:proofErr w:type="gramStart"/>
      <w:r w:rsidRPr="00CF5CA3">
        <w:rPr>
          <w:rFonts w:ascii="Times New Roman" w:eastAsia="Book Antiqua" w:hAnsi="Times New Roman" w:cs="Times New Roman"/>
          <w:sz w:val="22"/>
          <w:szCs w:val="22"/>
        </w:rPr>
        <w:t>on the basis of</w:t>
      </w:r>
      <w:proofErr w:type="gramEnd"/>
      <w:r w:rsidRPr="00CF5CA3">
        <w:rPr>
          <w:rFonts w:ascii="Times New Roman" w:eastAsia="Book Antiqua" w:hAnsi="Times New Roman" w:cs="Times New Roman"/>
          <w:sz w:val="22"/>
          <w:szCs w:val="22"/>
        </w:rPr>
        <w:t xml:space="preserve"> the contract award criteria defined in the relevant public procurement documents. In cases where price or cost is the only contract award criterion, the score adjustment means the relative increase, for the purpose of the evaluation of tenders, by a given percentage of the price offered by a tenderer. </w:t>
      </w:r>
    </w:p>
    <w:p w14:paraId="00000032" w14:textId="333AABD3" w:rsidR="00706BDF"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Each IPI measure details its scope of application and, where appropriate, the percentage values of the score adjustment (Article 6(8)).</w:t>
      </w:r>
      <w:r w:rsidR="00B03391" w:rsidRPr="00CF5CA3">
        <w:rPr>
          <w:rFonts w:ascii="Times New Roman" w:eastAsia="Book Antiqua" w:hAnsi="Times New Roman" w:cs="Times New Roman"/>
          <w:sz w:val="22"/>
          <w:szCs w:val="22"/>
        </w:rPr>
        <w:t xml:space="preserve"> </w:t>
      </w:r>
      <w:r w:rsidRPr="00CF5CA3">
        <w:rPr>
          <w:rFonts w:ascii="Times New Roman" w:eastAsia="Book Antiqua" w:hAnsi="Times New Roman" w:cs="Times New Roman"/>
          <w:sz w:val="22"/>
          <w:szCs w:val="22"/>
        </w:rPr>
        <w:t>Under Article 1(4)</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contracting authorities and entities must refer to the IPI measure in the contract documents.</w:t>
      </w:r>
      <w:r w:rsidRPr="00CF5CA3">
        <w:rPr>
          <w:rFonts w:ascii="Times New Roman" w:eastAsia="Book Antiqua" w:hAnsi="Times New Roman" w:cs="Times New Roman"/>
          <w:sz w:val="22"/>
          <w:szCs w:val="22"/>
          <w:vertAlign w:val="superscript"/>
        </w:rPr>
        <w:footnoteReference w:id="51"/>
      </w:r>
      <w:r w:rsidRPr="00CF5CA3">
        <w:rPr>
          <w:rFonts w:ascii="Times New Roman" w:eastAsia="Book Antiqua" w:hAnsi="Times New Roman" w:cs="Times New Roman"/>
          <w:sz w:val="22"/>
          <w:szCs w:val="22"/>
        </w:rPr>
        <w:t xml:space="preserve"> A breach of such an obligation would not make the IPI measure inapplicable</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rather</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it w</w:t>
      </w:r>
      <w:r w:rsidR="00E03765" w:rsidRPr="00CF5CA3">
        <w:rPr>
          <w:rFonts w:ascii="Times New Roman" w:eastAsia="Book Antiqua" w:hAnsi="Times New Roman" w:cs="Times New Roman"/>
          <w:sz w:val="22"/>
          <w:szCs w:val="22"/>
        </w:rPr>
        <w:t>ould</w:t>
      </w:r>
      <w:r w:rsidRPr="00CF5CA3">
        <w:rPr>
          <w:rFonts w:ascii="Times New Roman" w:eastAsia="Book Antiqua" w:hAnsi="Times New Roman" w:cs="Times New Roman"/>
          <w:sz w:val="22"/>
          <w:szCs w:val="22"/>
        </w:rPr>
        <w:t xml:space="preserve"> be a reason for competitors to challenge the contract documents and the award.</w:t>
      </w:r>
      <w:r w:rsidRPr="00CF5CA3">
        <w:rPr>
          <w:rFonts w:ascii="Times New Roman" w:eastAsia="Book Antiqua" w:hAnsi="Times New Roman" w:cs="Times New Roman"/>
          <w:sz w:val="22"/>
          <w:szCs w:val="22"/>
          <w:vertAlign w:val="superscript"/>
        </w:rPr>
        <w:footnoteReference w:id="52"/>
      </w:r>
      <w:r w:rsidRPr="00CF5CA3">
        <w:rPr>
          <w:rFonts w:ascii="Times New Roman" w:eastAsia="Book Antiqua" w:hAnsi="Times New Roman" w:cs="Times New Roman"/>
          <w:sz w:val="22"/>
          <w:szCs w:val="22"/>
        </w:rPr>
        <w:t xml:space="preserve"> Under Article 9, contracting authorities and entities might forgo the application of an IPI measure if there is no alternative source of supply or for overriding reason</w:t>
      </w:r>
      <w:r w:rsidR="00B03391" w:rsidRPr="00CF5CA3">
        <w:rPr>
          <w:rFonts w:ascii="Times New Roman" w:eastAsia="Book Antiqua" w:hAnsi="Times New Roman" w:cs="Times New Roman"/>
          <w:sz w:val="22"/>
          <w:szCs w:val="22"/>
        </w:rPr>
        <w:t>s</w:t>
      </w:r>
      <w:r w:rsidRPr="00CF5CA3">
        <w:rPr>
          <w:rFonts w:ascii="Times New Roman" w:eastAsia="Book Antiqua" w:hAnsi="Times New Roman" w:cs="Times New Roman"/>
          <w:sz w:val="22"/>
          <w:szCs w:val="22"/>
        </w:rPr>
        <w:t xml:space="preserve"> in the general interest, but must notify the Commission about this decision and the reasons supporting it. In order to limit the risk that IPI measures are circumvented through subcontracts, Article 8 provides that penalt</w:t>
      </w:r>
      <w:r w:rsidR="00B03391" w:rsidRPr="00CF5CA3">
        <w:rPr>
          <w:rFonts w:ascii="Times New Roman" w:eastAsia="Book Antiqua" w:hAnsi="Times New Roman" w:cs="Times New Roman"/>
          <w:sz w:val="22"/>
          <w:szCs w:val="22"/>
        </w:rPr>
        <w:t>y</w:t>
      </w:r>
      <w:r w:rsidRPr="00CF5CA3">
        <w:rPr>
          <w:rFonts w:ascii="Times New Roman" w:eastAsia="Book Antiqua" w:hAnsi="Times New Roman" w:cs="Times New Roman"/>
          <w:sz w:val="22"/>
          <w:szCs w:val="22"/>
        </w:rPr>
        <w:t xml:space="preserve"> clauses need to be inserted in public contracts.</w:t>
      </w:r>
      <w:r w:rsidRPr="00CF5CA3">
        <w:rPr>
          <w:rFonts w:ascii="Times New Roman" w:eastAsia="Book Antiqua" w:hAnsi="Times New Roman" w:cs="Times New Roman"/>
          <w:sz w:val="22"/>
          <w:szCs w:val="22"/>
          <w:vertAlign w:val="superscript"/>
        </w:rPr>
        <w:footnoteReference w:id="53"/>
      </w:r>
    </w:p>
    <w:p w14:paraId="00000034" w14:textId="6CDE9E62" w:rsidR="00706BDF"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Rules of origin are an important aspect for the application of the IPI Regulation</w:t>
      </w:r>
      <w:r w:rsidR="004D3267" w:rsidRPr="00CF5CA3">
        <w:rPr>
          <w:rFonts w:ascii="Times New Roman" w:eastAsia="Book Antiqua" w:hAnsi="Times New Roman" w:cs="Times New Roman"/>
          <w:sz w:val="22"/>
          <w:szCs w:val="22"/>
        </w:rPr>
        <w:t>. They</w:t>
      </w:r>
      <w:r w:rsidRPr="00CF5CA3">
        <w:rPr>
          <w:rFonts w:ascii="Times New Roman" w:eastAsia="Book Antiqua" w:hAnsi="Times New Roman" w:cs="Times New Roman"/>
          <w:sz w:val="22"/>
          <w:szCs w:val="22"/>
        </w:rPr>
        <w:t xml:space="preserve"> are needed to avoid third</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country economic operators might too easily circumvent</w:t>
      </w:r>
      <w:r w:rsidR="00B03391" w:rsidRPr="00CF5CA3">
        <w:rPr>
          <w:rFonts w:ascii="Times New Roman" w:eastAsia="Book Antiqua" w:hAnsi="Times New Roman" w:cs="Times New Roman"/>
          <w:sz w:val="22"/>
          <w:szCs w:val="22"/>
        </w:rPr>
        <w:t>ing</w:t>
      </w:r>
      <w:r w:rsidRPr="00CF5CA3">
        <w:rPr>
          <w:rFonts w:ascii="Times New Roman" w:eastAsia="Book Antiqua" w:hAnsi="Times New Roman" w:cs="Times New Roman"/>
          <w:sz w:val="22"/>
          <w:szCs w:val="22"/>
        </w:rPr>
        <w:t xml:space="preserve"> the rules by acquiring the status of EU operators (or the status of operators from third countries benefiting from market access).</w:t>
      </w:r>
      <w:r w:rsidRPr="00CF5CA3">
        <w:rPr>
          <w:rFonts w:ascii="Times New Roman" w:eastAsia="Book Antiqua" w:hAnsi="Times New Roman" w:cs="Times New Roman"/>
          <w:sz w:val="22"/>
          <w:szCs w:val="22"/>
          <w:vertAlign w:val="superscript"/>
        </w:rPr>
        <w:footnoteReference w:id="54"/>
      </w:r>
      <w:r w:rsidRPr="00CF5CA3">
        <w:rPr>
          <w:rFonts w:ascii="Times New Roman" w:eastAsia="Book Antiqua" w:hAnsi="Times New Roman" w:cs="Times New Roman"/>
          <w:sz w:val="22"/>
          <w:szCs w:val="22"/>
        </w:rPr>
        <w:t xml:space="preserve"> A distinction is drawn between goods on the one hand and services, including works, on the other hand.</w:t>
      </w:r>
      <w:r w:rsidRPr="00CF5CA3">
        <w:rPr>
          <w:rFonts w:ascii="Times New Roman" w:eastAsia="Book Antiqua" w:hAnsi="Times New Roman" w:cs="Times New Roman"/>
          <w:sz w:val="22"/>
          <w:szCs w:val="22"/>
          <w:vertAlign w:val="superscript"/>
        </w:rPr>
        <w:footnoteReference w:id="55"/>
      </w:r>
      <w:r w:rsidRPr="00CF5CA3">
        <w:rPr>
          <w:rFonts w:ascii="Times New Roman" w:eastAsia="Book Antiqua" w:hAnsi="Times New Roman" w:cs="Times New Roman"/>
          <w:sz w:val="22"/>
          <w:szCs w:val="22"/>
        </w:rPr>
        <w:t xml:space="preserve"> Concerning the former, Article 3(4) refers to Article 60 of Regulation (EU) No 952/2013 laying down the Union Customs Code.</w:t>
      </w:r>
      <w:r w:rsidR="004D3267" w:rsidRPr="00CF5CA3">
        <w:rPr>
          <w:rFonts w:ascii="Times New Roman" w:eastAsia="Book Antiqua" w:hAnsi="Times New Roman" w:cs="Times New Roman"/>
          <w:sz w:val="22"/>
          <w:szCs w:val="22"/>
        </w:rPr>
        <w:t xml:space="preserve"> </w:t>
      </w:r>
      <w:r w:rsidRPr="00CF5CA3">
        <w:rPr>
          <w:rFonts w:ascii="Times New Roman" w:eastAsia="Book Antiqua" w:hAnsi="Times New Roman" w:cs="Times New Roman"/>
          <w:sz w:val="22"/>
          <w:szCs w:val="22"/>
        </w:rPr>
        <w:t xml:space="preserve">Concerning services, under Article 3, the origin is determined with reference to the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origin</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 </w:t>
      </w:r>
      <w:proofErr w:type="spellStart"/>
      <w:r w:rsidR="00B03391" w:rsidRPr="00CF5CA3">
        <w:rPr>
          <w:rFonts w:ascii="Times New Roman" w:eastAsia="Book Antiqua" w:hAnsi="Times New Roman" w:cs="Times New Roman"/>
          <w:sz w:val="22"/>
          <w:szCs w:val="22"/>
        </w:rPr>
        <w:t>ie</w:t>
      </w:r>
      <w:proofErr w:type="spellEnd"/>
      <w:r w:rsidRPr="00CF5CA3">
        <w:rPr>
          <w:rFonts w:ascii="Times New Roman" w:eastAsia="Book Antiqua" w:hAnsi="Times New Roman" w:cs="Times New Roman"/>
          <w:sz w:val="22"/>
          <w:szCs w:val="22"/>
        </w:rPr>
        <w:t xml:space="preserve"> establishment - of the natural or legal person providing it.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Permanent residence</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is referred to in the case of natural persons (Article 3(1)(a)). Under Article 3(1)(b)(i), the origin of a legal person should be considered to be</w:t>
      </w:r>
      <w:r w:rsidR="00B03391" w:rsidRPr="00CF5CA3">
        <w:rPr>
          <w:rFonts w:ascii="Times New Roman" w:eastAsia="Book Antiqua" w:hAnsi="Times New Roman" w:cs="Times New Roman"/>
          <w:sz w:val="22"/>
          <w:szCs w:val="22"/>
        </w:rPr>
        <w:t xml:space="preserve"> </w:t>
      </w:r>
      <w:r w:rsidRPr="00CF5CA3">
        <w:rPr>
          <w:rFonts w:ascii="Times New Roman" w:eastAsia="Book Antiqua" w:hAnsi="Times New Roman" w:cs="Times New Roman"/>
          <w:sz w:val="22"/>
          <w:szCs w:val="22"/>
        </w:rPr>
        <w:t xml:space="preserve">the country under the laws of which a legal person is constituted or otherwise organised and in the territory of which the legal person is engaged in substantive business operations. However, legal persons constituted or otherwise organised under the laws of a Member State should only be considered to have their origin in the Union if they have a direct and effective link with the economy of a Member State. To avoid a possible circumvention of an IPI measure, in case a legal person is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not engaged in substantive business operation</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in the EU, the reference is to the person or persons having a decisive influence on the legal person concerned </w:t>
      </w:r>
      <w:r w:rsidR="004D3267" w:rsidRPr="00CF5CA3">
        <w:rPr>
          <w:rFonts w:ascii="Times New Roman" w:eastAsia="Book Antiqua" w:hAnsi="Times New Roman" w:cs="Times New Roman"/>
          <w:sz w:val="22"/>
          <w:szCs w:val="22"/>
        </w:rPr>
        <w:lastRenderedPageBreak/>
        <w:t>(</w:t>
      </w:r>
      <w:r w:rsidRPr="00CF5CA3">
        <w:rPr>
          <w:rFonts w:ascii="Times New Roman" w:eastAsia="Book Antiqua" w:hAnsi="Times New Roman" w:cs="Times New Roman"/>
          <w:sz w:val="22"/>
          <w:szCs w:val="22"/>
        </w:rPr>
        <w:t>Article 3(1)(b)(ii)</w:t>
      </w:r>
      <w:r w:rsidR="004D3267"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vertAlign w:val="superscript"/>
        </w:rPr>
        <w:footnoteReference w:id="56"/>
      </w:r>
      <w:r w:rsidRPr="00CF5CA3">
        <w:rPr>
          <w:rFonts w:ascii="Times New Roman" w:eastAsia="Book Antiqua" w:hAnsi="Times New Roman" w:cs="Times New Roman"/>
          <w:sz w:val="22"/>
          <w:szCs w:val="22"/>
        </w:rPr>
        <w:t xml:space="preserve"> The Commission </w:t>
      </w:r>
      <w:r w:rsidRPr="00CF5CA3">
        <w:rPr>
          <w:rFonts w:ascii="Times New Roman" w:eastAsia="Book Antiqua" w:hAnsi="Times New Roman" w:cs="Times New Roman"/>
          <w:i/>
          <w:sz w:val="22"/>
          <w:szCs w:val="22"/>
        </w:rPr>
        <w:t>Guidance on the participation of third-country bidders and goods in the EU procurement market</w:t>
      </w:r>
      <w:r w:rsidRPr="00CF5CA3">
        <w:rPr>
          <w:rFonts w:ascii="Times New Roman" w:eastAsia="Book Antiqua" w:hAnsi="Times New Roman" w:cs="Times New Roman"/>
          <w:sz w:val="22"/>
          <w:szCs w:val="22"/>
        </w:rPr>
        <w:t xml:space="preserve"> provides contracting authorities and entities with further information on how to apply rules of origin provisions.</w:t>
      </w:r>
      <w:r w:rsidRPr="00CF5CA3">
        <w:rPr>
          <w:rFonts w:ascii="Times New Roman" w:eastAsia="Book Antiqua" w:hAnsi="Times New Roman" w:cs="Times New Roman"/>
          <w:sz w:val="22"/>
          <w:szCs w:val="22"/>
          <w:vertAlign w:val="superscript"/>
        </w:rPr>
        <w:footnoteReference w:id="57"/>
      </w:r>
    </w:p>
    <w:p w14:paraId="00000036" w14:textId="3F13E678" w:rsidR="00706BDF"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While the FSR and the NZIA aim at limiting unfair or otherwise undesirable competition on the EU public procurement market from third country economic operators</w:t>
      </w:r>
      <w:r w:rsidR="00F4794D" w:rsidRPr="00CF5CA3">
        <w:rPr>
          <w:rFonts w:ascii="Times New Roman" w:eastAsia="Book Antiqua" w:hAnsi="Times New Roman" w:cs="Times New Roman"/>
          <w:sz w:val="22"/>
          <w:szCs w:val="22"/>
        </w:rPr>
        <w:t xml:space="preserve"> and acts as sticks</w:t>
      </w:r>
      <w:r w:rsidRPr="00CF5CA3">
        <w:rPr>
          <w:rFonts w:ascii="Times New Roman" w:eastAsia="Book Antiqua" w:hAnsi="Times New Roman" w:cs="Times New Roman"/>
          <w:sz w:val="22"/>
          <w:szCs w:val="22"/>
        </w:rPr>
        <w:t>, the IPI aims at prying open foreign markets to the benefit of EU economic operators</w:t>
      </w:r>
      <w:r w:rsidR="00F4794D" w:rsidRPr="00CF5CA3">
        <w:rPr>
          <w:rFonts w:ascii="Times New Roman" w:eastAsia="Book Antiqua" w:hAnsi="Times New Roman" w:cs="Times New Roman"/>
          <w:sz w:val="22"/>
          <w:szCs w:val="22"/>
        </w:rPr>
        <w:t xml:space="preserve"> and therefore it represents the carrot in the external public procurement dimension of the EU</w:t>
      </w:r>
      <w:r w:rsidRPr="00CF5CA3">
        <w:rPr>
          <w:rFonts w:ascii="Times New Roman" w:eastAsia="Book Antiqua" w:hAnsi="Times New Roman" w:cs="Times New Roman"/>
          <w:sz w:val="22"/>
          <w:szCs w:val="22"/>
        </w:rPr>
        <w:t xml:space="preserve">. If </w:t>
      </w:r>
      <w:r w:rsidR="00F4794D" w:rsidRPr="00CF5CA3">
        <w:rPr>
          <w:rFonts w:ascii="Times New Roman" w:eastAsia="Book Antiqua" w:hAnsi="Times New Roman" w:cs="Times New Roman"/>
          <w:sz w:val="22"/>
          <w:szCs w:val="22"/>
        </w:rPr>
        <w:t>enticing fails</w:t>
      </w:r>
      <w:r w:rsidRPr="00CF5CA3">
        <w:rPr>
          <w:rFonts w:ascii="Times New Roman" w:eastAsia="Book Antiqua" w:hAnsi="Times New Roman" w:cs="Times New Roman"/>
          <w:sz w:val="22"/>
          <w:szCs w:val="22"/>
        </w:rPr>
        <w:t xml:space="preserve">, however, the </w:t>
      </w:r>
      <w:r w:rsidR="007A5C32" w:rsidRPr="00CF5CA3">
        <w:rPr>
          <w:rFonts w:ascii="Times New Roman" w:eastAsia="Book Antiqua" w:hAnsi="Times New Roman" w:cs="Times New Roman"/>
          <w:sz w:val="22"/>
          <w:szCs w:val="22"/>
        </w:rPr>
        <w:t xml:space="preserve">temporary </w:t>
      </w:r>
      <w:r w:rsidRPr="00CF5CA3">
        <w:rPr>
          <w:rFonts w:ascii="Times New Roman" w:eastAsia="Book Antiqua" w:hAnsi="Times New Roman" w:cs="Times New Roman"/>
          <w:sz w:val="22"/>
          <w:szCs w:val="22"/>
        </w:rPr>
        <w:t>fallback position is to close the EU market</w:t>
      </w:r>
      <w:r w:rsidR="00F4794D" w:rsidRPr="00CF5CA3">
        <w:rPr>
          <w:rFonts w:ascii="Times New Roman" w:eastAsia="Book Antiqua" w:hAnsi="Times New Roman" w:cs="Times New Roman"/>
          <w:sz w:val="22"/>
          <w:szCs w:val="22"/>
        </w:rPr>
        <w:t>, so the carrot may turn into a stick</w:t>
      </w:r>
      <w:r w:rsidRPr="00CF5CA3">
        <w:rPr>
          <w:rFonts w:ascii="Times New Roman" w:eastAsia="Book Antiqua" w:hAnsi="Times New Roman" w:cs="Times New Roman"/>
          <w:sz w:val="22"/>
          <w:szCs w:val="22"/>
        </w:rPr>
        <w:t>.</w:t>
      </w:r>
      <w:r w:rsidR="00F4794D" w:rsidRPr="00CF5CA3">
        <w:rPr>
          <w:rFonts w:ascii="Times New Roman" w:eastAsia="Book Antiqua" w:hAnsi="Times New Roman" w:cs="Times New Roman"/>
          <w:sz w:val="22"/>
          <w:szCs w:val="22"/>
        </w:rPr>
        <w:t xml:space="preserve"> This is well illustrated by the first Commission decision closing an IPI investigation and restricting the access of economic operators and medical devices originating in the People’s Republic of China to the </w:t>
      </w:r>
      <w:r w:rsidR="00B03391" w:rsidRPr="00CF5CA3">
        <w:rPr>
          <w:rFonts w:ascii="Times New Roman" w:eastAsia="Book Antiqua" w:hAnsi="Times New Roman" w:cs="Times New Roman"/>
          <w:sz w:val="22"/>
          <w:szCs w:val="22"/>
        </w:rPr>
        <w:t>EU</w:t>
      </w:r>
      <w:r w:rsidR="00F4794D" w:rsidRPr="00CF5CA3">
        <w:rPr>
          <w:rFonts w:ascii="Times New Roman" w:eastAsia="Book Antiqua" w:hAnsi="Times New Roman" w:cs="Times New Roman"/>
          <w:sz w:val="22"/>
          <w:szCs w:val="22"/>
        </w:rPr>
        <w:t xml:space="preserve"> public procurement market for medical devices.</w:t>
      </w:r>
      <w:r w:rsidR="00CD18CE" w:rsidRPr="00CF5CA3">
        <w:rPr>
          <w:rStyle w:val="Rimandonotaapidipagina"/>
          <w:rFonts w:ascii="Times New Roman" w:eastAsia="Book Antiqua" w:hAnsi="Times New Roman" w:cs="Times New Roman"/>
          <w:sz w:val="22"/>
          <w:szCs w:val="22"/>
        </w:rPr>
        <w:footnoteReference w:id="58"/>
      </w:r>
      <w:r w:rsidR="00CD18CE" w:rsidRPr="00CF5CA3">
        <w:rPr>
          <w:rFonts w:ascii="Times New Roman" w:eastAsia="Book Antiqua" w:hAnsi="Times New Roman" w:cs="Times New Roman"/>
          <w:sz w:val="22"/>
          <w:szCs w:val="22"/>
        </w:rPr>
        <w:t xml:space="preserve"> The measure excludes Chinese tenders from all procurement procedures concerning all categories of medical devices organised by all Union contracting authorities and contracting entities with a value equal </w:t>
      </w:r>
      <w:r w:rsidR="00B03391" w:rsidRPr="00CF5CA3">
        <w:rPr>
          <w:rFonts w:ascii="Times New Roman" w:eastAsia="Book Antiqua" w:hAnsi="Times New Roman" w:cs="Times New Roman"/>
          <w:sz w:val="22"/>
          <w:szCs w:val="22"/>
        </w:rPr>
        <w:t xml:space="preserve">to </w:t>
      </w:r>
      <w:r w:rsidR="00CD18CE" w:rsidRPr="00CF5CA3">
        <w:rPr>
          <w:rFonts w:ascii="Times New Roman" w:eastAsia="Book Antiqua" w:hAnsi="Times New Roman" w:cs="Times New Roman"/>
          <w:sz w:val="22"/>
          <w:szCs w:val="22"/>
        </w:rPr>
        <w:t>or above EUR 5</w:t>
      </w:r>
      <w:r w:rsidR="00B03391" w:rsidRPr="00CF5CA3">
        <w:rPr>
          <w:rFonts w:ascii="Times New Roman" w:eastAsia="Book Antiqua" w:hAnsi="Times New Roman" w:cs="Times New Roman"/>
          <w:sz w:val="22"/>
          <w:szCs w:val="22"/>
        </w:rPr>
        <w:t>,000,</w:t>
      </w:r>
      <w:r w:rsidR="00CD18CE" w:rsidRPr="00CF5CA3">
        <w:rPr>
          <w:rFonts w:ascii="Times New Roman" w:eastAsia="Book Antiqua" w:hAnsi="Times New Roman" w:cs="Times New Roman"/>
          <w:sz w:val="22"/>
          <w:szCs w:val="22"/>
        </w:rPr>
        <w:t>000.</w:t>
      </w:r>
      <w:r w:rsidR="00324304">
        <w:rPr>
          <w:rFonts w:ascii="Times New Roman" w:eastAsia="Book Antiqua" w:hAnsi="Times New Roman" w:cs="Times New Roman"/>
          <w:sz w:val="22"/>
          <w:szCs w:val="22"/>
        </w:rPr>
        <w:t xml:space="preserve"> As the Commission itself stressed in the conclusions to its report on the application of the IPI regulation, and IPI measure is hoped to be conductive to more negotiation with the concerned third country.</w:t>
      </w:r>
      <w:r w:rsidR="00324304">
        <w:rPr>
          <w:rStyle w:val="Rimandonotaapidipagina"/>
          <w:rFonts w:ascii="Times New Roman" w:eastAsia="Book Antiqua" w:hAnsi="Times New Roman" w:cs="Times New Roman"/>
          <w:sz w:val="22"/>
          <w:szCs w:val="22"/>
        </w:rPr>
        <w:footnoteReference w:id="59"/>
      </w:r>
    </w:p>
    <w:p w14:paraId="00000037" w14:textId="22436207" w:rsidR="00706BDF" w:rsidRPr="00CF5CA3" w:rsidRDefault="001F7452">
      <w:pPr>
        <w:jc w:val="both"/>
        <w:rPr>
          <w:rFonts w:ascii="Times New Roman" w:eastAsia="Book Antiqua" w:hAnsi="Times New Roman" w:cs="Times New Roman"/>
          <w:i/>
          <w:iCs/>
          <w:sz w:val="22"/>
          <w:szCs w:val="22"/>
        </w:rPr>
      </w:pPr>
      <w:r w:rsidRPr="00CF5CA3">
        <w:rPr>
          <w:rFonts w:ascii="Times New Roman" w:eastAsia="Book Antiqua" w:hAnsi="Times New Roman" w:cs="Times New Roman"/>
          <w:i/>
          <w:iCs/>
          <w:sz w:val="22"/>
          <w:szCs w:val="22"/>
        </w:rPr>
        <w:t xml:space="preserve">5. The </w:t>
      </w:r>
      <w:r w:rsidR="00720695" w:rsidRPr="00CF5CA3">
        <w:rPr>
          <w:rFonts w:ascii="Times New Roman" w:eastAsia="Book Antiqua" w:hAnsi="Times New Roman" w:cs="Times New Roman"/>
          <w:i/>
          <w:iCs/>
          <w:sz w:val="22"/>
          <w:szCs w:val="22"/>
        </w:rPr>
        <w:t xml:space="preserve">interpretative </w:t>
      </w:r>
      <w:r w:rsidRPr="00CF5CA3">
        <w:rPr>
          <w:rFonts w:ascii="Times New Roman" w:eastAsia="Book Antiqua" w:hAnsi="Times New Roman" w:cs="Times New Roman"/>
          <w:i/>
          <w:iCs/>
          <w:sz w:val="22"/>
          <w:szCs w:val="22"/>
        </w:rPr>
        <w:t>transformation of Article 25</w:t>
      </w:r>
      <w:r w:rsidR="00720695" w:rsidRPr="00CF5CA3">
        <w:rPr>
          <w:rFonts w:ascii="Times New Roman" w:eastAsia="Book Antiqua" w:hAnsi="Times New Roman" w:cs="Times New Roman"/>
          <w:i/>
          <w:iCs/>
          <w:sz w:val="22"/>
          <w:szCs w:val="22"/>
        </w:rPr>
        <w:t>: Kolin and Qingdao</w:t>
      </w:r>
    </w:p>
    <w:p w14:paraId="0000003A" w14:textId="3F935D62" w:rsidR="00706BDF" w:rsidRPr="00CF5CA3" w:rsidRDefault="001F7452">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 xml:space="preserve">As already mentioned, on its face, Article 25 of </w:t>
      </w:r>
      <w:r w:rsidR="00B03391" w:rsidRPr="00CF5CA3">
        <w:rPr>
          <w:rFonts w:ascii="Times New Roman" w:eastAsia="Book Antiqua" w:hAnsi="Times New Roman" w:cs="Times New Roman"/>
          <w:sz w:val="22"/>
          <w:szCs w:val="22"/>
        </w:rPr>
        <w:t>the Classic Directive</w:t>
      </w:r>
      <w:r w:rsidRPr="00CF5CA3">
        <w:rPr>
          <w:rFonts w:ascii="Times New Roman" w:eastAsia="Book Antiqua" w:hAnsi="Times New Roman" w:cs="Times New Roman"/>
          <w:sz w:val="22"/>
          <w:szCs w:val="22"/>
        </w:rPr>
        <w:t xml:space="preserve"> (and Article 43 of </w:t>
      </w:r>
      <w:r w:rsidR="00B03391" w:rsidRPr="00CF5CA3">
        <w:rPr>
          <w:rFonts w:ascii="Times New Roman" w:eastAsia="Book Antiqua" w:hAnsi="Times New Roman" w:cs="Times New Roman"/>
          <w:sz w:val="22"/>
          <w:szCs w:val="22"/>
        </w:rPr>
        <w:t xml:space="preserve">the Utilities </w:t>
      </w:r>
      <w:r w:rsidRPr="00CF5CA3">
        <w:rPr>
          <w:rFonts w:ascii="Times New Roman" w:eastAsia="Book Antiqua" w:hAnsi="Times New Roman" w:cs="Times New Roman"/>
          <w:sz w:val="22"/>
          <w:szCs w:val="22"/>
        </w:rPr>
        <w:t>Directive) do</w:t>
      </w:r>
      <w:r w:rsidR="00B03391" w:rsidRPr="00CF5CA3">
        <w:rPr>
          <w:rFonts w:ascii="Times New Roman" w:eastAsia="Book Antiqua" w:hAnsi="Times New Roman" w:cs="Times New Roman"/>
          <w:sz w:val="22"/>
          <w:szCs w:val="22"/>
        </w:rPr>
        <w:t xml:space="preserve">es </w:t>
      </w:r>
      <w:r w:rsidRPr="00CF5CA3">
        <w:rPr>
          <w:rFonts w:ascii="Times New Roman" w:eastAsia="Book Antiqua" w:hAnsi="Times New Roman" w:cs="Times New Roman"/>
          <w:sz w:val="22"/>
          <w:szCs w:val="22"/>
        </w:rPr>
        <w:t>not do much more than recall the obligations flowing from the WTO-GPA and from other international agreements.</w:t>
      </w:r>
      <w:r w:rsidR="004D3267" w:rsidRPr="00CF5CA3">
        <w:rPr>
          <w:rFonts w:ascii="Times New Roman" w:eastAsia="Book Antiqua" w:hAnsi="Times New Roman" w:cs="Times New Roman"/>
          <w:sz w:val="22"/>
          <w:szCs w:val="22"/>
        </w:rPr>
        <w:t xml:space="preserve"> </w:t>
      </w:r>
      <w:r w:rsidRPr="00CF5CA3">
        <w:rPr>
          <w:rFonts w:ascii="Times New Roman" w:eastAsia="Book Antiqua" w:hAnsi="Times New Roman" w:cs="Times New Roman"/>
          <w:sz w:val="22"/>
          <w:szCs w:val="22"/>
        </w:rPr>
        <w:t xml:space="preserve">Early on, however, La Chimia argued that the provision should also be read as a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bargaining tool</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to lure more third countries to enter into reciprocal agreements to ensure that their economic operators can benefit from access to the EU procurement market.</w:t>
      </w:r>
      <w:r w:rsidRPr="00CF5CA3">
        <w:rPr>
          <w:rFonts w:ascii="Times New Roman" w:eastAsia="Book Antiqua" w:hAnsi="Times New Roman" w:cs="Times New Roman"/>
          <w:sz w:val="22"/>
          <w:szCs w:val="22"/>
          <w:vertAlign w:val="superscript"/>
        </w:rPr>
        <w:footnoteReference w:id="60"/>
      </w:r>
      <w:r w:rsidRPr="00CF5CA3">
        <w:rPr>
          <w:rFonts w:ascii="Times New Roman" w:eastAsia="Book Antiqua" w:hAnsi="Times New Roman" w:cs="Times New Roman"/>
          <w:sz w:val="22"/>
          <w:szCs w:val="22"/>
        </w:rPr>
        <w:t xml:space="preserve"> This instrumental function of Article 43 has been much strengthened by the </w:t>
      </w:r>
      <w:r w:rsidR="00B03391" w:rsidRPr="00CF5CA3">
        <w:rPr>
          <w:rFonts w:ascii="Times New Roman" w:eastAsia="Book Antiqua" w:hAnsi="Times New Roman" w:cs="Times New Roman"/>
          <w:sz w:val="22"/>
          <w:szCs w:val="22"/>
        </w:rPr>
        <w:t>CJEU</w:t>
      </w:r>
      <w:r w:rsidRPr="00CF5CA3">
        <w:rPr>
          <w:rFonts w:ascii="Times New Roman" w:eastAsia="Book Antiqua" w:hAnsi="Times New Roman" w:cs="Times New Roman"/>
          <w:sz w:val="22"/>
          <w:szCs w:val="22"/>
        </w:rPr>
        <w:t xml:space="preserve"> in the recent </w:t>
      </w:r>
      <w:r w:rsidRPr="00CF5CA3">
        <w:rPr>
          <w:rFonts w:ascii="Times New Roman" w:eastAsia="Book Antiqua" w:hAnsi="Times New Roman" w:cs="Times New Roman"/>
          <w:i/>
          <w:sz w:val="22"/>
          <w:szCs w:val="22"/>
        </w:rPr>
        <w:t xml:space="preserve">Kolin </w:t>
      </w:r>
      <w:r w:rsidRPr="00CF5CA3">
        <w:rPr>
          <w:rFonts w:ascii="Times New Roman" w:eastAsia="Book Antiqua" w:hAnsi="Times New Roman" w:cs="Times New Roman"/>
          <w:sz w:val="22"/>
          <w:szCs w:val="22"/>
        </w:rPr>
        <w:t>case</w:t>
      </w:r>
      <w:r w:rsidRPr="00CF5CA3">
        <w:rPr>
          <w:rFonts w:ascii="Times New Roman" w:eastAsia="Book Antiqua" w:hAnsi="Times New Roman" w:cs="Times New Roman"/>
          <w:sz w:val="22"/>
          <w:szCs w:val="22"/>
          <w:vertAlign w:val="superscript"/>
        </w:rPr>
        <w:footnoteReference w:id="61"/>
      </w:r>
      <w:r w:rsidRPr="00CF5CA3">
        <w:rPr>
          <w:rFonts w:ascii="Times New Roman" w:eastAsia="Book Antiqua" w:hAnsi="Times New Roman" w:cs="Times New Roman"/>
          <w:sz w:val="22"/>
          <w:szCs w:val="22"/>
        </w:rPr>
        <w:t xml:space="preserve">, which was reaffirmed in </w:t>
      </w:r>
      <w:r w:rsidRPr="00CF5CA3">
        <w:rPr>
          <w:rFonts w:ascii="Times New Roman" w:eastAsia="Book Antiqua" w:hAnsi="Times New Roman" w:cs="Times New Roman"/>
          <w:i/>
          <w:sz w:val="22"/>
          <w:szCs w:val="22"/>
        </w:rPr>
        <w:t>Qingdao</w:t>
      </w:r>
      <w:r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vertAlign w:val="superscript"/>
        </w:rPr>
        <w:footnoteReference w:id="62"/>
      </w:r>
      <w:r w:rsidRPr="00CF5CA3">
        <w:rPr>
          <w:rFonts w:ascii="Times New Roman" w:eastAsia="Book Antiqua" w:hAnsi="Times New Roman" w:cs="Times New Roman"/>
          <w:sz w:val="22"/>
          <w:szCs w:val="22"/>
        </w:rPr>
        <w:t xml:space="preserve"> </w:t>
      </w:r>
    </w:p>
    <w:p w14:paraId="0000003C" w14:textId="5C272298" w:rsidR="00706BDF"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 xml:space="preserve">According to the </w:t>
      </w:r>
      <w:r w:rsidR="00B03391" w:rsidRPr="00CF5CA3">
        <w:rPr>
          <w:rFonts w:ascii="Times New Roman" w:eastAsia="Book Antiqua" w:hAnsi="Times New Roman" w:cs="Times New Roman"/>
          <w:sz w:val="22"/>
          <w:szCs w:val="22"/>
        </w:rPr>
        <w:t>CJEU</w:t>
      </w:r>
      <w:r w:rsidR="004D3267" w:rsidRPr="00CF5CA3">
        <w:rPr>
          <w:rFonts w:ascii="Times New Roman" w:eastAsia="Book Antiqua" w:hAnsi="Times New Roman" w:cs="Times New Roman"/>
          <w:sz w:val="22"/>
          <w:szCs w:val="22"/>
        </w:rPr>
        <w:t xml:space="preserve"> in </w:t>
      </w:r>
      <w:r w:rsidR="004D3267" w:rsidRPr="00CF5CA3">
        <w:rPr>
          <w:rFonts w:ascii="Times New Roman" w:eastAsia="Book Antiqua" w:hAnsi="Times New Roman" w:cs="Times New Roman"/>
          <w:i/>
          <w:iCs/>
          <w:sz w:val="22"/>
          <w:szCs w:val="22"/>
        </w:rPr>
        <w:t>Kolin</w:t>
      </w:r>
      <w:r w:rsidRPr="00CF5CA3">
        <w:rPr>
          <w:rFonts w:ascii="Times New Roman" w:eastAsia="Book Antiqua" w:hAnsi="Times New Roman" w:cs="Times New Roman"/>
          <w:sz w:val="22"/>
          <w:szCs w:val="22"/>
        </w:rPr>
        <w:t xml:space="preserve">, Article 43 of </w:t>
      </w:r>
      <w:r w:rsidR="00B03391" w:rsidRPr="00CF5CA3">
        <w:rPr>
          <w:rFonts w:ascii="Times New Roman" w:eastAsia="Book Antiqua" w:hAnsi="Times New Roman" w:cs="Times New Roman"/>
          <w:sz w:val="22"/>
          <w:szCs w:val="22"/>
        </w:rPr>
        <w:t xml:space="preserve">the Utilities </w:t>
      </w:r>
      <w:r w:rsidRPr="00CF5CA3">
        <w:rPr>
          <w:rFonts w:ascii="Times New Roman" w:eastAsia="Book Antiqua" w:hAnsi="Times New Roman" w:cs="Times New Roman"/>
          <w:sz w:val="22"/>
          <w:szCs w:val="22"/>
        </w:rPr>
        <w:t xml:space="preserve">Directive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reflects</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the EU international commitments to give equal participation rights to economic operators hailing from third countries benefiting from international commitments signed by the EU.</w:t>
      </w:r>
      <w:r w:rsidRPr="00CF5CA3">
        <w:rPr>
          <w:rFonts w:ascii="Times New Roman" w:eastAsia="Book Antiqua" w:hAnsi="Times New Roman" w:cs="Times New Roman"/>
          <w:sz w:val="22"/>
          <w:szCs w:val="22"/>
          <w:vertAlign w:val="superscript"/>
        </w:rPr>
        <w:footnoteReference w:id="63"/>
      </w:r>
      <w:r w:rsidRPr="00CF5CA3">
        <w:rPr>
          <w:rFonts w:ascii="Times New Roman" w:eastAsia="Book Antiqua" w:hAnsi="Times New Roman" w:cs="Times New Roman"/>
          <w:sz w:val="22"/>
          <w:szCs w:val="22"/>
        </w:rPr>
        <w:t xml:space="preserve"> However, the </w:t>
      </w:r>
      <w:r w:rsidR="00B03391" w:rsidRPr="00CF5CA3">
        <w:rPr>
          <w:rFonts w:ascii="Times New Roman" w:eastAsia="Book Antiqua" w:hAnsi="Times New Roman" w:cs="Times New Roman"/>
          <w:sz w:val="22"/>
          <w:szCs w:val="22"/>
        </w:rPr>
        <w:t>CJEU</w:t>
      </w:r>
      <w:r w:rsidRPr="00CF5CA3">
        <w:rPr>
          <w:rFonts w:ascii="Times New Roman" w:eastAsia="Book Antiqua" w:hAnsi="Times New Roman" w:cs="Times New Roman"/>
          <w:sz w:val="22"/>
          <w:szCs w:val="22"/>
        </w:rPr>
        <w:t xml:space="preserve"> read more in</w:t>
      </w:r>
      <w:r w:rsidR="00B03391" w:rsidRPr="00CF5CA3">
        <w:rPr>
          <w:rFonts w:ascii="Times New Roman" w:eastAsia="Book Antiqua" w:hAnsi="Times New Roman" w:cs="Times New Roman"/>
          <w:sz w:val="22"/>
          <w:szCs w:val="22"/>
        </w:rPr>
        <w:t>to</w:t>
      </w:r>
      <w:r w:rsidRPr="00CF5CA3">
        <w:rPr>
          <w:rFonts w:ascii="Times New Roman" w:eastAsia="Book Antiqua" w:hAnsi="Times New Roman" w:cs="Times New Roman"/>
          <w:sz w:val="22"/>
          <w:szCs w:val="22"/>
        </w:rPr>
        <w:t xml:space="preserve"> </w:t>
      </w:r>
      <w:r w:rsidR="00B03391" w:rsidRPr="00CF5CA3">
        <w:rPr>
          <w:rFonts w:ascii="Times New Roman" w:eastAsia="Book Antiqua" w:hAnsi="Times New Roman" w:cs="Times New Roman"/>
          <w:sz w:val="22"/>
          <w:szCs w:val="22"/>
        </w:rPr>
        <w:t xml:space="preserve">the Utilities </w:t>
      </w:r>
      <w:r w:rsidRPr="00CF5CA3">
        <w:rPr>
          <w:rFonts w:ascii="Times New Roman" w:eastAsia="Book Antiqua" w:hAnsi="Times New Roman" w:cs="Times New Roman"/>
          <w:sz w:val="22"/>
          <w:szCs w:val="22"/>
        </w:rPr>
        <w:t>Directive. According to the Court, in the absence of exclusion measures adopted by the EU, although the Directive does not preclude those third</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country economic operators </w:t>
      </w:r>
    </w:p>
    <w:p w14:paraId="0000003D" w14:textId="77777777" w:rsidR="00706BDF" w:rsidRPr="00CF5CA3" w:rsidRDefault="001F7452">
      <w:pPr>
        <w:spacing w:before="240" w:after="240"/>
        <w:ind w:left="700"/>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from being allowed to participate in a public procurement procedure governed by Directive 2014/25, it does, however, preclude those economic operators from being able, in the context of their participation in such a procedure, to rely on that directive and thus to require that their tender be treated equally to those submitted by tenderers from Member States and by the tenderers from third countries referred to in Article 43 of that directive (paragraph 45).</w:t>
      </w:r>
    </w:p>
    <w:p w14:paraId="6E885DEB" w14:textId="1E99AB4B" w:rsidR="004D3267" w:rsidRPr="00CF5CA3" w:rsidRDefault="001F7452" w:rsidP="004D3267">
      <w:pPr>
        <w:spacing w:before="240" w:after="240"/>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 xml:space="preserve">Reasoning otherwise would indeed mean that the same benefits reflected in Article 43 would be accorded to economic operators from all third countries, regardless </w:t>
      </w:r>
      <w:r w:rsidR="00B03391" w:rsidRPr="00CF5CA3">
        <w:rPr>
          <w:rFonts w:ascii="Times New Roman" w:eastAsia="Book Antiqua" w:hAnsi="Times New Roman" w:cs="Times New Roman"/>
          <w:sz w:val="22"/>
          <w:szCs w:val="22"/>
        </w:rPr>
        <w:t xml:space="preserve">of </w:t>
      </w:r>
      <w:r w:rsidRPr="00CF5CA3">
        <w:rPr>
          <w:rFonts w:ascii="Times New Roman" w:eastAsia="Book Antiqua" w:hAnsi="Times New Roman" w:cs="Times New Roman"/>
          <w:sz w:val="22"/>
          <w:szCs w:val="22"/>
        </w:rPr>
        <w:t xml:space="preserve">whether they are covered by an international </w:t>
      </w:r>
      <w:r w:rsidRPr="00CF5CA3">
        <w:rPr>
          <w:rFonts w:ascii="Times New Roman" w:eastAsia="Book Antiqua" w:hAnsi="Times New Roman" w:cs="Times New Roman"/>
          <w:sz w:val="22"/>
          <w:szCs w:val="22"/>
        </w:rPr>
        <w:lastRenderedPageBreak/>
        <w:t>agreement.</w:t>
      </w:r>
      <w:r w:rsidRPr="00CF5CA3">
        <w:rPr>
          <w:rFonts w:ascii="Times New Roman" w:eastAsia="Book Antiqua" w:hAnsi="Times New Roman" w:cs="Times New Roman"/>
          <w:sz w:val="22"/>
          <w:szCs w:val="22"/>
          <w:vertAlign w:val="superscript"/>
        </w:rPr>
        <w:footnoteReference w:id="64"/>
      </w:r>
      <w:r w:rsidRPr="00CF5CA3">
        <w:rPr>
          <w:rFonts w:ascii="Times New Roman" w:eastAsia="Book Antiqua" w:hAnsi="Times New Roman" w:cs="Times New Roman"/>
          <w:sz w:val="22"/>
          <w:szCs w:val="22"/>
        </w:rPr>
        <w:t xml:space="preserve"> The </w:t>
      </w:r>
      <w:r w:rsidR="00107E14">
        <w:rPr>
          <w:rFonts w:ascii="Times New Roman" w:eastAsia="Book Antiqua" w:hAnsi="Times New Roman" w:cs="Times New Roman"/>
          <w:sz w:val="22"/>
          <w:szCs w:val="22"/>
        </w:rPr>
        <w:t>conclusion</w:t>
      </w:r>
      <w:r w:rsidRPr="00CF5CA3">
        <w:rPr>
          <w:rFonts w:ascii="Times New Roman" w:eastAsia="Book Antiqua" w:hAnsi="Times New Roman" w:cs="Times New Roman"/>
          <w:sz w:val="22"/>
          <w:szCs w:val="22"/>
        </w:rPr>
        <w:t xml:space="preserve"> is further supported by reference to the IPI Regulation discussed above (§ 4).</w:t>
      </w:r>
      <w:r w:rsidRPr="00CF5CA3">
        <w:rPr>
          <w:rFonts w:ascii="Times New Roman" w:eastAsia="Book Antiqua" w:hAnsi="Times New Roman" w:cs="Times New Roman"/>
          <w:sz w:val="22"/>
          <w:szCs w:val="22"/>
          <w:vertAlign w:val="superscript"/>
        </w:rPr>
        <w:footnoteReference w:id="65"/>
      </w:r>
      <w:r w:rsidRPr="00CF5CA3">
        <w:rPr>
          <w:rFonts w:ascii="Times New Roman" w:eastAsia="Book Antiqua" w:hAnsi="Times New Roman" w:cs="Times New Roman"/>
          <w:sz w:val="22"/>
          <w:szCs w:val="22"/>
        </w:rPr>
        <w:t xml:space="preserve"> The IPI Regulation confirms that economic operators not benefiting from international commitment may be excluded from public procurement procedures in the EU as they do not enjoy market access rights.</w:t>
      </w:r>
      <w:r w:rsidRPr="00CF5CA3">
        <w:rPr>
          <w:rFonts w:ascii="Times New Roman" w:eastAsia="Book Antiqua" w:hAnsi="Times New Roman" w:cs="Times New Roman"/>
          <w:sz w:val="22"/>
          <w:szCs w:val="22"/>
          <w:vertAlign w:val="superscript"/>
        </w:rPr>
        <w:footnoteReference w:id="66"/>
      </w:r>
    </w:p>
    <w:p w14:paraId="00000041" w14:textId="5FB513B5" w:rsidR="00706BDF" w:rsidRPr="00CF5CA3" w:rsidRDefault="001F7452" w:rsidP="00B03391">
      <w:pPr>
        <w:spacing w:before="240" w:after="240"/>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 xml:space="preserve">To rebut the argument advanced by some of the Member States to the effect that </w:t>
      </w:r>
      <w:r w:rsidR="00B03391" w:rsidRPr="00CF5CA3">
        <w:rPr>
          <w:rFonts w:ascii="Times New Roman" w:eastAsia="Book Antiqua" w:hAnsi="Times New Roman" w:cs="Times New Roman"/>
          <w:sz w:val="22"/>
          <w:szCs w:val="22"/>
        </w:rPr>
        <w:t xml:space="preserve">the Utilities </w:t>
      </w:r>
      <w:r w:rsidRPr="00CF5CA3">
        <w:rPr>
          <w:rFonts w:ascii="Times New Roman" w:eastAsia="Book Antiqua" w:hAnsi="Times New Roman" w:cs="Times New Roman"/>
          <w:sz w:val="22"/>
          <w:szCs w:val="22"/>
        </w:rPr>
        <w:t xml:space="preserve">Directive does not stand in the way of national law according access to economic operators from all third countries, even those not bound by international agreements, the </w:t>
      </w:r>
      <w:r w:rsidR="00CD2258" w:rsidRPr="00CF5CA3">
        <w:rPr>
          <w:rFonts w:ascii="Times New Roman" w:eastAsia="Book Antiqua" w:hAnsi="Times New Roman" w:cs="Times New Roman"/>
          <w:sz w:val="22"/>
          <w:szCs w:val="22"/>
        </w:rPr>
        <w:t>CJEU</w:t>
      </w:r>
      <w:r w:rsidRPr="00CF5CA3">
        <w:rPr>
          <w:rFonts w:ascii="Times New Roman" w:eastAsia="Book Antiqua" w:hAnsi="Times New Roman" w:cs="Times New Roman"/>
          <w:sz w:val="22"/>
          <w:szCs w:val="22"/>
        </w:rPr>
        <w:t xml:space="preserve"> </w:t>
      </w:r>
      <w:r w:rsidR="00D55BB6" w:rsidRPr="00CF5CA3">
        <w:rPr>
          <w:rFonts w:ascii="Times New Roman" w:eastAsia="Book Antiqua" w:hAnsi="Times New Roman" w:cs="Times New Roman"/>
          <w:sz w:val="22"/>
          <w:szCs w:val="22"/>
        </w:rPr>
        <w:t xml:space="preserve">referred to </w:t>
      </w:r>
      <w:r w:rsidRPr="00CF5CA3">
        <w:rPr>
          <w:rFonts w:ascii="Times New Roman" w:eastAsia="Book Antiqua" w:hAnsi="Times New Roman" w:cs="Times New Roman"/>
          <w:sz w:val="22"/>
          <w:szCs w:val="22"/>
        </w:rPr>
        <w:t>the EU exclusive competence in matters of international trade.</w:t>
      </w:r>
      <w:r w:rsidR="00D55BB6" w:rsidRPr="00CF5CA3">
        <w:rPr>
          <w:rStyle w:val="Rimandonotaapidipagina"/>
          <w:rFonts w:ascii="Times New Roman" w:eastAsia="Book Antiqua" w:hAnsi="Times New Roman" w:cs="Times New Roman"/>
          <w:sz w:val="22"/>
          <w:szCs w:val="22"/>
        </w:rPr>
        <w:footnoteReference w:id="67"/>
      </w:r>
      <w:r w:rsidRPr="00CF5CA3">
        <w:rPr>
          <w:rFonts w:ascii="Times New Roman" w:eastAsia="Book Antiqua" w:hAnsi="Times New Roman" w:cs="Times New Roman"/>
          <w:sz w:val="22"/>
          <w:szCs w:val="22"/>
        </w:rPr>
        <w:t xml:space="preserve"> The Court held that only the EU is competent to decide in general terms which economic operators </w:t>
      </w:r>
      <w:r w:rsidRPr="00CF5CA3">
        <w:rPr>
          <w:rFonts w:ascii="Times New Roman" w:eastAsia="Book Antiqua" w:hAnsi="Times New Roman" w:cs="Times New Roman"/>
          <w:i/>
          <w:iCs/>
          <w:sz w:val="22"/>
          <w:szCs w:val="22"/>
        </w:rPr>
        <w:t xml:space="preserve">do </w:t>
      </w:r>
      <w:r w:rsidRPr="00CF5CA3">
        <w:rPr>
          <w:rFonts w:ascii="Times New Roman" w:eastAsia="Book Antiqua" w:hAnsi="Times New Roman" w:cs="Times New Roman"/>
          <w:sz w:val="22"/>
          <w:szCs w:val="22"/>
        </w:rPr>
        <w:t xml:space="preserve">have access to the European procurement markets. The decision takes place through the negotiation and conclusion of international agreements. The exclusive competence of the EU </w:t>
      </w:r>
      <w:r w:rsidR="000017F3" w:rsidRPr="00CF5CA3">
        <w:rPr>
          <w:rFonts w:ascii="Times New Roman" w:eastAsia="Book Antiqua" w:hAnsi="Times New Roman" w:cs="Times New Roman"/>
          <w:sz w:val="22"/>
          <w:szCs w:val="22"/>
        </w:rPr>
        <w:t xml:space="preserve">in this area </w:t>
      </w:r>
      <w:r w:rsidRPr="00CF5CA3">
        <w:rPr>
          <w:rFonts w:ascii="Times New Roman" w:eastAsia="Book Antiqua" w:hAnsi="Times New Roman" w:cs="Times New Roman"/>
          <w:sz w:val="22"/>
          <w:szCs w:val="22"/>
        </w:rPr>
        <w:t>is grounded on Article 3</w:t>
      </w:r>
      <w:r w:rsidR="000017F3" w:rsidRPr="00CF5CA3">
        <w:rPr>
          <w:rFonts w:ascii="Times New Roman" w:eastAsia="Book Antiqua" w:hAnsi="Times New Roman" w:cs="Times New Roman"/>
          <w:sz w:val="22"/>
          <w:szCs w:val="22"/>
        </w:rPr>
        <w:t>(1)(e) and (2)</w:t>
      </w:r>
      <w:r w:rsidRPr="00CF5CA3">
        <w:rPr>
          <w:rFonts w:ascii="Times New Roman" w:eastAsia="Book Antiqua" w:hAnsi="Times New Roman" w:cs="Times New Roman"/>
          <w:sz w:val="22"/>
          <w:szCs w:val="22"/>
        </w:rPr>
        <w:t xml:space="preserve"> TFEU. </w:t>
      </w:r>
      <w:r w:rsidR="000017F3" w:rsidRPr="00CF5CA3">
        <w:rPr>
          <w:rFonts w:ascii="Times New Roman" w:eastAsia="Book Antiqua" w:hAnsi="Times New Roman" w:cs="Times New Roman"/>
          <w:sz w:val="22"/>
          <w:szCs w:val="22"/>
        </w:rPr>
        <w:t>Therefore</w:t>
      </w:r>
      <w:r w:rsidRPr="00CF5CA3">
        <w:rPr>
          <w:rFonts w:ascii="Times New Roman" w:eastAsia="Book Antiqua" w:hAnsi="Times New Roman" w:cs="Times New Roman"/>
          <w:sz w:val="22"/>
          <w:szCs w:val="22"/>
        </w:rPr>
        <w:t>,</w:t>
      </w:r>
    </w:p>
    <w:p w14:paraId="00000042" w14:textId="77777777" w:rsidR="00706BDF" w:rsidRPr="00CF5CA3" w:rsidRDefault="001F7452">
      <w:pPr>
        <w:spacing w:before="240" w:after="240"/>
        <w:ind w:left="700"/>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Any act of general application specifically intended to determine the arrangements under which economic operators from a third country may participate in public procurement procedures in the European Union is such as to have direct and immediate effects on trade in goods and services between that third country and the European Union, with the result that it falls within the exclusive competence of the European Union (…).</w:t>
      </w:r>
      <w:r w:rsidRPr="00CF5CA3">
        <w:rPr>
          <w:rFonts w:ascii="Times New Roman" w:eastAsia="Book Antiqua" w:hAnsi="Times New Roman" w:cs="Times New Roman"/>
          <w:sz w:val="22"/>
          <w:szCs w:val="22"/>
          <w:vertAlign w:val="superscript"/>
        </w:rPr>
        <w:footnoteReference w:id="68"/>
      </w:r>
    </w:p>
    <w:p w14:paraId="00000043" w14:textId="05EE43BB" w:rsidR="00706BDF" w:rsidRPr="00CF5CA3" w:rsidRDefault="001F7452">
      <w:pPr>
        <w:spacing w:before="240" w:after="240"/>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 xml:space="preserve">The </w:t>
      </w:r>
      <w:r w:rsidR="00CD2258" w:rsidRPr="00CF5CA3">
        <w:rPr>
          <w:rFonts w:ascii="Times New Roman" w:eastAsia="Book Antiqua" w:hAnsi="Times New Roman" w:cs="Times New Roman"/>
          <w:sz w:val="22"/>
          <w:szCs w:val="22"/>
        </w:rPr>
        <w:t xml:space="preserve">CJEU </w:t>
      </w:r>
      <w:r w:rsidRPr="00CF5CA3">
        <w:rPr>
          <w:rFonts w:ascii="Times New Roman" w:eastAsia="Book Antiqua" w:hAnsi="Times New Roman" w:cs="Times New Roman"/>
          <w:sz w:val="22"/>
          <w:szCs w:val="22"/>
        </w:rPr>
        <w:t xml:space="preserve">again refers to the IPI Regulation to strengthen its conclusion about the exclusive competence of the EU with reference to the adoption of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measures of general application that may be taken with regard to economic operators of a third country which has not concluded an international agreement with the European Union</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vertAlign w:val="superscript"/>
        </w:rPr>
        <w:footnoteReference w:id="69"/>
      </w:r>
      <w:r w:rsidRPr="00CF5CA3">
        <w:rPr>
          <w:rFonts w:ascii="Times New Roman" w:eastAsia="Book Antiqua" w:hAnsi="Times New Roman" w:cs="Times New Roman"/>
          <w:sz w:val="22"/>
          <w:szCs w:val="22"/>
        </w:rPr>
        <w:t xml:space="preserve"> In </w:t>
      </w:r>
      <w:r w:rsidRPr="00CF5CA3">
        <w:rPr>
          <w:rFonts w:ascii="Times New Roman" w:eastAsia="Book Antiqua" w:hAnsi="Times New Roman" w:cs="Times New Roman"/>
          <w:i/>
          <w:sz w:val="22"/>
          <w:szCs w:val="22"/>
        </w:rPr>
        <w:t>Qingdao</w:t>
      </w:r>
      <w:r w:rsidR="00B03391" w:rsidRPr="00CF5CA3">
        <w:rPr>
          <w:rFonts w:ascii="Times New Roman" w:eastAsia="Book Antiqua" w:hAnsi="Times New Roman" w:cs="Times New Roman"/>
          <w:i/>
          <w:sz w:val="22"/>
          <w:szCs w:val="22"/>
        </w:rPr>
        <w:t>,</w:t>
      </w:r>
      <w:r w:rsidRPr="00CF5CA3">
        <w:rPr>
          <w:rFonts w:ascii="Times New Roman" w:eastAsia="Book Antiqua" w:hAnsi="Times New Roman" w:cs="Times New Roman"/>
          <w:sz w:val="22"/>
          <w:szCs w:val="22"/>
        </w:rPr>
        <w:t xml:space="preserve"> the </w:t>
      </w:r>
      <w:r w:rsidR="00B03391" w:rsidRPr="00CF5CA3">
        <w:rPr>
          <w:rFonts w:ascii="Times New Roman" w:eastAsia="Book Antiqua" w:hAnsi="Times New Roman" w:cs="Times New Roman"/>
          <w:sz w:val="22"/>
          <w:szCs w:val="22"/>
        </w:rPr>
        <w:t>CJEU</w:t>
      </w:r>
      <w:r w:rsidRPr="00CF5CA3">
        <w:rPr>
          <w:rFonts w:ascii="Times New Roman" w:eastAsia="Book Antiqua" w:hAnsi="Times New Roman" w:cs="Times New Roman"/>
          <w:sz w:val="22"/>
          <w:szCs w:val="22"/>
        </w:rPr>
        <w:t xml:space="preserve"> further deduced from the exclusive EU competence a prohibition against domestic legislation excluding economic operators not benefiting from market opening measures </w:t>
      </w:r>
      <w:r w:rsidR="00B03391" w:rsidRPr="00CF5CA3">
        <w:rPr>
          <w:rFonts w:ascii="Times New Roman" w:eastAsia="Book Antiqua" w:hAnsi="Times New Roman" w:cs="Times New Roman"/>
          <w:sz w:val="22"/>
          <w:szCs w:val="22"/>
        </w:rPr>
        <w:t>from</w:t>
      </w:r>
      <w:r w:rsidRPr="00CF5CA3">
        <w:rPr>
          <w:rFonts w:ascii="Times New Roman" w:eastAsia="Book Antiqua" w:hAnsi="Times New Roman" w:cs="Times New Roman"/>
          <w:sz w:val="22"/>
          <w:szCs w:val="22"/>
        </w:rPr>
        <w:t xml:space="preserve"> participat</w:t>
      </w:r>
      <w:r w:rsidR="00B03391" w:rsidRPr="00CF5CA3">
        <w:rPr>
          <w:rFonts w:ascii="Times New Roman" w:eastAsia="Book Antiqua" w:hAnsi="Times New Roman" w:cs="Times New Roman"/>
          <w:sz w:val="22"/>
          <w:szCs w:val="22"/>
        </w:rPr>
        <w:t>ing</w:t>
      </w:r>
      <w:r w:rsidRPr="00CF5CA3">
        <w:rPr>
          <w:rFonts w:ascii="Times New Roman" w:eastAsia="Book Antiqua" w:hAnsi="Times New Roman" w:cs="Times New Roman"/>
          <w:sz w:val="22"/>
          <w:szCs w:val="22"/>
        </w:rPr>
        <w:t xml:space="preserve"> in award procedures.</w:t>
      </w:r>
      <w:r w:rsidRPr="00CF5CA3">
        <w:rPr>
          <w:rFonts w:ascii="Times New Roman" w:eastAsia="Book Antiqua" w:hAnsi="Times New Roman" w:cs="Times New Roman"/>
          <w:sz w:val="22"/>
          <w:szCs w:val="22"/>
          <w:vertAlign w:val="superscript"/>
        </w:rPr>
        <w:footnoteReference w:id="70"/>
      </w:r>
    </w:p>
    <w:p w14:paraId="00000046" w14:textId="6C868E36" w:rsidR="00706BDF" w:rsidRPr="00CF5CA3" w:rsidRDefault="001F7452" w:rsidP="00B71D79">
      <w:pPr>
        <w:spacing w:before="240" w:after="240"/>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The EU exclusive competence to adopt measures of general application does not pre</w:t>
      </w:r>
      <w:r w:rsidR="00B71D79"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empt contracting authorities and entities from accepting bids from third</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country economic operators. While the default position is the exclusion of economic operators hailing from third countries not benefiting from reciprocal market access</w:t>
      </w:r>
      <w:r w:rsidRPr="00CF5CA3">
        <w:rPr>
          <w:rFonts w:ascii="Times New Roman" w:eastAsia="Book Antiqua" w:hAnsi="Times New Roman" w:cs="Times New Roman"/>
          <w:sz w:val="22"/>
          <w:szCs w:val="22"/>
          <w:vertAlign w:val="superscript"/>
        </w:rPr>
        <w:footnoteReference w:id="71"/>
      </w:r>
      <w:r w:rsidRPr="00CF5CA3">
        <w:rPr>
          <w:rFonts w:ascii="Times New Roman" w:eastAsia="Book Antiqua" w:hAnsi="Times New Roman" w:cs="Times New Roman"/>
          <w:sz w:val="22"/>
          <w:szCs w:val="22"/>
        </w:rPr>
        <w:t xml:space="preserve"> contracting authorities or entities are however left to</w:t>
      </w:r>
      <w:r w:rsidR="00B71D79" w:rsidRPr="00CF5CA3">
        <w:rPr>
          <w:rFonts w:ascii="Times New Roman" w:eastAsia="Book Antiqua" w:hAnsi="Times New Roman" w:cs="Times New Roman"/>
          <w:sz w:val="22"/>
          <w:szCs w:val="22"/>
        </w:rPr>
        <w:t xml:space="preserve"> </w:t>
      </w:r>
      <w:r w:rsidRPr="00CF5CA3">
        <w:rPr>
          <w:rFonts w:ascii="Times New Roman" w:eastAsia="Book Antiqua" w:hAnsi="Times New Roman" w:cs="Times New Roman"/>
          <w:sz w:val="22"/>
          <w:szCs w:val="22"/>
        </w:rPr>
        <w:t xml:space="preserve">assess whether </w:t>
      </w:r>
      <w:r w:rsidR="00B71D79" w:rsidRPr="00CF5CA3">
        <w:rPr>
          <w:rFonts w:ascii="Times New Roman" w:eastAsia="Book Antiqua" w:hAnsi="Times New Roman" w:cs="Times New Roman"/>
          <w:sz w:val="22"/>
          <w:szCs w:val="22"/>
        </w:rPr>
        <w:t xml:space="preserve">the concerned </w:t>
      </w:r>
      <w:r w:rsidRPr="00CF5CA3">
        <w:rPr>
          <w:rFonts w:ascii="Times New Roman" w:eastAsia="Book Antiqua" w:hAnsi="Times New Roman" w:cs="Times New Roman"/>
          <w:sz w:val="22"/>
          <w:szCs w:val="22"/>
        </w:rPr>
        <w:t xml:space="preserve">economic operators </w:t>
      </w:r>
      <w:r w:rsidR="00B71D79"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should be admitted to a public procurement procedure and, if it decides to admit them, whether provision should be made for an adjustment of the result arising from a comparison between the tenders submitted by those operators and those submitted by other operators</w:t>
      </w:r>
      <w:r w:rsidR="00B71D79"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vertAlign w:val="superscript"/>
        </w:rPr>
        <w:footnoteReference w:id="72"/>
      </w:r>
      <w:r w:rsidR="00B71D79" w:rsidRPr="00CF5CA3">
        <w:rPr>
          <w:rFonts w:ascii="Times New Roman" w:eastAsia="Book Antiqua" w:hAnsi="Times New Roman" w:cs="Times New Roman"/>
          <w:sz w:val="22"/>
          <w:szCs w:val="22"/>
        </w:rPr>
        <w:t xml:space="preserve"> </w:t>
      </w:r>
      <w:r w:rsidRPr="00CF5CA3">
        <w:rPr>
          <w:rFonts w:ascii="Times New Roman" w:eastAsia="Book Antiqua" w:hAnsi="Times New Roman" w:cs="Times New Roman"/>
          <w:sz w:val="22"/>
          <w:szCs w:val="22"/>
        </w:rPr>
        <w:t xml:space="preserve">Moreover, since the economic operators concerned do not enjoy market access rights, </w:t>
      </w:r>
    </w:p>
    <w:p w14:paraId="00000047" w14:textId="77777777" w:rsidR="00706BDF" w:rsidRPr="00CF5CA3" w:rsidRDefault="001F7452">
      <w:pPr>
        <w:ind w:left="720"/>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it is open to the contracting entity to set out, in the procurement documents, arrangements for treatment intended to reflect the objective difference between the legal situation of those operators, on the one hand, and that of economic operators of the European Union and of third countries which have concluded such an agreement with the European Union, within the meaning of Article 43 of that directive, on the other hand.</w:t>
      </w:r>
      <w:r w:rsidRPr="00CF5CA3">
        <w:rPr>
          <w:rFonts w:ascii="Times New Roman" w:eastAsia="Book Antiqua" w:hAnsi="Times New Roman" w:cs="Times New Roman"/>
          <w:sz w:val="22"/>
          <w:szCs w:val="22"/>
          <w:vertAlign w:val="superscript"/>
        </w:rPr>
        <w:footnoteReference w:id="73"/>
      </w:r>
    </w:p>
    <w:p w14:paraId="6ED911D4" w14:textId="45DEB86D" w:rsidR="00B71D79" w:rsidRPr="00CF5CA3" w:rsidRDefault="001F7452" w:rsidP="00B71D79">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lastRenderedPageBreak/>
        <w:t xml:space="preserve">It is not clear from the judgment what these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arrangements</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might be. The possibility for an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adjustment</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is simply </w:t>
      </w:r>
      <w:r w:rsidR="00B71D79" w:rsidRPr="00CF5CA3">
        <w:rPr>
          <w:rFonts w:ascii="Times New Roman" w:eastAsia="Book Antiqua" w:hAnsi="Times New Roman" w:cs="Times New Roman"/>
          <w:sz w:val="22"/>
          <w:szCs w:val="22"/>
        </w:rPr>
        <w:t>mentioned but</w:t>
      </w:r>
      <w:r w:rsidRPr="00CF5CA3">
        <w:rPr>
          <w:rFonts w:ascii="Times New Roman" w:eastAsia="Book Antiqua" w:hAnsi="Times New Roman" w:cs="Times New Roman"/>
          <w:sz w:val="22"/>
          <w:szCs w:val="22"/>
        </w:rPr>
        <w:t xml:space="preserve"> not elaborated upon. </w:t>
      </w:r>
    </w:p>
    <w:p w14:paraId="0000004B" w14:textId="59D168F8" w:rsidR="00706BDF" w:rsidRPr="00CF5CA3" w:rsidRDefault="00B71D79" w:rsidP="00B03391">
      <w:pPr>
        <w:jc w:val="both"/>
        <w:rPr>
          <w:rFonts w:ascii="Times New Roman" w:eastAsia="Book Antiqua" w:hAnsi="Times New Roman" w:cs="Times New Roman"/>
          <w:sz w:val="22"/>
          <w:szCs w:val="22"/>
          <w:highlight w:val="white"/>
        </w:rPr>
      </w:pPr>
      <w:r w:rsidRPr="00CF5CA3">
        <w:rPr>
          <w:rFonts w:ascii="Times New Roman" w:eastAsia="Book Antiqua" w:hAnsi="Times New Roman" w:cs="Times New Roman"/>
          <w:sz w:val="22"/>
          <w:szCs w:val="22"/>
          <w:highlight w:val="white"/>
        </w:rPr>
        <w:t xml:space="preserve">Arguably, a reference may be </w:t>
      </w:r>
      <w:r w:rsidR="00B03391" w:rsidRPr="00CF5CA3">
        <w:rPr>
          <w:rFonts w:ascii="Times New Roman" w:eastAsia="Book Antiqua" w:hAnsi="Times New Roman" w:cs="Times New Roman"/>
          <w:sz w:val="22"/>
          <w:szCs w:val="22"/>
          <w:highlight w:val="white"/>
        </w:rPr>
        <w:t>mad</w:t>
      </w:r>
      <w:r w:rsidRPr="00CF5CA3">
        <w:rPr>
          <w:rFonts w:ascii="Times New Roman" w:eastAsia="Book Antiqua" w:hAnsi="Times New Roman" w:cs="Times New Roman"/>
          <w:sz w:val="22"/>
          <w:szCs w:val="22"/>
          <w:highlight w:val="white"/>
        </w:rPr>
        <w:t xml:space="preserve">e to </w:t>
      </w:r>
      <w:r w:rsidR="00E03765" w:rsidRPr="00CF5CA3">
        <w:rPr>
          <w:rFonts w:ascii="Times New Roman" w:eastAsia="Book Antiqua" w:hAnsi="Times New Roman" w:cs="Times New Roman"/>
          <w:sz w:val="22"/>
          <w:szCs w:val="22"/>
          <w:highlight w:val="white"/>
        </w:rPr>
        <w:t>“</w:t>
      </w:r>
      <w:r w:rsidRPr="00CF5CA3">
        <w:rPr>
          <w:rFonts w:ascii="Times New Roman" w:eastAsia="Book Antiqua" w:hAnsi="Times New Roman" w:cs="Times New Roman"/>
          <w:sz w:val="22"/>
          <w:szCs w:val="22"/>
          <w:highlight w:val="white"/>
        </w:rPr>
        <w:t>score adjustments</w:t>
      </w:r>
      <w:r w:rsidR="00E03765" w:rsidRPr="00CF5CA3">
        <w:rPr>
          <w:rFonts w:ascii="Times New Roman" w:eastAsia="Book Antiqua" w:hAnsi="Times New Roman" w:cs="Times New Roman"/>
          <w:sz w:val="22"/>
          <w:szCs w:val="22"/>
          <w:highlight w:val="white"/>
        </w:rPr>
        <w:t xml:space="preserve">” </w:t>
      </w:r>
      <w:r w:rsidRPr="00CF5CA3">
        <w:rPr>
          <w:rFonts w:ascii="Times New Roman" w:eastAsia="Book Antiqua" w:hAnsi="Times New Roman" w:cs="Times New Roman"/>
          <w:sz w:val="22"/>
          <w:szCs w:val="22"/>
          <w:highlight w:val="white"/>
        </w:rPr>
        <w:t>as regulated und</w:t>
      </w:r>
      <w:r w:rsidRPr="00CF5CA3">
        <w:rPr>
          <w:rFonts w:ascii="Times New Roman" w:eastAsia="Book Antiqua" w:hAnsi="Times New Roman" w:cs="Times New Roman"/>
          <w:sz w:val="22"/>
          <w:szCs w:val="22"/>
        </w:rPr>
        <w:t>er Article 6(6) of the IPI Regulation. However, Article 6(8) leaves to the Commission only the power to detail scope of application and, where appropriate, the percentage values of the score adjustment. Lacking EU wide rules, this task must be shouldered by each and every contracting authority</w:t>
      </w:r>
      <w:r w:rsidR="00CD2258" w:rsidRPr="00CF5CA3">
        <w:rPr>
          <w:rFonts w:ascii="Times New Roman" w:eastAsia="Book Antiqua" w:hAnsi="Times New Roman" w:cs="Times New Roman"/>
          <w:sz w:val="22"/>
          <w:szCs w:val="22"/>
        </w:rPr>
        <w:t xml:space="preserve"> </w:t>
      </w:r>
      <w:r w:rsidRPr="00CF5CA3">
        <w:rPr>
          <w:rFonts w:ascii="Times New Roman" w:eastAsia="Book Antiqua" w:hAnsi="Times New Roman" w:cs="Times New Roman"/>
          <w:sz w:val="22"/>
          <w:szCs w:val="22"/>
        </w:rPr>
        <w:t xml:space="preserve">or entity. Since the </w:t>
      </w:r>
      <w:r w:rsidR="00CD2258" w:rsidRPr="00CF5CA3">
        <w:rPr>
          <w:rFonts w:ascii="Times New Roman" w:eastAsia="Book Antiqua" w:hAnsi="Times New Roman" w:cs="Times New Roman"/>
          <w:sz w:val="22"/>
          <w:szCs w:val="22"/>
        </w:rPr>
        <w:t>CJEU</w:t>
      </w:r>
      <w:r w:rsidRPr="00CF5CA3">
        <w:rPr>
          <w:rFonts w:ascii="Times New Roman" w:eastAsia="Book Antiqua" w:hAnsi="Times New Roman" w:cs="Times New Roman"/>
          <w:sz w:val="22"/>
          <w:szCs w:val="22"/>
        </w:rPr>
        <w:t xml:space="preserve"> has denied to the Member States the power to </w:t>
      </w:r>
      <w:r w:rsidR="00CD2258" w:rsidRPr="00CF5CA3">
        <w:rPr>
          <w:rFonts w:ascii="Times New Roman" w:eastAsia="Book Antiqua" w:hAnsi="Times New Roman" w:cs="Times New Roman"/>
          <w:sz w:val="22"/>
          <w:szCs w:val="22"/>
        </w:rPr>
        <w:t xml:space="preserve">introduce </w:t>
      </w:r>
      <w:r w:rsidRPr="00CF5CA3">
        <w:rPr>
          <w:rFonts w:ascii="Times New Roman" w:eastAsia="Book Antiqua" w:hAnsi="Times New Roman" w:cs="Times New Roman"/>
          <w:sz w:val="22"/>
          <w:szCs w:val="22"/>
        </w:rPr>
        <w:t xml:space="preserve">general rules in this matter, it does not seem possible for any of them to bind public buyers to a specific approach to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score adjustment</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w:t>
      </w:r>
    </w:p>
    <w:p w14:paraId="0000004C" w14:textId="1A69D663" w:rsidR="00706BDF"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 xml:space="preserve">The </w:t>
      </w:r>
      <w:r w:rsidRPr="00CF5CA3">
        <w:rPr>
          <w:rFonts w:ascii="Times New Roman" w:eastAsia="Book Antiqua" w:hAnsi="Times New Roman" w:cs="Times New Roman"/>
          <w:i/>
          <w:sz w:val="22"/>
          <w:szCs w:val="22"/>
        </w:rPr>
        <w:t xml:space="preserve">Kolin </w:t>
      </w:r>
      <w:r w:rsidRPr="00CF5CA3">
        <w:rPr>
          <w:rFonts w:ascii="Times New Roman" w:eastAsia="Book Antiqua" w:hAnsi="Times New Roman" w:cs="Times New Roman"/>
          <w:sz w:val="22"/>
          <w:szCs w:val="22"/>
        </w:rPr>
        <w:t xml:space="preserve">judgment is also less than straightforward concerning the law applicable to the possible participation of third countries’ economic operators in procurement procedures. There is indeed some tension between paragraphs 65 and 66 of the judgment - and this in both the English, the French and the Croatian versions. In the former paragraph, the </w:t>
      </w:r>
      <w:r w:rsidR="00B03391" w:rsidRPr="00CF5CA3">
        <w:rPr>
          <w:rFonts w:ascii="Times New Roman" w:eastAsia="Book Antiqua" w:hAnsi="Times New Roman" w:cs="Times New Roman"/>
          <w:sz w:val="22"/>
          <w:szCs w:val="22"/>
        </w:rPr>
        <w:t>CJEU</w:t>
      </w:r>
      <w:r w:rsidRPr="00CF5CA3">
        <w:rPr>
          <w:rFonts w:ascii="Times New Roman" w:eastAsia="Book Antiqua" w:hAnsi="Times New Roman" w:cs="Times New Roman"/>
          <w:sz w:val="22"/>
          <w:szCs w:val="22"/>
        </w:rPr>
        <w:t xml:space="preserve"> stresses that the national provisions implementing EU public procurement and concession law cannot be applied to those economic operators.</w:t>
      </w:r>
      <w:r w:rsidRPr="00CF5CA3">
        <w:rPr>
          <w:rFonts w:ascii="Times New Roman" w:eastAsia="Book Antiqua" w:hAnsi="Times New Roman" w:cs="Times New Roman"/>
          <w:sz w:val="22"/>
          <w:szCs w:val="22"/>
          <w:vertAlign w:val="superscript"/>
        </w:rPr>
        <w:footnoteReference w:id="74"/>
      </w:r>
      <w:r w:rsidRPr="00CF5CA3">
        <w:rPr>
          <w:rFonts w:ascii="Times New Roman" w:eastAsia="Book Antiqua" w:hAnsi="Times New Roman" w:cs="Times New Roman"/>
          <w:sz w:val="22"/>
          <w:szCs w:val="22"/>
        </w:rPr>
        <w:t xml:space="preserve"> In the latter, it concedes that certain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requirements</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“such as transparency or proportionality” might be applicable, but any infringement thereof could be only examined “in the light of national law and not of EU law”.</w:t>
      </w:r>
      <w:r w:rsidRPr="00CF5CA3">
        <w:rPr>
          <w:rFonts w:ascii="Times New Roman" w:eastAsia="Book Antiqua" w:hAnsi="Times New Roman" w:cs="Times New Roman"/>
          <w:sz w:val="22"/>
          <w:szCs w:val="22"/>
          <w:vertAlign w:val="superscript"/>
        </w:rPr>
        <w:footnoteReference w:id="75"/>
      </w:r>
      <w:r w:rsidRPr="00CF5CA3">
        <w:rPr>
          <w:rFonts w:ascii="Times New Roman" w:eastAsia="Book Antiqua" w:hAnsi="Times New Roman" w:cs="Times New Roman"/>
          <w:sz w:val="22"/>
          <w:szCs w:val="22"/>
        </w:rPr>
        <w:t xml:space="preserve"> </w:t>
      </w:r>
    </w:p>
    <w:p w14:paraId="21124063" w14:textId="4E878E28" w:rsidR="00B71D79" w:rsidRPr="00CF5CA3" w:rsidRDefault="001F7452" w:rsidP="00B71D79">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 xml:space="preserve">It is already worth pointing out that the </w:t>
      </w:r>
      <w:r w:rsidR="00923FE8" w:rsidRPr="00CF5CA3">
        <w:rPr>
          <w:rFonts w:ascii="Times New Roman" w:eastAsia="Book Antiqua" w:hAnsi="Times New Roman" w:cs="Times New Roman"/>
          <w:sz w:val="22"/>
          <w:szCs w:val="22"/>
        </w:rPr>
        <w:t xml:space="preserve">CJEU </w:t>
      </w:r>
      <w:r w:rsidRPr="00CF5CA3">
        <w:rPr>
          <w:rFonts w:ascii="Times New Roman" w:eastAsia="Book Antiqua" w:hAnsi="Times New Roman" w:cs="Times New Roman"/>
          <w:sz w:val="22"/>
          <w:szCs w:val="22"/>
        </w:rPr>
        <w:t xml:space="preserve">refers here to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transparency and proportional</w:t>
      </w:r>
      <w:r w:rsidR="00E921E5" w:rsidRPr="00CF5CA3">
        <w:rPr>
          <w:rFonts w:ascii="Times New Roman" w:eastAsia="Book Antiqua" w:hAnsi="Times New Roman" w:cs="Times New Roman"/>
          <w:sz w:val="22"/>
          <w:szCs w:val="22"/>
        </w:rPr>
        <w:t>it</w:t>
      </w:r>
      <w:r w:rsidRPr="00CF5CA3">
        <w:rPr>
          <w:rFonts w:ascii="Times New Roman" w:eastAsia="Book Antiqua" w:hAnsi="Times New Roman" w:cs="Times New Roman"/>
          <w:sz w:val="22"/>
          <w:szCs w:val="22"/>
        </w:rPr>
        <w:t>y</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as simple ‘requirements’ instead of as </w:t>
      </w:r>
      <w:r w:rsidR="00B03391" w:rsidRPr="00CF5CA3">
        <w:rPr>
          <w:rFonts w:ascii="Times New Roman" w:eastAsia="Book Antiqua" w:hAnsi="Times New Roman" w:cs="Times New Roman"/>
          <w:sz w:val="22"/>
          <w:szCs w:val="22"/>
        </w:rPr>
        <w:t xml:space="preserve">a </w:t>
      </w:r>
      <w:r w:rsidRPr="00CF5CA3">
        <w:rPr>
          <w:rFonts w:ascii="Times New Roman" w:eastAsia="Book Antiqua" w:hAnsi="Times New Roman" w:cs="Times New Roman"/>
          <w:sz w:val="22"/>
          <w:szCs w:val="22"/>
        </w:rPr>
        <w:t>principle</w:t>
      </w:r>
      <w:r w:rsidR="00E03765"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as is customary in the case law consolidated in Article 18 of </w:t>
      </w:r>
      <w:r w:rsidR="00B03391" w:rsidRPr="00CF5CA3">
        <w:rPr>
          <w:rFonts w:ascii="Times New Roman" w:eastAsia="Book Antiqua" w:hAnsi="Times New Roman" w:cs="Times New Roman"/>
          <w:sz w:val="22"/>
          <w:szCs w:val="22"/>
        </w:rPr>
        <w:t xml:space="preserve">the Classic </w:t>
      </w:r>
      <w:r w:rsidRPr="00CF5CA3">
        <w:rPr>
          <w:rFonts w:ascii="Times New Roman" w:eastAsia="Book Antiqua" w:hAnsi="Times New Roman" w:cs="Times New Roman"/>
          <w:sz w:val="22"/>
          <w:szCs w:val="22"/>
        </w:rPr>
        <w:t>Directive.</w:t>
      </w:r>
      <w:r w:rsidRPr="00CF5CA3">
        <w:rPr>
          <w:rFonts w:ascii="Times New Roman" w:eastAsia="Book Antiqua" w:hAnsi="Times New Roman" w:cs="Times New Roman"/>
          <w:sz w:val="22"/>
          <w:szCs w:val="22"/>
          <w:vertAlign w:val="superscript"/>
        </w:rPr>
        <w:footnoteReference w:id="76"/>
      </w:r>
      <w:r w:rsidRPr="00CF5CA3">
        <w:rPr>
          <w:rFonts w:ascii="Times New Roman" w:eastAsia="Book Antiqua" w:hAnsi="Times New Roman" w:cs="Times New Roman"/>
          <w:sz w:val="22"/>
          <w:szCs w:val="22"/>
        </w:rPr>
        <w:t xml:space="preserve"> The big problem here is that in many EU Member States</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most rules concerning public procurement are those implementing EU</w:t>
      </w:r>
      <w:r w:rsidR="00E57252" w:rsidRPr="00CF5CA3">
        <w:rPr>
          <w:rFonts w:ascii="Times New Roman" w:eastAsia="Book Antiqua" w:hAnsi="Times New Roman" w:cs="Times New Roman"/>
          <w:sz w:val="22"/>
          <w:szCs w:val="22"/>
        </w:rPr>
        <w:t xml:space="preserve"> law</w:t>
      </w:r>
      <w:r w:rsidR="00B03391" w:rsidRPr="00CF5CA3">
        <w:rPr>
          <w:rFonts w:ascii="Times New Roman" w:eastAsia="Book Antiqua" w:hAnsi="Times New Roman" w:cs="Times New Roman"/>
          <w:sz w:val="22"/>
          <w:szCs w:val="22"/>
        </w:rPr>
        <w:t>,</w:t>
      </w:r>
      <w:r w:rsidR="00822BE7" w:rsidRPr="00CF5CA3">
        <w:rPr>
          <w:rFonts w:ascii="Times New Roman" w:eastAsia="Book Antiqua" w:hAnsi="Times New Roman" w:cs="Times New Roman"/>
          <w:sz w:val="22"/>
          <w:szCs w:val="22"/>
        </w:rPr>
        <w:t xml:space="preserve"> which are applicable to public procurement both or not</w:t>
      </w:r>
      <w:r w:rsidR="00B03391" w:rsidRPr="00CF5CA3">
        <w:rPr>
          <w:rFonts w:ascii="Times New Roman" w:eastAsia="Book Antiqua" w:hAnsi="Times New Roman" w:cs="Times New Roman"/>
          <w:sz w:val="22"/>
          <w:szCs w:val="22"/>
        </w:rPr>
        <w:t xml:space="preserve"> covered</w:t>
      </w:r>
      <w:r w:rsidR="00822BE7" w:rsidRPr="00CF5CA3">
        <w:rPr>
          <w:rFonts w:ascii="Times New Roman" w:eastAsia="Book Antiqua" w:hAnsi="Times New Roman" w:cs="Times New Roman"/>
          <w:sz w:val="22"/>
          <w:szCs w:val="22"/>
        </w:rPr>
        <w:t xml:space="preserve"> under EU law</w:t>
      </w:r>
      <w:r w:rsidRPr="00CF5CA3">
        <w:rPr>
          <w:rFonts w:ascii="Times New Roman" w:eastAsia="Book Antiqua" w:hAnsi="Times New Roman" w:cs="Times New Roman"/>
          <w:sz w:val="22"/>
          <w:szCs w:val="22"/>
        </w:rPr>
        <w:t xml:space="preserve">. </w:t>
      </w:r>
      <w:r w:rsidR="00822BE7" w:rsidRPr="00CF5CA3">
        <w:rPr>
          <w:rFonts w:ascii="Times New Roman" w:eastAsia="Book Antiqua" w:hAnsi="Times New Roman" w:cs="Times New Roman"/>
          <w:sz w:val="22"/>
          <w:szCs w:val="22"/>
        </w:rPr>
        <w:t>While in some Member States p</w:t>
      </w:r>
      <w:r w:rsidRPr="00CF5CA3">
        <w:rPr>
          <w:rFonts w:ascii="Times New Roman" w:eastAsia="Book Antiqua" w:hAnsi="Times New Roman" w:cs="Times New Roman"/>
          <w:sz w:val="22"/>
          <w:szCs w:val="22"/>
        </w:rPr>
        <w:t xml:space="preserve">urely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national</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provisions may </w:t>
      </w:r>
      <w:r w:rsidR="00822BE7" w:rsidRPr="00CF5CA3">
        <w:rPr>
          <w:rFonts w:ascii="Times New Roman" w:eastAsia="Book Antiqua" w:hAnsi="Times New Roman" w:cs="Times New Roman"/>
          <w:sz w:val="22"/>
          <w:szCs w:val="22"/>
        </w:rPr>
        <w:t>regulate</w:t>
      </w:r>
      <w:r w:rsidRPr="00CF5CA3">
        <w:rPr>
          <w:rFonts w:ascii="Times New Roman" w:eastAsia="Book Antiqua" w:hAnsi="Times New Roman" w:cs="Times New Roman"/>
          <w:sz w:val="22"/>
          <w:szCs w:val="22"/>
        </w:rPr>
        <w:t xml:space="preserve"> the award of contracts not covered under the </w:t>
      </w:r>
      <w:r w:rsidR="00B03391" w:rsidRPr="00CF5CA3">
        <w:rPr>
          <w:rFonts w:ascii="Times New Roman" w:eastAsia="Book Antiqua" w:hAnsi="Times New Roman" w:cs="Times New Roman"/>
          <w:sz w:val="22"/>
          <w:szCs w:val="22"/>
        </w:rPr>
        <w:t>Public Procurement D</w:t>
      </w:r>
      <w:r w:rsidRPr="00CF5CA3">
        <w:rPr>
          <w:rFonts w:ascii="Times New Roman" w:eastAsia="Book Antiqua" w:hAnsi="Times New Roman" w:cs="Times New Roman"/>
          <w:sz w:val="22"/>
          <w:szCs w:val="22"/>
        </w:rPr>
        <w:t>irectives nor falling under the general principles of EU law, such as some below the threshold contracts</w:t>
      </w:r>
      <w:r w:rsidR="00822BE7" w:rsidRPr="00CF5CA3">
        <w:rPr>
          <w:rFonts w:ascii="Times New Roman" w:eastAsia="Book Antiqua" w:hAnsi="Times New Roman" w:cs="Times New Roman"/>
          <w:sz w:val="22"/>
          <w:szCs w:val="22"/>
        </w:rPr>
        <w:t>, the approach devised by the CJEU might not be workable in practice in other countries</w:t>
      </w:r>
      <w:r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vertAlign w:val="superscript"/>
        </w:rPr>
        <w:footnoteReference w:id="77"/>
      </w:r>
      <w:r w:rsidRPr="00CF5CA3">
        <w:rPr>
          <w:rFonts w:ascii="Times New Roman" w:eastAsia="Book Antiqua" w:hAnsi="Times New Roman" w:cs="Times New Roman"/>
          <w:sz w:val="22"/>
          <w:szCs w:val="22"/>
        </w:rPr>
        <w:t xml:space="preserve"> </w:t>
      </w:r>
    </w:p>
    <w:p w14:paraId="00000050" w14:textId="043DB5F1" w:rsidR="00706BDF"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 xml:space="preserve">For reasons of transparency, </w:t>
      </w:r>
      <w:r w:rsidR="00B71D79" w:rsidRPr="00CF5CA3">
        <w:rPr>
          <w:rFonts w:ascii="Times New Roman" w:eastAsia="Book Antiqua" w:hAnsi="Times New Roman" w:cs="Times New Roman"/>
          <w:sz w:val="22"/>
          <w:szCs w:val="22"/>
        </w:rPr>
        <w:t>the participation of third</w:t>
      </w:r>
      <w:r w:rsidR="00B03391" w:rsidRPr="00CF5CA3">
        <w:rPr>
          <w:rFonts w:ascii="Times New Roman" w:eastAsia="Book Antiqua" w:hAnsi="Times New Roman" w:cs="Times New Roman"/>
          <w:sz w:val="22"/>
          <w:szCs w:val="22"/>
        </w:rPr>
        <w:t>-</w:t>
      </w:r>
      <w:r w:rsidR="00B71D79" w:rsidRPr="00CF5CA3">
        <w:rPr>
          <w:rFonts w:ascii="Times New Roman" w:eastAsia="Book Antiqua" w:hAnsi="Times New Roman" w:cs="Times New Roman"/>
          <w:sz w:val="22"/>
          <w:szCs w:val="22"/>
        </w:rPr>
        <w:t xml:space="preserve">country bidders </w:t>
      </w:r>
      <w:r w:rsidRPr="00CF5CA3">
        <w:rPr>
          <w:rFonts w:ascii="Times New Roman" w:eastAsia="Book Antiqua" w:hAnsi="Times New Roman" w:cs="Times New Roman"/>
          <w:sz w:val="22"/>
          <w:szCs w:val="22"/>
        </w:rPr>
        <w:t>should</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in principle</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be introduced </w:t>
      </w:r>
      <w:r w:rsidRPr="00CF5CA3">
        <w:rPr>
          <w:rFonts w:ascii="Times New Roman" w:eastAsia="Book Antiqua" w:hAnsi="Times New Roman" w:cs="Times New Roman"/>
          <w:i/>
          <w:sz w:val="22"/>
          <w:szCs w:val="22"/>
        </w:rPr>
        <w:t xml:space="preserve">ex ante </w:t>
      </w:r>
      <w:r w:rsidRPr="00CF5CA3">
        <w:rPr>
          <w:rFonts w:ascii="Times New Roman" w:eastAsia="Book Antiqua" w:hAnsi="Times New Roman" w:cs="Times New Roman"/>
          <w:sz w:val="22"/>
          <w:szCs w:val="22"/>
        </w:rPr>
        <w:t xml:space="preserve">in the contract documents. Still, lacking any specific rule in the contract documents, some legal rules must </w:t>
      </w:r>
      <w:r w:rsidRPr="00CF5CA3">
        <w:rPr>
          <w:rFonts w:ascii="Times New Roman" w:eastAsia="Book Antiqua" w:hAnsi="Times New Roman" w:cs="Times New Roman"/>
          <w:i/>
          <w:sz w:val="22"/>
          <w:szCs w:val="22"/>
        </w:rPr>
        <w:t>per force</w:t>
      </w:r>
      <w:r w:rsidRPr="00CF5CA3">
        <w:rPr>
          <w:rFonts w:ascii="Times New Roman" w:eastAsia="Book Antiqua" w:hAnsi="Times New Roman" w:cs="Times New Roman"/>
          <w:sz w:val="22"/>
          <w:szCs w:val="22"/>
        </w:rPr>
        <w:t xml:space="preserve"> be found. The rule of law is one of the founding values of the EU </w:t>
      </w:r>
      <w:r w:rsidRPr="00CF5CA3">
        <w:rPr>
          <w:rFonts w:ascii="Times New Roman" w:eastAsia="Book Antiqua" w:hAnsi="Times New Roman" w:cs="Times New Roman"/>
          <w:i/>
          <w:sz w:val="22"/>
          <w:szCs w:val="22"/>
        </w:rPr>
        <w:t>and</w:t>
      </w:r>
      <w:r w:rsidRPr="00CF5CA3">
        <w:rPr>
          <w:rFonts w:ascii="Times New Roman" w:eastAsia="Book Antiqua" w:hAnsi="Times New Roman" w:cs="Times New Roman"/>
          <w:sz w:val="22"/>
          <w:szCs w:val="22"/>
        </w:rPr>
        <w:t xml:space="preserve"> the Member States under Art. 2 TEU. Contracting authorities and entities cannot act freely towards economic operators not benefiting from market access, and vague </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requirements</w:t>
      </w:r>
      <w:r w:rsidR="00B03391" w:rsidRPr="00CF5CA3">
        <w:rPr>
          <w:rFonts w:ascii="Times New Roman" w:eastAsia="Book Antiqua" w:hAnsi="Times New Roman" w:cs="Times New Roman"/>
          <w:sz w:val="22"/>
          <w:szCs w:val="22"/>
        </w:rPr>
        <w:t xml:space="preserve">” </w:t>
      </w:r>
      <w:r w:rsidRPr="00CF5CA3">
        <w:rPr>
          <w:rFonts w:ascii="Times New Roman" w:eastAsia="Book Antiqua" w:hAnsi="Times New Roman" w:cs="Times New Roman"/>
          <w:sz w:val="22"/>
          <w:szCs w:val="22"/>
        </w:rPr>
        <w:t>cannot be considered enough to meet the standards demanded by the rule of law. Finally, it seems that rights of access to justice under Article 13 ECHR could not be excluded. Here again</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the concerned third country economic operators will benefit from whatever judicial protection is foreseen generally under national law, but not from specifically EU redress mechanisms and tools, including the preliminary reference and remedies such as ineffectiveness and damages.</w:t>
      </w:r>
      <w:r w:rsidRPr="00CF5CA3">
        <w:rPr>
          <w:rFonts w:ascii="Times New Roman" w:eastAsia="Book Antiqua" w:hAnsi="Times New Roman" w:cs="Times New Roman"/>
          <w:sz w:val="22"/>
          <w:szCs w:val="22"/>
          <w:vertAlign w:val="superscript"/>
        </w:rPr>
        <w:footnoteReference w:id="78"/>
      </w:r>
    </w:p>
    <w:p w14:paraId="488538A5" w14:textId="37DF0C95" w:rsidR="002B187B" w:rsidRPr="00CF5CA3" w:rsidRDefault="002B187B" w:rsidP="00B03391">
      <w:pPr>
        <w:jc w:val="both"/>
        <w:rPr>
          <w:rFonts w:ascii="Times New Roman" w:eastAsia="Book Antiqua" w:hAnsi="Times New Roman" w:cs="Times New Roman"/>
          <w:sz w:val="22"/>
          <w:szCs w:val="22"/>
        </w:rPr>
      </w:pPr>
      <w:r w:rsidRPr="00CF5CA3">
        <w:rPr>
          <w:rFonts w:ascii="Times New Roman" w:hAnsi="Times New Roman" w:cs="Times New Roman"/>
          <w:sz w:val="22"/>
          <w:szCs w:val="22"/>
          <w:lang w:val="en-US"/>
        </w:rPr>
        <w:t xml:space="preserve">To try and address the question left open by the CJEU case law, the Commission services simply issued a non-paper outlining the conditions for possible participation in the EU procurement market by bidders from non-covered third countries, following </w:t>
      </w:r>
      <w:r w:rsidRPr="00CF5CA3">
        <w:rPr>
          <w:rFonts w:ascii="Times New Roman" w:hAnsi="Times New Roman" w:cs="Times New Roman"/>
          <w:i/>
          <w:iCs/>
          <w:sz w:val="22"/>
          <w:szCs w:val="22"/>
          <w:lang w:val="en-US"/>
        </w:rPr>
        <w:t>Kolin</w:t>
      </w:r>
      <w:r w:rsidRPr="00CF5CA3">
        <w:rPr>
          <w:rFonts w:ascii="Times New Roman" w:hAnsi="Times New Roman" w:cs="Times New Roman"/>
          <w:sz w:val="22"/>
          <w:szCs w:val="22"/>
          <w:lang w:val="en-US"/>
        </w:rPr>
        <w:t xml:space="preserve"> and </w:t>
      </w:r>
      <w:r w:rsidRPr="00CF5CA3">
        <w:rPr>
          <w:rFonts w:ascii="Times New Roman" w:hAnsi="Times New Roman" w:cs="Times New Roman"/>
          <w:i/>
          <w:iCs/>
          <w:sz w:val="22"/>
          <w:szCs w:val="22"/>
          <w:lang w:val="en-US"/>
        </w:rPr>
        <w:t>Qingdao</w:t>
      </w:r>
      <w:r w:rsidRPr="00CF5CA3">
        <w:rPr>
          <w:rFonts w:ascii="Times New Roman" w:hAnsi="Times New Roman" w:cs="Times New Roman"/>
          <w:sz w:val="22"/>
          <w:szCs w:val="22"/>
          <w:lang w:val="en-US"/>
        </w:rPr>
        <w:t>.</w:t>
      </w:r>
      <w:r w:rsidRPr="00CF5CA3">
        <w:rPr>
          <w:rStyle w:val="Rimandonotaapidipagina"/>
          <w:rFonts w:ascii="Times New Roman" w:hAnsi="Times New Roman" w:cs="Times New Roman"/>
          <w:sz w:val="22"/>
          <w:szCs w:val="22"/>
          <w:lang w:val="en-US"/>
        </w:rPr>
        <w:footnoteReference w:id="79"/>
      </w:r>
      <w:r w:rsidRPr="00CF5CA3">
        <w:rPr>
          <w:rFonts w:ascii="Times New Roman" w:hAnsi="Times New Roman" w:cs="Times New Roman"/>
          <w:sz w:val="22"/>
          <w:szCs w:val="22"/>
          <w:lang w:val="en-US"/>
        </w:rPr>
        <w:t xml:space="preserve"> That is already not the most committal sort of legal act. The Commission was not ready for a communication</w:t>
      </w:r>
      <w:r w:rsidR="005C1FF4" w:rsidRPr="00CF5CA3">
        <w:rPr>
          <w:rFonts w:ascii="Times New Roman" w:hAnsi="Times New Roman" w:cs="Times New Roman"/>
          <w:sz w:val="22"/>
          <w:szCs w:val="22"/>
          <w:lang w:val="en-US"/>
        </w:rPr>
        <w:t xml:space="preserve"> and t</w:t>
      </w:r>
      <w:r w:rsidRPr="00CF5CA3">
        <w:rPr>
          <w:rFonts w:ascii="Times New Roman" w:hAnsi="Times New Roman" w:cs="Times New Roman"/>
          <w:sz w:val="22"/>
          <w:szCs w:val="22"/>
          <w:lang w:val="en-US"/>
        </w:rPr>
        <w:t xml:space="preserve">he document </w:t>
      </w:r>
      <w:r w:rsidR="005C1FF4" w:rsidRPr="00CF5CA3">
        <w:rPr>
          <w:rFonts w:ascii="Times New Roman" w:hAnsi="Times New Roman" w:cs="Times New Roman"/>
          <w:sz w:val="22"/>
          <w:szCs w:val="22"/>
          <w:lang w:val="en-US"/>
        </w:rPr>
        <w:t xml:space="preserve">follows very closely </w:t>
      </w:r>
      <w:r w:rsidRPr="00CF5CA3">
        <w:rPr>
          <w:rFonts w:ascii="Times New Roman" w:hAnsi="Times New Roman" w:cs="Times New Roman"/>
          <w:sz w:val="22"/>
          <w:szCs w:val="22"/>
          <w:lang w:val="en-US"/>
        </w:rPr>
        <w:t>the judgments</w:t>
      </w:r>
      <w:r w:rsidR="005C1FF4" w:rsidRPr="00CF5CA3">
        <w:rPr>
          <w:rFonts w:ascii="Times New Roman" w:hAnsi="Times New Roman" w:cs="Times New Roman"/>
          <w:sz w:val="22"/>
          <w:szCs w:val="22"/>
          <w:lang w:val="en-US"/>
        </w:rPr>
        <w:t>.</w:t>
      </w:r>
      <w:r w:rsidRPr="00CF5CA3">
        <w:rPr>
          <w:rFonts w:ascii="Times New Roman" w:hAnsi="Times New Roman" w:cs="Times New Roman"/>
          <w:sz w:val="22"/>
          <w:szCs w:val="22"/>
          <w:lang w:val="en-US"/>
        </w:rPr>
        <w:t xml:space="preserve"> The Commission did not even say firmly that the rules for non-covered economic operators must be set in the </w:t>
      </w:r>
      <w:r w:rsidRPr="00CF5CA3">
        <w:rPr>
          <w:rFonts w:ascii="Times New Roman" w:hAnsi="Times New Roman" w:cs="Times New Roman"/>
          <w:sz w:val="22"/>
          <w:szCs w:val="22"/>
          <w:lang w:val="en-US"/>
        </w:rPr>
        <w:lastRenderedPageBreak/>
        <w:t>contract documents. Somewhat more helpful is the non-paper in its final published version concerning adjustments. Here</w:t>
      </w:r>
      <w:r w:rsidR="00B03391" w:rsidRPr="00CF5CA3">
        <w:rPr>
          <w:rFonts w:ascii="Times New Roman" w:hAnsi="Times New Roman" w:cs="Times New Roman"/>
          <w:sz w:val="22"/>
          <w:szCs w:val="22"/>
          <w:lang w:val="en-US"/>
        </w:rPr>
        <w:t>,</w:t>
      </w:r>
      <w:r w:rsidRPr="00CF5CA3">
        <w:rPr>
          <w:rFonts w:ascii="Times New Roman" w:hAnsi="Times New Roman" w:cs="Times New Roman"/>
          <w:sz w:val="22"/>
          <w:szCs w:val="22"/>
          <w:lang w:val="en-US"/>
        </w:rPr>
        <w:t xml:space="preserve"> the Commission clearly indicates that contracting authorities and entities might take inspiration from Article 6(8) of IPI Regulation (EU) 2022/1031, or </w:t>
      </w:r>
      <w:r w:rsidR="00B03391" w:rsidRPr="00CF5CA3">
        <w:rPr>
          <w:rFonts w:ascii="Times New Roman" w:hAnsi="Times New Roman" w:cs="Times New Roman"/>
          <w:sz w:val="22"/>
          <w:szCs w:val="22"/>
          <w:lang w:val="en-US"/>
        </w:rPr>
        <w:t>“</w:t>
      </w:r>
      <w:r w:rsidRPr="00CF5CA3">
        <w:rPr>
          <w:rFonts w:ascii="Times New Roman" w:hAnsi="Times New Roman" w:cs="Times New Roman"/>
          <w:sz w:val="22"/>
          <w:szCs w:val="22"/>
          <w:lang w:val="en-US"/>
        </w:rPr>
        <w:t>decide to apply any adjustment mechanism it may consider appropriate for a specific public procurement procedure</w:t>
      </w:r>
      <w:r w:rsidR="00B03391" w:rsidRPr="00CF5CA3">
        <w:rPr>
          <w:rFonts w:ascii="Times New Roman" w:hAnsi="Times New Roman" w:cs="Times New Roman"/>
          <w:sz w:val="22"/>
          <w:szCs w:val="22"/>
          <w:lang w:val="en-US"/>
        </w:rPr>
        <w:t>”</w:t>
      </w:r>
      <w:r w:rsidRPr="00CF5CA3">
        <w:rPr>
          <w:rFonts w:ascii="Times New Roman" w:hAnsi="Times New Roman" w:cs="Times New Roman"/>
          <w:sz w:val="22"/>
          <w:szCs w:val="22"/>
          <w:lang w:val="en-US"/>
        </w:rPr>
        <w:t>.</w:t>
      </w:r>
      <w:r w:rsidR="005C1FF4" w:rsidRPr="00CF5CA3">
        <w:rPr>
          <w:rStyle w:val="Rimandonotaapidipagina"/>
          <w:rFonts w:ascii="Times New Roman" w:hAnsi="Times New Roman" w:cs="Times New Roman"/>
          <w:sz w:val="22"/>
          <w:szCs w:val="22"/>
          <w:lang w:val="en-US"/>
        </w:rPr>
        <w:footnoteReference w:id="80"/>
      </w:r>
    </w:p>
    <w:p w14:paraId="00000051" w14:textId="75CE6000" w:rsidR="00706BDF" w:rsidRPr="00CF5CA3" w:rsidRDefault="001F7452">
      <w:pPr>
        <w:jc w:val="both"/>
        <w:rPr>
          <w:rFonts w:ascii="Times New Roman" w:eastAsia="Book Antiqua" w:hAnsi="Times New Roman" w:cs="Times New Roman"/>
          <w:sz w:val="22"/>
          <w:szCs w:val="22"/>
        </w:rPr>
      </w:pPr>
      <w:r w:rsidRPr="00CF5CA3">
        <w:rPr>
          <w:rFonts w:ascii="Times New Roman" w:eastAsia="Book Antiqua" w:hAnsi="Times New Roman" w:cs="Times New Roman"/>
          <w:i/>
          <w:sz w:val="22"/>
          <w:szCs w:val="22"/>
        </w:rPr>
        <w:t>Kolin</w:t>
      </w:r>
      <w:r w:rsidRPr="00CF5CA3">
        <w:rPr>
          <w:rFonts w:ascii="Times New Roman" w:eastAsia="Book Antiqua" w:hAnsi="Times New Roman" w:cs="Times New Roman"/>
          <w:sz w:val="22"/>
          <w:szCs w:val="22"/>
        </w:rPr>
        <w:t xml:space="preserve"> and </w:t>
      </w:r>
      <w:r w:rsidRPr="00CF5CA3">
        <w:rPr>
          <w:rFonts w:ascii="Times New Roman" w:eastAsia="Book Antiqua" w:hAnsi="Times New Roman" w:cs="Times New Roman"/>
          <w:i/>
          <w:sz w:val="22"/>
          <w:szCs w:val="22"/>
        </w:rPr>
        <w:t xml:space="preserve">Qingdao </w:t>
      </w:r>
      <w:r w:rsidRPr="00CF5CA3">
        <w:rPr>
          <w:rFonts w:ascii="Times New Roman" w:eastAsia="Book Antiqua" w:hAnsi="Times New Roman" w:cs="Times New Roman"/>
          <w:sz w:val="22"/>
          <w:szCs w:val="22"/>
        </w:rPr>
        <w:t xml:space="preserve">will require </w:t>
      </w:r>
      <w:r w:rsidR="00720695" w:rsidRPr="00CF5CA3">
        <w:rPr>
          <w:rFonts w:ascii="Times New Roman" w:eastAsia="Book Antiqua" w:hAnsi="Times New Roman" w:cs="Times New Roman"/>
          <w:sz w:val="22"/>
          <w:szCs w:val="22"/>
        </w:rPr>
        <w:t xml:space="preserve">giving precise indications </w:t>
      </w:r>
      <w:r w:rsidRPr="00CF5CA3">
        <w:rPr>
          <w:rFonts w:ascii="Times New Roman" w:eastAsia="Book Antiqua" w:hAnsi="Times New Roman" w:cs="Times New Roman"/>
          <w:sz w:val="22"/>
          <w:szCs w:val="22"/>
        </w:rPr>
        <w:t xml:space="preserve">in the forthcoming revision of the 2014 </w:t>
      </w:r>
      <w:r w:rsidR="00B03391" w:rsidRPr="00CF5CA3">
        <w:rPr>
          <w:rFonts w:ascii="Times New Roman" w:eastAsia="Book Antiqua" w:hAnsi="Times New Roman" w:cs="Times New Roman"/>
          <w:sz w:val="22"/>
          <w:szCs w:val="22"/>
        </w:rPr>
        <w:t>Public Procurement D</w:t>
      </w:r>
      <w:r w:rsidRPr="00CF5CA3">
        <w:rPr>
          <w:rFonts w:ascii="Times New Roman" w:eastAsia="Book Antiqua" w:hAnsi="Times New Roman" w:cs="Times New Roman"/>
          <w:sz w:val="22"/>
          <w:szCs w:val="22"/>
        </w:rPr>
        <w:t>irectives to guide the contracting authorities and entities in dealing with bidders from third countries.</w:t>
      </w:r>
      <w:r w:rsidR="00720695" w:rsidRPr="00CF5CA3">
        <w:rPr>
          <w:rFonts w:ascii="Times New Roman" w:eastAsia="Book Antiqua" w:hAnsi="Times New Roman" w:cs="Times New Roman"/>
          <w:sz w:val="22"/>
          <w:szCs w:val="22"/>
        </w:rPr>
        <w:t xml:space="preserve"> These indications will have to </w:t>
      </w:r>
      <w:r w:rsidR="000129EA" w:rsidRPr="00CF5CA3">
        <w:rPr>
          <w:rFonts w:ascii="Times New Roman" w:eastAsia="Book Antiqua" w:hAnsi="Times New Roman" w:cs="Times New Roman"/>
          <w:sz w:val="22"/>
          <w:szCs w:val="22"/>
        </w:rPr>
        <w:t>clarify whether the default position for non-covered economic operator</w:t>
      </w:r>
      <w:r w:rsidR="00E03765" w:rsidRPr="00CF5CA3">
        <w:rPr>
          <w:rFonts w:ascii="Times New Roman" w:eastAsia="Book Antiqua" w:hAnsi="Times New Roman" w:cs="Times New Roman"/>
          <w:sz w:val="22"/>
          <w:szCs w:val="22"/>
        </w:rPr>
        <w:t>s</w:t>
      </w:r>
      <w:r w:rsidR="000129EA" w:rsidRPr="00CF5CA3">
        <w:rPr>
          <w:rFonts w:ascii="Times New Roman" w:eastAsia="Book Antiqua" w:hAnsi="Times New Roman" w:cs="Times New Roman"/>
          <w:sz w:val="22"/>
          <w:szCs w:val="22"/>
        </w:rPr>
        <w:t xml:space="preserve"> is exclusion or admission, the duty of public buyers to clearly indicate in the public procurement documents whether they want to reverse the default position and how to set adjustments in case of non-covered economic </w:t>
      </w:r>
      <w:r w:rsidR="00E03765" w:rsidRPr="00CF5CA3">
        <w:rPr>
          <w:rFonts w:ascii="Times New Roman" w:eastAsia="Book Antiqua" w:hAnsi="Times New Roman" w:cs="Times New Roman"/>
          <w:sz w:val="22"/>
          <w:szCs w:val="22"/>
        </w:rPr>
        <w:t>operators’</w:t>
      </w:r>
      <w:r w:rsidR="000129EA" w:rsidRPr="00CF5CA3">
        <w:rPr>
          <w:rFonts w:ascii="Times New Roman" w:eastAsia="Book Antiqua" w:hAnsi="Times New Roman" w:cs="Times New Roman"/>
          <w:sz w:val="22"/>
          <w:szCs w:val="22"/>
        </w:rPr>
        <w:t xml:space="preserve"> admission to the procedure.</w:t>
      </w:r>
    </w:p>
    <w:p w14:paraId="00000052" w14:textId="77777777" w:rsidR="00706BDF" w:rsidRPr="00CF5CA3" w:rsidRDefault="001F7452">
      <w:pPr>
        <w:jc w:val="both"/>
        <w:rPr>
          <w:rFonts w:ascii="Times New Roman" w:eastAsia="Book Antiqua" w:hAnsi="Times New Roman" w:cs="Times New Roman"/>
          <w:i/>
          <w:iCs/>
          <w:sz w:val="22"/>
          <w:szCs w:val="22"/>
        </w:rPr>
      </w:pPr>
      <w:r w:rsidRPr="00CF5CA3">
        <w:rPr>
          <w:rFonts w:ascii="Times New Roman" w:eastAsia="Book Antiqua" w:hAnsi="Times New Roman" w:cs="Times New Roman"/>
          <w:i/>
          <w:iCs/>
          <w:sz w:val="22"/>
          <w:szCs w:val="22"/>
        </w:rPr>
        <w:t>6. Conclusions</w:t>
      </w:r>
    </w:p>
    <w:p w14:paraId="00000055" w14:textId="787668A5" w:rsidR="00706BDF" w:rsidRPr="00CF5CA3" w:rsidRDefault="001F7452" w:rsidP="00B71D79">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Reliance on the public procurement lever to either make international trade fairer</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if not fully reciprocal</w:t>
      </w:r>
      <w:r w:rsidR="00B03391"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or to close the EU public procurement market is not limited to the FSR, the IPI or the NZIA. A recent addition is the Anti-Coercion Instrument.</w:t>
      </w:r>
      <w:r w:rsidRPr="00CF5CA3">
        <w:rPr>
          <w:rFonts w:ascii="Times New Roman" w:eastAsia="Book Antiqua" w:hAnsi="Times New Roman" w:cs="Times New Roman"/>
          <w:sz w:val="22"/>
          <w:szCs w:val="22"/>
          <w:vertAlign w:val="superscript"/>
        </w:rPr>
        <w:footnoteReference w:id="81"/>
      </w:r>
      <w:r w:rsidRPr="00CF5CA3">
        <w:rPr>
          <w:rFonts w:ascii="Times New Roman" w:eastAsia="Book Antiqua" w:hAnsi="Times New Roman" w:cs="Times New Roman"/>
          <w:sz w:val="22"/>
          <w:szCs w:val="22"/>
        </w:rPr>
        <w:t xml:space="preserve"> </w:t>
      </w:r>
      <w:r w:rsidR="00B71D79" w:rsidRPr="00CF5CA3">
        <w:rPr>
          <w:rFonts w:ascii="Times New Roman" w:eastAsia="Book Antiqua" w:hAnsi="Times New Roman" w:cs="Times New Roman"/>
          <w:sz w:val="22"/>
          <w:szCs w:val="22"/>
        </w:rPr>
        <w:t xml:space="preserve">Among the </w:t>
      </w:r>
      <w:r w:rsidRPr="00CF5CA3">
        <w:rPr>
          <w:rFonts w:ascii="Times New Roman" w:eastAsia="Book Antiqua" w:hAnsi="Times New Roman" w:cs="Times New Roman"/>
          <w:sz w:val="22"/>
          <w:szCs w:val="22"/>
        </w:rPr>
        <w:t>measures</w:t>
      </w:r>
      <w:r w:rsidR="00B71D79" w:rsidRPr="00CF5CA3">
        <w:rPr>
          <w:rFonts w:ascii="Times New Roman" w:eastAsia="Book Antiqua" w:hAnsi="Times New Roman" w:cs="Times New Roman"/>
          <w:sz w:val="22"/>
          <w:szCs w:val="22"/>
        </w:rPr>
        <w:t xml:space="preserve"> provided for therein</w:t>
      </w:r>
      <w:r w:rsidRPr="00CF5CA3">
        <w:rPr>
          <w:rFonts w:ascii="Times New Roman" w:eastAsia="Book Antiqua" w:hAnsi="Times New Roman" w:cs="Times New Roman"/>
          <w:sz w:val="22"/>
          <w:szCs w:val="22"/>
        </w:rPr>
        <w:t xml:space="preserve">, once again </w:t>
      </w:r>
      <w:r w:rsidR="00B71D79" w:rsidRPr="00CF5CA3">
        <w:rPr>
          <w:rFonts w:ascii="Times New Roman" w:eastAsia="Book Antiqua" w:hAnsi="Times New Roman" w:cs="Times New Roman"/>
          <w:sz w:val="22"/>
          <w:szCs w:val="22"/>
        </w:rPr>
        <w:t xml:space="preserve">we find </w:t>
      </w:r>
      <w:r w:rsidRPr="00CF5CA3">
        <w:rPr>
          <w:rFonts w:ascii="Times New Roman" w:eastAsia="Book Antiqua" w:hAnsi="Times New Roman" w:cs="Times New Roman"/>
          <w:sz w:val="22"/>
          <w:szCs w:val="22"/>
        </w:rPr>
        <w:t>the exclusion from EU procurements of goods, services or suppliers from the third country concerned or the imposition of a score adjustment</w:t>
      </w:r>
      <w:r w:rsidR="00B71D79"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rPr>
        <w:t xml:space="preserve"> </w:t>
      </w:r>
    </w:p>
    <w:p w14:paraId="38FB2741" w14:textId="128F35BA" w:rsidR="00A51684" w:rsidRPr="00CF5CA3" w:rsidRDefault="00AA37E7"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 xml:space="preserve">However, the external dimension of EU public contracts is no </w:t>
      </w:r>
      <w:r w:rsidR="00B03391" w:rsidRPr="00CF5CA3">
        <w:rPr>
          <w:rFonts w:ascii="Times New Roman" w:eastAsia="Book Antiqua" w:hAnsi="Times New Roman" w:cs="Times New Roman"/>
          <w:sz w:val="22"/>
          <w:szCs w:val="22"/>
        </w:rPr>
        <w:t>longer</w:t>
      </w:r>
      <w:r w:rsidRPr="00CF5CA3">
        <w:rPr>
          <w:rFonts w:ascii="Times New Roman" w:eastAsia="Book Antiqua" w:hAnsi="Times New Roman" w:cs="Times New Roman"/>
          <w:sz w:val="22"/>
          <w:szCs w:val="22"/>
        </w:rPr>
        <w:t xml:space="preserve"> limited to trying to restore </w:t>
      </w:r>
      <w:r w:rsidR="00B03391" w:rsidRPr="00CF5CA3">
        <w:rPr>
          <w:rFonts w:ascii="Times New Roman" w:eastAsia="Book Antiqua" w:hAnsi="Times New Roman" w:cs="Times New Roman"/>
          <w:sz w:val="22"/>
          <w:szCs w:val="22"/>
        </w:rPr>
        <w:t xml:space="preserve">a </w:t>
      </w:r>
      <w:r w:rsidRPr="00CF5CA3">
        <w:rPr>
          <w:rFonts w:ascii="Times New Roman" w:eastAsia="Book Antiqua" w:hAnsi="Times New Roman" w:cs="Times New Roman"/>
          <w:sz w:val="22"/>
          <w:szCs w:val="22"/>
        </w:rPr>
        <w:t xml:space="preserve">fair competitive balance with trading </w:t>
      </w:r>
      <w:r w:rsidR="00B71D79" w:rsidRPr="00CF5CA3">
        <w:rPr>
          <w:rFonts w:ascii="Times New Roman" w:eastAsia="Book Antiqua" w:hAnsi="Times New Roman" w:cs="Times New Roman"/>
          <w:sz w:val="22"/>
          <w:szCs w:val="22"/>
        </w:rPr>
        <w:t>partners</w:t>
      </w:r>
      <w:r w:rsidRPr="00CF5CA3">
        <w:rPr>
          <w:rFonts w:ascii="Times New Roman" w:eastAsia="Book Antiqua" w:hAnsi="Times New Roman" w:cs="Times New Roman"/>
          <w:sz w:val="22"/>
          <w:szCs w:val="22"/>
        </w:rPr>
        <w:t xml:space="preserve">. </w:t>
      </w:r>
      <w:r w:rsidR="00A51684" w:rsidRPr="00CF5CA3">
        <w:rPr>
          <w:rFonts w:ascii="Times New Roman" w:eastAsia="Book Antiqua" w:hAnsi="Times New Roman" w:cs="Times New Roman"/>
          <w:sz w:val="22"/>
          <w:szCs w:val="22"/>
        </w:rPr>
        <w:t>In her political guidelines for the new term, Commission President Ursula von der Leyen has indicated that she “will propose a revision of the Public Procurement Directive. This will enable preference to be given to European products in public procurement for certain strategic sectors. It will help ensure EU added value for our citizens, along with security of supply for vital technologies, products and services”.</w:t>
      </w:r>
      <w:r w:rsidR="00A51684" w:rsidRPr="00CF5CA3">
        <w:rPr>
          <w:rFonts w:ascii="Times New Roman" w:eastAsia="Book Antiqua" w:hAnsi="Times New Roman" w:cs="Times New Roman"/>
          <w:sz w:val="22"/>
          <w:szCs w:val="22"/>
          <w:vertAlign w:val="superscript"/>
        </w:rPr>
        <w:footnoteReference w:id="82"/>
      </w:r>
      <w:r w:rsidR="00A51684" w:rsidRPr="00CF5CA3">
        <w:rPr>
          <w:rFonts w:ascii="Times New Roman" w:eastAsia="Book Antiqua" w:hAnsi="Times New Roman" w:cs="Times New Roman"/>
          <w:sz w:val="22"/>
          <w:szCs w:val="22"/>
        </w:rPr>
        <w:t xml:space="preserve"> The </w:t>
      </w:r>
      <w:r w:rsidR="00A51684" w:rsidRPr="00CF5CA3">
        <w:rPr>
          <w:rFonts w:ascii="Times New Roman" w:eastAsia="Book Antiqua" w:hAnsi="Times New Roman" w:cs="Times New Roman"/>
          <w:i/>
          <w:sz w:val="22"/>
          <w:szCs w:val="22"/>
        </w:rPr>
        <w:t>Competitiveness Compass</w:t>
      </w:r>
      <w:r w:rsidR="00A51684" w:rsidRPr="00CF5CA3">
        <w:rPr>
          <w:rFonts w:ascii="Times New Roman" w:eastAsia="Book Antiqua" w:hAnsi="Times New Roman" w:cs="Times New Roman"/>
          <w:sz w:val="22"/>
          <w:szCs w:val="22"/>
        </w:rPr>
        <w:t xml:space="preserve"> confirms the intention of reforming the procurement directives, aiming at “reinforcing technological security and domestic supply chains, as well as simplifying and modernising rules, in particular for start-ups and innovative companies”, but it also adds that “The Commission will propose the introduction of a European preference in public procurement for strategic sectors and technologies”.</w:t>
      </w:r>
      <w:r w:rsidR="00A51684" w:rsidRPr="00CF5CA3">
        <w:rPr>
          <w:rFonts w:ascii="Times New Roman" w:eastAsia="Book Antiqua" w:hAnsi="Times New Roman" w:cs="Times New Roman"/>
          <w:sz w:val="22"/>
          <w:szCs w:val="22"/>
          <w:vertAlign w:val="superscript"/>
        </w:rPr>
        <w:footnoteReference w:id="83"/>
      </w:r>
      <w:r w:rsidR="00CF5A1B">
        <w:rPr>
          <w:rFonts w:ascii="Times New Roman" w:eastAsia="Book Antiqua" w:hAnsi="Times New Roman" w:cs="Times New Roman"/>
          <w:sz w:val="22"/>
          <w:szCs w:val="22"/>
        </w:rPr>
        <w:t xml:space="preserve"> The same tune is boing played in the recent resolution of the European Parliament.</w:t>
      </w:r>
      <w:r w:rsidR="00CF5A1B">
        <w:rPr>
          <w:rStyle w:val="Rimandonotaapidipagina"/>
          <w:rFonts w:ascii="Times New Roman" w:eastAsia="Book Antiqua" w:hAnsi="Times New Roman" w:cs="Times New Roman"/>
          <w:sz w:val="22"/>
          <w:szCs w:val="22"/>
        </w:rPr>
        <w:footnoteReference w:id="84"/>
      </w:r>
    </w:p>
    <w:p w14:paraId="00000056" w14:textId="7F501405" w:rsidR="00706BDF" w:rsidRPr="00CF5CA3" w:rsidRDefault="001F7452" w:rsidP="00B03391">
      <w:pPr>
        <w:jc w:val="both"/>
        <w:rPr>
          <w:rFonts w:ascii="Times New Roman" w:eastAsia="Book Antiqua" w:hAnsi="Times New Roman" w:cs="Times New Roman"/>
          <w:sz w:val="22"/>
          <w:szCs w:val="22"/>
          <w:highlight w:val="white"/>
        </w:rPr>
      </w:pPr>
      <w:r w:rsidRPr="00CF5CA3">
        <w:rPr>
          <w:rFonts w:ascii="Times New Roman" w:eastAsia="Book Antiqua" w:hAnsi="Times New Roman" w:cs="Times New Roman"/>
          <w:sz w:val="22"/>
          <w:szCs w:val="22"/>
          <w:highlight w:val="white"/>
        </w:rPr>
        <w:t xml:space="preserve">The </w:t>
      </w:r>
      <w:r w:rsidR="00B03391" w:rsidRPr="00CF5CA3">
        <w:rPr>
          <w:rFonts w:ascii="Times New Roman" w:eastAsia="Book Antiqua" w:hAnsi="Times New Roman" w:cs="Times New Roman"/>
          <w:sz w:val="22"/>
          <w:szCs w:val="22"/>
          <w:highlight w:val="white"/>
        </w:rPr>
        <w:t>“</w:t>
      </w:r>
      <w:r w:rsidRPr="00CF5CA3">
        <w:rPr>
          <w:rFonts w:ascii="Times New Roman" w:eastAsia="Book Antiqua" w:hAnsi="Times New Roman" w:cs="Times New Roman"/>
          <w:sz w:val="22"/>
          <w:szCs w:val="22"/>
          <w:highlight w:val="white"/>
        </w:rPr>
        <w:t>European preference</w:t>
      </w:r>
      <w:r w:rsidR="00B03391" w:rsidRPr="00CF5CA3">
        <w:rPr>
          <w:rFonts w:ascii="Times New Roman" w:eastAsia="Book Antiqua" w:hAnsi="Times New Roman" w:cs="Times New Roman"/>
          <w:sz w:val="22"/>
          <w:szCs w:val="22"/>
          <w:highlight w:val="white"/>
        </w:rPr>
        <w:t>”</w:t>
      </w:r>
      <w:r w:rsidRPr="00CF5CA3">
        <w:rPr>
          <w:rFonts w:ascii="Times New Roman" w:eastAsia="Book Antiqua" w:hAnsi="Times New Roman" w:cs="Times New Roman"/>
          <w:sz w:val="22"/>
          <w:szCs w:val="22"/>
          <w:highlight w:val="white"/>
        </w:rPr>
        <w:t xml:space="preserve"> is going to be deployed in the forthcoming Critical Medicines Act.</w:t>
      </w:r>
      <w:r w:rsidRPr="00CF5CA3">
        <w:rPr>
          <w:rFonts w:ascii="Times New Roman" w:eastAsia="Book Antiqua" w:hAnsi="Times New Roman" w:cs="Times New Roman"/>
          <w:sz w:val="22"/>
          <w:szCs w:val="22"/>
          <w:highlight w:val="white"/>
          <w:vertAlign w:val="superscript"/>
        </w:rPr>
        <w:footnoteReference w:id="85"/>
      </w:r>
      <w:r w:rsidRPr="00CF5CA3">
        <w:rPr>
          <w:rFonts w:ascii="Times New Roman" w:eastAsia="Book Antiqua" w:hAnsi="Times New Roman" w:cs="Times New Roman"/>
          <w:sz w:val="22"/>
          <w:szCs w:val="22"/>
          <w:highlight w:val="white"/>
        </w:rPr>
        <w:t xml:space="preserve"> The Commission is calling for both incentivising resilience, sustainability and positive social impacts in public procurement of critical medicinal products and for joint procurement of medical products of common interest.</w:t>
      </w:r>
      <w:r w:rsidRPr="00CF5CA3">
        <w:rPr>
          <w:rFonts w:ascii="Times New Roman" w:eastAsia="Book Antiqua" w:hAnsi="Times New Roman" w:cs="Times New Roman"/>
          <w:sz w:val="22"/>
          <w:szCs w:val="22"/>
          <w:highlight w:val="white"/>
          <w:vertAlign w:val="superscript"/>
        </w:rPr>
        <w:footnoteReference w:id="86"/>
      </w:r>
    </w:p>
    <w:p w14:paraId="0000005C" w14:textId="100C0FC0" w:rsidR="00706BDF" w:rsidRPr="00CF5CA3" w:rsidRDefault="001F7452" w:rsidP="00B03391">
      <w:pPr>
        <w:jc w:val="both"/>
        <w:rPr>
          <w:rFonts w:ascii="Times New Roman" w:eastAsia="Book Antiqua" w:hAnsi="Times New Roman" w:cs="Times New Roman"/>
          <w:sz w:val="22"/>
          <w:szCs w:val="22"/>
        </w:rPr>
      </w:pPr>
      <w:r w:rsidRPr="00CF5CA3">
        <w:rPr>
          <w:rFonts w:ascii="Times New Roman" w:eastAsia="Book Antiqua" w:hAnsi="Times New Roman" w:cs="Times New Roman"/>
          <w:sz w:val="22"/>
          <w:szCs w:val="22"/>
        </w:rPr>
        <w:t>To different extents, the FRS, the NZIA, the IPI and other recently enacted instruments must be read as aspects of a new trend towards friend-shoring that is not exclusive to the EU.</w:t>
      </w:r>
      <w:r w:rsidRPr="00CF5CA3">
        <w:rPr>
          <w:rFonts w:ascii="Times New Roman" w:eastAsia="Book Antiqua" w:hAnsi="Times New Roman" w:cs="Times New Roman"/>
          <w:sz w:val="22"/>
          <w:szCs w:val="22"/>
          <w:vertAlign w:val="superscript"/>
        </w:rPr>
        <w:footnoteReference w:id="87"/>
      </w:r>
      <w:r w:rsidRPr="00CF5CA3">
        <w:rPr>
          <w:rFonts w:ascii="Times New Roman" w:eastAsia="Book Antiqua" w:hAnsi="Times New Roman" w:cs="Times New Roman"/>
          <w:sz w:val="22"/>
          <w:szCs w:val="22"/>
        </w:rPr>
        <w:t xml:space="preserve"> Still, this trend </w:t>
      </w:r>
      <w:r w:rsidR="002B187B" w:rsidRPr="00CF5CA3">
        <w:rPr>
          <w:rFonts w:ascii="Times New Roman" w:eastAsia="Book Antiqua" w:hAnsi="Times New Roman" w:cs="Times New Roman"/>
          <w:sz w:val="22"/>
          <w:szCs w:val="22"/>
        </w:rPr>
        <w:t xml:space="preserve">might lead to </w:t>
      </w:r>
      <w:r w:rsidRPr="00CF5CA3">
        <w:rPr>
          <w:rFonts w:ascii="Times New Roman" w:eastAsia="Book Antiqua" w:hAnsi="Times New Roman" w:cs="Times New Roman"/>
          <w:sz w:val="22"/>
          <w:szCs w:val="22"/>
        </w:rPr>
        <w:t xml:space="preserve">the fragmentation of international law as applicable in the EU and to EU contracting authorities and entities and </w:t>
      </w:r>
      <w:r w:rsidRPr="00CF5CA3">
        <w:rPr>
          <w:rFonts w:ascii="Times New Roman" w:eastAsia="Book Antiqua" w:hAnsi="Times New Roman" w:cs="Times New Roman"/>
          <w:sz w:val="22"/>
          <w:szCs w:val="22"/>
        </w:rPr>
        <w:lastRenderedPageBreak/>
        <w:t>mak</w:t>
      </w:r>
      <w:r w:rsidR="00B03391" w:rsidRPr="00CF5CA3">
        <w:rPr>
          <w:rFonts w:ascii="Times New Roman" w:eastAsia="Book Antiqua" w:hAnsi="Times New Roman" w:cs="Times New Roman"/>
          <w:sz w:val="22"/>
          <w:szCs w:val="22"/>
        </w:rPr>
        <w:t>ing</w:t>
      </w:r>
      <w:r w:rsidRPr="00CF5CA3">
        <w:rPr>
          <w:rFonts w:ascii="Times New Roman" w:eastAsia="Book Antiqua" w:hAnsi="Times New Roman" w:cs="Times New Roman"/>
          <w:sz w:val="22"/>
          <w:szCs w:val="22"/>
        </w:rPr>
        <w:t xml:space="preserve"> procuring more complex.</w:t>
      </w:r>
      <w:r w:rsidRPr="00CF5CA3">
        <w:rPr>
          <w:rFonts w:ascii="Times New Roman" w:eastAsia="Book Antiqua" w:hAnsi="Times New Roman" w:cs="Times New Roman"/>
          <w:sz w:val="22"/>
          <w:szCs w:val="22"/>
          <w:vertAlign w:val="superscript"/>
        </w:rPr>
        <w:footnoteReference w:id="88"/>
      </w:r>
      <w:r w:rsidRPr="00CF5CA3">
        <w:rPr>
          <w:rFonts w:ascii="Times New Roman" w:eastAsia="Book Antiqua" w:hAnsi="Times New Roman" w:cs="Times New Roman"/>
          <w:sz w:val="22"/>
          <w:szCs w:val="22"/>
        </w:rPr>
        <w:t xml:space="preserve"> Also,</w:t>
      </w:r>
      <w:r w:rsidR="00B65262" w:rsidRPr="00CF5CA3">
        <w:rPr>
          <w:rFonts w:ascii="Times New Roman" w:eastAsia="Book Antiqua" w:hAnsi="Times New Roman" w:cs="Times New Roman"/>
          <w:sz w:val="22"/>
          <w:szCs w:val="22"/>
        </w:rPr>
        <w:t xml:space="preserve"> doubts have been raised concerning the consistency of some of the new provision</w:t>
      </w:r>
      <w:r w:rsidR="00B03391" w:rsidRPr="00CF5CA3">
        <w:rPr>
          <w:rFonts w:ascii="Times New Roman" w:eastAsia="Book Antiqua" w:hAnsi="Times New Roman" w:cs="Times New Roman"/>
          <w:sz w:val="22"/>
          <w:szCs w:val="22"/>
        </w:rPr>
        <w:t>s</w:t>
      </w:r>
      <w:r w:rsidR="00B65262" w:rsidRPr="00CF5CA3">
        <w:rPr>
          <w:rFonts w:ascii="Times New Roman" w:eastAsia="Book Antiqua" w:hAnsi="Times New Roman" w:cs="Times New Roman"/>
          <w:sz w:val="22"/>
          <w:szCs w:val="22"/>
        </w:rPr>
        <w:t xml:space="preserve"> with WTO law.</w:t>
      </w:r>
      <w:r w:rsidR="00B65262" w:rsidRPr="00CF5CA3">
        <w:rPr>
          <w:rStyle w:val="Rimandonotaapidipagina"/>
          <w:rFonts w:ascii="Times New Roman" w:eastAsia="Book Antiqua" w:hAnsi="Times New Roman" w:cs="Times New Roman"/>
          <w:sz w:val="22"/>
          <w:szCs w:val="22"/>
        </w:rPr>
        <w:footnoteReference w:id="89"/>
      </w:r>
      <w:r w:rsidRPr="00CF5CA3">
        <w:rPr>
          <w:rFonts w:ascii="Times New Roman" w:eastAsia="Book Antiqua" w:hAnsi="Times New Roman" w:cs="Times New Roman"/>
          <w:sz w:val="22"/>
          <w:szCs w:val="22"/>
        </w:rPr>
        <w:t xml:space="preserve"> </w:t>
      </w:r>
      <w:r w:rsidR="00B65262" w:rsidRPr="00CF5CA3">
        <w:rPr>
          <w:rFonts w:ascii="Times New Roman" w:eastAsia="Book Antiqua" w:hAnsi="Times New Roman" w:cs="Times New Roman"/>
          <w:sz w:val="22"/>
          <w:szCs w:val="22"/>
        </w:rPr>
        <w:t xml:space="preserve">Finally, </w:t>
      </w:r>
      <w:r w:rsidRPr="00CF5CA3">
        <w:rPr>
          <w:rFonts w:ascii="Times New Roman" w:eastAsia="Book Antiqua" w:hAnsi="Times New Roman" w:cs="Times New Roman"/>
          <w:sz w:val="22"/>
          <w:szCs w:val="22"/>
        </w:rPr>
        <w:t>it is all but sure that the new course of EU public procurement law to engage with third countries will actually lead to more market openings</w:t>
      </w:r>
      <w:r w:rsidR="00B65262" w:rsidRPr="00CF5CA3">
        <w:rPr>
          <w:rFonts w:ascii="Times New Roman" w:eastAsia="Book Antiqua" w:hAnsi="Times New Roman" w:cs="Times New Roman"/>
          <w:sz w:val="22"/>
          <w:szCs w:val="22"/>
        </w:rPr>
        <w:t xml:space="preserve"> to the benefit of EU economic operators</w:t>
      </w:r>
      <w:r w:rsidRPr="00CF5CA3">
        <w:rPr>
          <w:rFonts w:ascii="Times New Roman" w:eastAsia="Book Antiqua" w:hAnsi="Times New Roman" w:cs="Times New Roman"/>
          <w:sz w:val="22"/>
          <w:szCs w:val="22"/>
        </w:rPr>
        <w:t>.</w:t>
      </w:r>
      <w:r w:rsidRPr="00CF5CA3">
        <w:rPr>
          <w:rFonts w:ascii="Times New Roman" w:eastAsia="Book Antiqua" w:hAnsi="Times New Roman" w:cs="Times New Roman"/>
          <w:sz w:val="22"/>
          <w:szCs w:val="22"/>
          <w:vertAlign w:val="superscript"/>
        </w:rPr>
        <w:footnoteReference w:id="90"/>
      </w:r>
    </w:p>
    <w:p w14:paraId="53BED951" w14:textId="565E3797" w:rsidR="00EC41EA" w:rsidRPr="00CF5CA3" w:rsidRDefault="00EC41EA" w:rsidP="00B03391">
      <w:pPr>
        <w:jc w:val="both"/>
        <w:rPr>
          <w:rFonts w:ascii="Times New Roman" w:eastAsia="Book Antiqua" w:hAnsi="Times New Roman" w:cs="Times New Roman"/>
          <w:sz w:val="22"/>
          <w:szCs w:val="22"/>
          <w:shd w:val="clear" w:color="auto" w:fill="76A5AF"/>
        </w:rPr>
      </w:pPr>
      <w:r w:rsidRPr="00CF5CA3">
        <w:rPr>
          <w:rFonts w:ascii="Times New Roman" w:eastAsia="Book Antiqua" w:hAnsi="Times New Roman" w:cs="Times New Roman"/>
          <w:sz w:val="22"/>
          <w:szCs w:val="22"/>
        </w:rPr>
        <w:t xml:space="preserve">More general international law issues aside, the forthcoming reform will have to link the future </w:t>
      </w:r>
      <w:r w:rsidR="00B03391" w:rsidRPr="00CF5CA3">
        <w:rPr>
          <w:rFonts w:ascii="Times New Roman" w:eastAsia="Book Antiqua" w:hAnsi="Times New Roman" w:cs="Times New Roman"/>
          <w:sz w:val="22"/>
          <w:szCs w:val="22"/>
        </w:rPr>
        <w:t>Public Procurement D</w:t>
      </w:r>
      <w:r w:rsidRPr="00CF5CA3">
        <w:rPr>
          <w:rFonts w:ascii="Times New Roman" w:eastAsia="Book Antiqua" w:hAnsi="Times New Roman" w:cs="Times New Roman"/>
          <w:sz w:val="22"/>
          <w:szCs w:val="22"/>
        </w:rPr>
        <w:t xml:space="preserve">irectives with the numerous legal texts differently addressing the external dimension of EU public procurement law, providing contracting authorities and entities with clear indications about who can participate in public procurement procedures in the EU and what adjustments might be necessary </w:t>
      </w:r>
      <w:r w:rsidR="006838CD" w:rsidRPr="00CF5CA3">
        <w:rPr>
          <w:rFonts w:ascii="Times New Roman" w:eastAsia="Book Antiqua" w:hAnsi="Times New Roman" w:cs="Times New Roman"/>
          <w:sz w:val="22"/>
          <w:szCs w:val="22"/>
        </w:rPr>
        <w:t>for</w:t>
      </w:r>
      <w:r w:rsidRPr="00CF5CA3">
        <w:rPr>
          <w:rFonts w:ascii="Times New Roman" w:eastAsia="Book Antiqua" w:hAnsi="Times New Roman" w:cs="Times New Roman"/>
          <w:sz w:val="22"/>
          <w:szCs w:val="22"/>
        </w:rPr>
        <w:t xml:space="preserve"> non-covered third countr</w:t>
      </w:r>
      <w:r w:rsidR="005639E5" w:rsidRPr="00CF5CA3">
        <w:rPr>
          <w:rFonts w:ascii="Times New Roman" w:eastAsia="Book Antiqua" w:hAnsi="Times New Roman" w:cs="Times New Roman"/>
          <w:sz w:val="22"/>
          <w:szCs w:val="22"/>
        </w:rPr>
        <w:t>y economic oper</w:t>
      </w:r>
      <w:r w:rsidR="00314FC9" w:rsidRPr="00CF5CA3">
        <w:rPr>
          <w:rFonts w:ascii="Times New Roman" w:eastAsia="Book Antiqua" w:hAnsi="Times New Roman" w:cs="Times New Roman"/>
          <w:sz w:val="22"/>
          <w:szCs w:val="22"/>
        </w:rPr>
        <w:t>a</w:t>
      </w:r>
      <w:r w:rsidR="005639E5" w:rsidRPr="00CF5CA3">
        <w:rPr>
          <w:rFonts w:ascii="Times New Roman" w:eastAsia="Book Antiqua" w:hAnsi="Times New Roman" w:cs="Times New Roman"/>
          <w:sz w:val="22"/>
          <w:szCs w:val="22"/>
        </w:rPr>
        <w:t>tors.</w:t>
      </w:r>
    </w:p>
    <w:sectPr w:rsidR="00EC41EA" w:rsidRPr="00CF5CA3">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1FD44" w14:textId="77777777" w:rsidR="008E1882" w:rsidRDefault="008E1882">
      <w:pPr>
        <w:spacing w:after="0" w:line="240" w:lineRule="auto"/>
      </w:pPr>
      <w:r>
        <w:separator/>
      </w:r>
    </w:p>
  </w:endnote>
  <w:endnote w:type="continuationSeparator" w:id="0">
    <w:p w14:paraId="3215698C" w14:textId="77777777" w:rsidR="008E1882" w:rsidRDefault="008E1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C2894395-0800-4956-9A67-E1CEBBB2B831}"/>
    <w:embedBold r:id="rId2" w:fontKey="{2BA1EAF4-BCC8-4826-9A22-C9E9DF28D191}"/>
    <w:embedItalic r:id="rId3" w:fontKey="{DC85D00D-FF75-449B-B290-AC694467D03F}"/>
    <w:embedBoldItalic r:id="rId4" w:fontKey="{A9668952-4096-44AA-891D-841CC0F3BB6B}"/>
  </w:font>
  <w:font w:name="Aptos Display">
    <w:charset w:val="00"/>
    <w:family w:val="swiss"/>
    <w:pitch w:val="variable"/>
    <w:sig w:usb0="20000287" w:usb1="00000003" w:usb2="00000000" w:usb3="00000000" w:csb0="0000019F" w:csb1="00000000"/>
    <w:embedRegular r:id="rId5" w:fontKey="{9F6BE6B5-22AC-43E6-8B9A-E690908B7EE3}"/>
  </w:font>
  <w:font w:name="Segoe UI">
    <w:panose1 w:val="020B0502040204020203"/>
    <w:charset w:val="00"/>
    <w:family w:val="swiss"/>
    <w:pitch w:val="variable"/>
    <w:sig w:usb0="E4002EFF" w:usb1="C000E47F" w:usb2="00000009" w:usb3="00000000" w:csb0="000001FF" w:csb1="00000000"/>
    <w:embedRegular r:id="rId6" w:fontKey="{EDBBE45E-D436-4D48-B794-2757B4248C6B}"/>
  </w:font>
  <w:font w:name="Book Antiqua">
    <w:panose1 w:val="02040602050305030304"/>
    <w:charset w:val="00"/>
    <w:family w:val="roman"/>
    <w:pitch w:val="variable"/>
    <w:sig w:usb0="00000287" w:usb1="00000000" w:usb2="00000000" w:usb3="00000000" w:csb0="0000009F" w:csb1="00000000"/>
    <w:embedRegular r:id="rId7" w:fontKey="{BD47CC7A-AA7B-4994-AC8C-1F6653B539DA}"/>
    <w:embedBold r:id="rId8" w:fontKey="{DCAE5231-4F46-431D-96F9-BAEE154CE70D}"/>
    <w:embedItalic r:id="rId9" w:fontKey="{1CAB2010-8FE2-423D-9B70-85978EFCA847}"/>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886BB" w14:textId="77777777" w:rsidR="008E1882" w:rsidRDefault="008E1882">
      <w:pPr>
        <w:spacing w:after="0" w:line="240" w:lineRule="auto"/>
      </w:pPr>
      <w:r>
        <w:separator/>
      </w:r>
    </w:p>
  </w:footnote>
  <w:footnote w:type="continuationSeparator" w:id="0">
    <w:p w14:paraId="7620FF74" w14:textId="77777777" w:rsidR="008E1882" w:rsidRDefault="008E1882">
      <w:pPr>
        <w:spacing w:after="0" w:line="240" w:lineRule="auto"/>
      </w:pPr>
      <w:r>
        <w:continuationSeparator/>
      </w:r>
    </w:p>
  </w:footnote>
  <w:footnote w:id="1">
    <w:p w14:paraId="000000B1" w14:textId="34581B54"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w:t>
      </w:r>
      <w:r w:rsidR="00646580" w:rsidRPr="00CF5CA3">
        <w:rPr>
          <w:rFonts w:ascii="Times New Roman" w:eastAsia="Book Antiqua" w:hAnsi="Times New Roman" w:cs="Times New Roman"/>
          <w:color w:val="000000" w:themeColor="text1"/>
          <w:sz w:val="18"/>
          <w:szCs w:val="18"/>
        </w:rPr>
        <w:t>Public Procurement &lt;</w:t>
      </w:r>
      <w:hyperlink r:id="rId1" w:history="1">
        <w:r w:rsidR="00646580" w:rsidRPr="00CF5CA3">
          <w:rPr>
            <w:rStyle w:val="Collegamentoipertestuale"/>
            <w:rFonts w:ascii="Times New Roman" w:eastAsia="Book Antiqua" w:hAnsi="Times New Roman" w:cs="Times New Roman"/>
            <w:color w:val="000000" w:themeColor="text1"/>
            <w:sz w:val="18"/>
            <w:szCs w:val="18"/>
            <w:u w:val="none"/>
          </w:rPr>
          <w:t>https://single-market-economy.ec.europa.eu/single-market/public-procurement_en</w:t>
        </w:r>
      </w:hyperlink>
      <w:r w:rsidR="00646580" w:rsidRPr="00CF5CA3">
        <w:rPr>
          <w:rFonts w:ascii="Times New Roman" w:eastAsia="Book Antiqua" w:hAnsi="Times New Roman" w:cs="Times New Roman"/>
          <w:color w:val="000000" w:themeColor="text1"/>
          <w:sz w:val="18"/>
          <w:szCs w:val="18"/>
        </w:rPr>
        <w:t>&gt; accessed July 2025.</w:t>
      </w:r>
    </w:p>
  </w:footnote>
  <w:footnote w:id="2">
    <w:p w14:paraId="0000007A" w14:textId="6E1844D2" w:rsidR="00706BDF" w:rsidRPr="00CF5CA3" w:rsidRDefault="001F7452" w:rsidP="00646580">
      <w:pPr>
        <w:spacing w:before="240" w:after="0" w:line="240" w:lineRule="auto"/>
        <w:jc w:val="both"/>
        <w:rPr>
          <w:rFonts w:ascii="Times New Roman" w:hAnsi="Times New Roman" w:cs="Times New Roman"/>
          <w:b/>
          <w:bCs/>
          <w:i/>
          <w:iCs/>
          <w:color w:val="000000" w:themeColor="text1"/>
          <w:sz w:val="18"/>
          <w:szCs w:val="18"/>
          <w:lang w:val="en-US"/>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w:t>
      </w:r>
      <w:r w:rsidRPr="00CF5CA3">
        <w:rPr>
          <w:rFonts w:ascii="Times New Roman" w:eastAsia="Book Antiqua" w:hAnsi="Times New Roman" w:cs="Times New Roman"/>
          <w:color w:val="000000" w:themeColor="text1"/>
          <w:sz w:val="18"/>
          <w:szCs w:val="18"/>
        </w:rPr>
        <w:t>L</w:t>
      </w:r>
      <w:r w:rsidR="00646580" w:rsidRPr="00CF5CA3">
        <w:rPr>
          <w:rFonts w:ascii="Times New Roman" w:eastAsia="Book Antiqua" w:hAnsi="Times New Roman" w:cs="Times New Roman"/>
          <w:color w:val="000000" w:themeColor="text1"/>
          <w:sz w:val="18"/>
          <w:szCs w:val="18"/>
        </w:rPr>
        <w:t>aurence</w:t>
      </w:r>
      <w:r w:rsidRPr="00CF5CA3">
        <w:rPr>
          <w:rFonts w:ascii="Times New Roman" w:eastAsia="Book Antiqua" w:hAnsi="Times New Roman" w:cs="Times New Roman"/>
          <w:color w:val="000000" w:themeColor="text1"/>
          <w:sz w:val="18"/>
          <w:szCs w:val="18"/>
        </w:rPr>
        <w:t xml:space="preserve"> Folliot Lalliot </w:t>
      </w:r>
      <w:r w:rsidR="00646580" w:rsidRPr="00CF5CA3">
        <w:rPr>
          <w:rFonts w:ascii="Times New Roman" w:eastAsia="Book Antiqua" w:hAnsi="Times New Roman" w:cs="Times New Roman"/>
          <w:color w:val="000000" w:themeColor="text1"/>
          <w:sz w:val="18"/>
          <w:szCs w:val="18"/>
        </w:rPr>
        <w:t>and</w:t>
      </w:r>
      <w:r w:rsidRPr="00CF5CA3">
        <w:rPr>
          <w:rFonts w:ascii="Times New Roman" w:eastAsia="Book Antiqua" w:hAnsi="Times New Roman" w:cs="Times New Roman"/>
          <w:color w:val="000000" w:themeColor="text1"/>
          <w:sz w:val="18"/>
          <w:szCs w:val="18"/>
        </w:rPr>
        <w:t xml:space="preserve"> C</w:t>
      </w:r>
      <w:r w:rsidR="00646580" w:rsidRPr="00CF5CA3">
        <w:rPr>
          <w:rFonts w:ascii="Times New Roman" w:eastAsia="Book Antiqua" w:hAnsi="Times New Roman" w:cs="Times New Roman"/>
          <w:color w:val="000000" w:themeColor="text1"/>
          <w:sz w:val="18"/>
          <w:szCs w:val="18"/>
        </w:rPr>
        <w:t xml:space="preserve">hristopher </w:t>
      </w:r>
      <w:r w:rsidRPr="00CF5CA3">
        <w:rPr>
          <w:rFonts w:ascii="Times New Roman" w:eastAsia="Book Antiqua" w:hAnsi="Times New Roman" w:cs="Times New Roman"/>
          <w:color w:val="000000" w:themeColor="text1"/>
          <w:sz w:val="18"/>
          <w:szCs w:val="18"/>
        </w:rPr>
        <w:t xml:space="preserve">R. Yukins, ‘Will protectionism prevail in global public procurement?’ </w:t>
      </w:r>
      <w:r w:rsidR="00646580" w:rsidRPr="00CF5CA3">
        <w:rPr>
          <w:rFonts w:ascii="Times New Roman" w:eastAsia="Book Antiqua" w:hAnsi="Times New Roman" w:cs="Times New Roman"/>
          <w:color w:val="000000" w:themeColor="text1"/>
          <w:sz w:val="18"/>
          <w:szCs w:val="18"/>
        </w:rPr>
        <w:t xml:space="preserve">(2024) 2 </w:t>
      </w:r>
      <w:r w:rsidRPr="00CF5CA3">
        <w:rPr>
          <w:rFonts w:ascii="Times New Roman" w:eastAsia="Book Antiqua" w:hAnsi="Times New Roman" w:cs="Times New Roman"/>
          <w:iCs/>
          <w:color w:val="000000" w:themeColor="text1"/>
          <w:sz w:val="18"/>
          <w:szCs w:val="18"/>
        </w:rPr>
        <w:t xml:space="preserve">Concurrences </w:t>
      </w:r>
      <w:r w:rsidRPr="00CF5CA3">
        <w:rPr>
          <w:rFonts w:ascii="Times New Roman" w:eastAsia="Book Antiqua" w:hAnsi="Times New Roman" w:cs="Times New Roman"/>
          <w:color w:val="000000" w:themeColor="text1"/>
          <w:sz w:val="18"/>
          <w:szCs w:val="18"/>
        </w:rPr>
        <w:t>1</w:t>
      </w:r>
      <w:r w:rsidR="00646580" w:rsidRPr="00CF5CA3">
        <w:rPr>
          <w:rFonts w:ascii="Times New Roman" w:eastAsia="Book Antiqua" w:hAnsi="Times New Roman" w:cs="Times New Roman"/>
          <w:color w:val="000000" w:themeColor="text1"/>
          <w:sz w:val="18"/>
          <w:szCs w:val="18"/>
        </w:rPr>
        <w:t xml:space="preserve">, </w:t>
      </w:r>
      <w:r w:rsidRPr="00CF5CA3">
        <w:rPr>
          <w:rFonts w:ascii="Times New Roman" w:eastAsia="Book Antiqua" w:hAnsi="Times New Roman" w:cs="Times New Roman"/>
          <w:color w:val="000000" w:themeColor="text1"/>
          <w:sz w:val="18"/>
          <w:szCs w:val="18"/>
        </w:rPr>
        <w:t xml:space="preserve">2. </w:t>
      </w:r>
      <w:r w:rsidRPr="00CF5CA3">
        <w:rPr>
          <w:rFonts w:ascii="Times New Roman" w:eastAsia="Times New Roman" w:hAnsi="Times New Roman" w:cs="Times New Roman"/>
          <w:color w:val="000000" w:themeColor="text1"/>
          <w:sz w:val="18"/>
          <w:szCs w:val="18"/>
        </w:rPr>
        <w:t xml:space="preserve">As recalled by Recital 4 of Regulation (EU) 2022/1031 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 </w:t>
      </w:r>
      <w:r w:rsidR="00646580" w:rsidRPr="00CF5CA3">
        <w:rPr>
          <w:rFonts w:ascii="Times New Roman" w:eastAsia="Times New Roman" w:hAnsi="Times New Roman" w:cs="Times New Roman"/>
          <w:color w:val="000000" w:themeColor="text1"/>
          <w:sz w:val="18"/>
          <w:szCs w:val="18"/>
        </w:rPr>
        <w:t xml:space="preserve">[2022] OJ L 173/1. </w:t>
      </w:r>
      <w:r w:rsidRPr="00CF5CA3">
        <w:rPr>
          <w:rFonts w:ascii="Times New Roman" w:eastAsia="Times New Roman" w:hAnsi="Times New Roman" w:cs="Times New Roman"/>
          <w:color w:val="000000" w:themeColor="text1"/>
          <w:sz w:val="18"/>
          <w:szCs w:val="18"/>
        </w:rPr>
        <w:t>(International Procurement Instrument – IPI).</w:t>
      </w:r>
      <w:r w:rsidR="00BA10A6" w:rsidRPr="00CF5CA3">
        <w:rPr>
          <w:rFonts w:ascii="Times New Roman" w:eastAsia="Times New Roman" w:hAnsi="Times New Roman" w:cs="Times New Roman"/>
          <w:color w:val="000000" w:themeColor="text1"/>
          <w:sz w:val="18"/>
          <w:szCs w:val="18"/>
        </w:rPr>
        <w:t xml:space="preserve"> However, </w:t>
      </w:r>
      <w:r w:rsidR="00BA10A6" w:rsidRPr="00CF5CA3">
        <w:rPr>
          <w:rFonts w:ascii="Times New Roman" w:hAnsi="Times New Roman" w:cs="Times New Roman"/>
          <w:color w:val="000000" w:themeColor="text1"/>
          <w:sz w:val="18"/>
          <w:szCs w:val="18"/>
          <w:lang w:val="en-US"/>
        </w:rPr>
        <w:t>W</w:t>
      </w:r>
      <w:r w:rsidR="00646580" w:rsidRPr="00CF5CA3">
        <w:rPr>
          <w:rFonts w:ascii="Times New Roman" w:hAnsi="Times New Roman" w:cs="Times New Roman"/>
          <w:color w:val="000000" w:themeColor="text1"/>
          <w:sz w:val="18"/>
          <w:szCs w:val="18"/>
          <w:lang w:val="en-US"/>
        </w:rPr>
        <w:t>olfgang</w:t>
      </w:r>
      <w:r w:rsidR="00BA10A6" w:rsidRPr="00CF5CA3">
        <w:rPr>
          <w:rFonts w:ascii="Times New Roman" w:hAnsi="Times New Roman" w:cs="Times New Roman"/>
          <w:color w:val="000000" w:themeColor="text1"/>
          <w:sz w:val="18"/>
          <w:szCs w:val="18"/>
          <w:lang w:val="en-US"/>
        </w:rPr>
        <w:t xml:space="preserve"> Weiß </w:t>
      </w:r>
      <w:r w:rsidR="00646580" w:rsidRPr="00CF5CA3">
        <w:rPr>
          <w:rFonts w:ascii="Times New Roman" w:hAnsi="Times New Roman" w:cs="Times New Roman"/>
          <w:color w:val="000000" w:themeColor="text1"/>
          <w:sz w:val="18"/>
          <w:szCs w:val="18"/>
          <w:lang w:val="en-US"/>
        </w:rPr>
        <w:t>and</w:t>
      </w:r>
      <w:r w:rsidR="00BA10A6" w:rsidRPr="00CF5CA3">
        <w:rPr>
          <w:rFonts w:ascii="Times New Roman" w:hAnsi="Times New Roman" w:cs="Times New Roman"/>
          <w:color w:val="000000" w:themeColor="text1"/>
          <w:sz w:val="18"/>
          <w:szCs w:val="18"/>
          <w:lang w:val="en-US"/>
        </w:rPr>
        <w:t xml:space="preserve"> C</w:t>
      </w:r>
      <w:r w:rsidR="00646580" w:rsidRPr="00CF5CA3">
        <w:rPr>
          <w:rFonts w:ascii="Times New Roman" w:hAnsi="Times New Roman" w:cs="Times New Roman"/>
          <w:color w:val="000000" w:themeColor="text1"/>
          <w:sz w:val="18"/>
          <w:szCs w:val="18"/>
          <w:lang w:val="en-US"/>
        </w:rPr>
        <w:t>ornelia</w:t>
      </w:r>
      <w:r w:rsidR="00BA10A6" w:rsidRPr="00CF5CA3">
        <w:rPr>
          <w:rFonts w:ascii="Times New Roman" w:hAnsi="Times New Roman" w:cs="Times New Roman"/>
          <w:color w:val="000000" w:themeColor="text1"/>
          <w:sz w:val="18"/>
          <w:szCs w:val="18"/>
          <w:lang w:val="en-US"/>
        </w:rPr>
        <w:t xml:space="preserve"> Furculita, </w:t>
      </w:r>
      <w:r w:rsidR="00BA10A6" w:rsidRPr="00CF5CA3">
        <w:rPr>
          <w:rFonts w:ascii="Times New Roman" w:hAnsi="Times New Roman" w:cs="Times New Roman"/>
          <w:i/>
          <w:iCs/>
          <w:color w:val="000000" w:themeColor="text1"/>
          <w:sz w:val="18"/>
          <w:szCs w:val="18"/>
          <w:lang w:val="en-US"/>
        </w:rPr>
        <w:t>Open Strategic Autonomy in EU Trade Policy. Assessing the Turn to Stronger Enforcement and More Robust Interest Representation</w:t>
      </w:r>
      <w:r w:rsidR="00BA10A6" w:rsidRPr="00CF5CA3">
        <w:rPr>
          <w:rFonts w:ascii="Times New Roman" w:hAnsi="Times New Roman" w:cs="Times New Roman"/>
          <w:color w:val="000000" w:themeColor="text1"/>
          <w:sz w:val="18"/>
          <w:szCs w:val="18"/>
          <w:lang w:val="en-US"/>
        </w:rPr>
        <w:t xml:space="preserve"> (Cambridge University Press 2024) esp. 295 ff., argue that the carve</w:t>
      </w:r>
      <w:r w:rsidR="00646580" w:rsidRPr="00CF5CA3">
        <w:rPr>
          <w:rFonts w:ascii="Times New Roman" w:hAnsi="Times New Roman" w:cs="Times New Roman"/>
          <w:color w:val="000000" w:themeColor="text1"/>
          <w:sz w:val="18"/>
          <w:szCs w:val="18"/>
          <w:lang w:val="en-US"/>
        </w:rPr>
        <w:t>-</w:t>
      </w:r>
      <w:r w:rsidR="00BA10A6" w:rsidRPr="00CF5CA3">
        <w:rPr>
          <w:rFonts w:ascii="Times New Roman" w:hAnsi="Times New Roman" w:cs="Times New Roman"/>
          <w:color w:val="000000" w:themeColor="text1"/>
          <w:sz w:val="18"/>
          <w:szCs w:val="18"/>
          <w:lang w:val="en-US"/>
        </w:rPr>
        <w:t>out from WTO obligations is far from complete</w:t>
      </w:r>
      <w:r w:rsidR="00046EE4" w:rsidRPr="00CF5CA3">
        <w:rPr>
          <w:rFonts w:ascii="Times New Roman" w:hAnsi="Times New Roman" w:cs="Times New Roman"/>
          <w:color w:val="000000" w:themeColor="text1"/>
          <w:sz w:val="18"/>
          <w:szCs w:val="18"/>
          <w:lang w:val="en-US"/>
        </w:rPr>
        <w:t>; see also R</w:t>
      </w:r>
      <w:r w:rsidR="00646580" w:rsidRPr="00CF5CA3">
        <w:rPr>
          <w:rFonts w:ascii="Times New Roman" w:hAnsi="Times New Roman" w:cs="Times New Roman"/>
          <w:color w:val="000000" w:themeColor="text1"/>
          <w:sz w:val="18"/>
          <w:szCs w:val="18"/>
          <w:lang w:val="en-US"/>
        </w:rPr>
        <w:t xml:space="preserve">ika </w:t>
      </w:r>
      <w:r w:rsidR="00046EE4" w:rsidRPr="00CF5CA3">
        <w:rPr>
          <w:rFonts w:ascii="Times New Roman" w:hAnsi="Times New Roman" w:cs="Times New Roman"/>
          <w:color w:val="000000" w:themeColor="text1"/>
          <w:sz w:val="18"/>
          <w:szCs w:val="18"/>
          <w:lang w:val="en-US"/>
        </w:rPr>
        <w:t xml:space="preserve">Koch, </w:t>
      </w:r>
      <w:r w:rsidR="00046EE4" w:rsidRPr="00CF5CA3">
        <w:rPr>
          <w:rFonts w:ascii="Times New Roman" w:hAnsi="Times New Roman" w:cs="Times New Roman"/>
          <w:i/>
          <w:iCs/>
          <w:color w:val="000000" w:themeColor="text1"/>
          <w:sz w:val="18"/>
          <w:szCs w:val="18"/>
          <w:lang w:val="en-US"/>
        </w:rPr>
        <w:t>Green Public Procurement under WTO Law</w:t>
      </w:r>
      <w:r w:rsidR="00046EE4" w:rsidRPr="00CF5CA3">
        <w:rPr>
          <w:rFonts w:ascii="Times New Roman" w:hAnsi="Times New Roman" w:cs="Times New Roman"/>
          <w:color w:val="000000" w:themeColor="text1"/>
          <w:sz w:val="18"/>
          <w:szCs w:val="18"/>
          <w:lang w:val="en-US"/>
        </w:rPr>
        <w:t xml:space="preserve"> (Springer, 2020) 59</w:t>
      </w:r>
      <w:r w:rsidR="00646580" w:rsidRPr="00CF5CA3">
        <w:rPr>
          <w:rFonts w:ascii="Times New Roman" w:hAnsi="Times New Roman" w:cs="Times New Roman"/>
          <w:color w:val="000000" w:themeColor="text1"/>
          <w:sz w:val="18"/>
          <w:szCs w:val="18"/>
          <w:lang w:val="en-US"/>
        </w:rPr>
        <w:t>.</w:t>
      </w:r>
      <w:r w:rsidR="00046EE4" w:rsidRPr="00CF5CA3">
        <w:rPr>
          <w:rFonts w:ascii="Times New Roman" w:hAnsi="Times New Roman" w:cs="Times New Roman"/>
          <w:color w:val="000000" w:themeColor="text1"/>
          <w:sz w:val="18"/>
          <w:szCs w:val="18"/>
          <w:lang w:val="en-US"/>
        </w:rPr>
        <w:t xml:space="preserve"> </w:t>
      </w:r>
    </w:p>
  </w:footnote>
  <w:footnote w:id="3">
    <w:p w14:paraId="0000007B" w14:textId="65CAEFBE" w:rsidR="00706BDF" w:rsidRPr="00CF5CA3" w:rsidRDefault="001F7452" w:rsidP="003721E1">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See </w:t>
      </w:r>
      <w:r w:rsidR="00646580" w:rsidRPr="00CF5CA3">
        <w:rPr>
          <w:rFonts w:ascii="Times New Roman" w:eastAsia="Times New Roman" w:hAnsi="Times New Roman" w:cs="Times New Roman"/>
          <w:color w:val="000000" w:themeColor="text1"/>
          <w:sz w:val="18"/>
          <w:szCs w:val="18"/>
        </w:rPr>
        <w:t xml:space="preserve">Recital 10 </w:t>
      </w:r>
      <w:r w:rsidRPr="00CF5CA3">
        <w:rPr>
          <w:rFonts w:ascii="Times New Roman" w:eastAsia="Times New Roman" w:hAnsi="Times New Roman" w:cs="Times New Roman"/>
          <w:color w:val="000000" w:themeColor="text1"/>
          <w:sz w:val="18"/>
          <w:szCs w:val="18"/>
        </w:rPr>
        <w:t>Regulation (EU) 2022/1031</w:t>
      </w:r>
      <w:r w:rsidR="00E03765" w:rsidRPr="00CF5CA3">
        <w:rPr>
          <w:rFonts w:ascii="Times New Roman" w:eastAsia="Times New Roman" w:hAnsi="Times New Roman" w:cs="Times New Roman"/>
          <w:color w:val="000000" w:themeColor="text1"/>
          <w:sz w:val="18"/>
          <w:szCs w:val="18"/>
        </w:rPr>
        <w:t xml:space="preserve"> (IPI)</w:t>
      </w:r>
      <w:r w:rsidRPr="00CF5CA3">
        <w:rPr>
          <w:rFonts w:ascii="Times New Roman" w:eastAsia="Times New Roman" w:hAnsi="Times New Roman" w:cs="Times New Roman"/>
          <w:color w:val="000000" w:themeColor="text1"/>
          <w:sz w:val="18"/>
          <w:szCs w:val="18"/>
        </w:rPr>
        <w:t>.</w:t>
      </w:r>
    </w:p>
  </w:footnote>
  <w:footnote w:id="4">
    <w:p w14:paraId="2EF2184D" w14:textId="2E4D011B" w:rsidR="003721E1" w:rsidRPr="00CF5CA3" w:rsidRDefault="003721E1" w:rsidP="003721E1">
      <w:pPr>
        <w:pStyle w:val="Testonotaapidipagina"/>
        <w:jc w:val="both"/>
        <w:rPr>
          <w:rFonts w:ascii="Times New Roman" w:hAnsi="Times New Roman" w:cs="Times New Roman"/>
          <w:color w:val="000000" w:themeColor="text1"/>
          <w:sz w:val="18"/>
          <w:szCs w:val="18"/>
          <w:lang w:val="en-US"/>
        </w:rPr>
      </w:pPr>
      <w:r w:rsidRPr="00CF5CA3">
        <w:rPr>
          <w:rStyle w:val="Rimandonotaapidipagina"/>
          <w:rFonts w:ascii="Times New Roman" w:hAnsi="Times New Roman" w:cs="Times New Roman"/>
          <w:color w:val="000000" w:themeColor="text1"/>
          <w:sz w:val="18"/>
          <w:szCs w:val="18"/>
        </w:rPr>
        <w:footnoteRef/>
      </w:r>
      <w:r w:rsidRPr="00CF5CA3">
        <w:rPr>
          <w:rFonts w:ascii="Times New Roman" w:hAnsi="Times New Roman" w:cs="Times New Roman"/>
          <w:color w:val="000000" w:themeColor="text1"/>
          <w:sz w:val="18"/>
          <w:szCs w:val="18"/>
        </w:rPr>
        <w:t xml:space="preserve"> </w:t>
      </w:r>
      <w:r w:rsidRPr="00CF5CA3">
        <w:rPr>
          <w:rFonts w:ascii="Times New Roman" w:hAnsi="Times New Roman" w:cs="Times New Roman"/>
          <w:color w:val="000000" w:themeColor="text1"/>
          <w:sz w:val="18"/>
          <w:szCs w:val="18"/>
          <w:lang w:val="en-US"/>
        </w:rPr>
        <w:t>For a full list of the relevant agreements see</w:t>
      </w:r>
      <w:r w:rsidR="00646580" w:rsidRPr="00CF5CA3">
        <w:rPr>
          <w:rFonts w:ascii="Times New Roman" w:hAnsi="Times New Roman" w:cs="Times New Roman"/>
          <w:color w:val="000000" w:themeColor="text1"/>
          <w:sz w:val="18"/>
          <w:szCs w:val="18"/>
          <w:lang w:val="en-US"/>
        </w:rPr>
        <w:t xml:space="preserve"> Public Procurement</w:t>
      </w:r>
      <w:r w:rsidRPr="00CF5CA3">
        <w:rPr>
          <w:rFonts w:ascii="Times New Roman" w:hAnsi="Times New Roman" w:cs="Times New Roman"/>
          <w:color w:val="000000" w:themeColor="text1"/>
          <w:sz w:val="18"/>
          <w:szCs w:val="18"/>
          <w:lang w:val="en-US"/>
        </w:rPr>
        <w:t xml:space="preserve"> </w:t>
      </w:r>
      <w:r w:rsidR="00646580" w:rsidRPr="00CF5CA3">
        <w:rPr>
          <w:rFonts w:ascii="Times New Roman" w:hAnsi="Times New Roman" w:cs="Times New Roman"/>
          <w:color w:val="000000" w:themeColor="text1"/>
          <w:sz w:val="18"/>
          <w:szCs w:val="18"/>
          <w:lang w:val="en-US"/>
        </w:rPr>
        <w:t>&lt;</w:t>
      </w:r>
      <w:hyperlink r:id="rId2" w:history="1">
        <w:r w:rsidR="00646580" w:rsidRPr="00CF5CA3">
          <w:rPr>
            <w:rStyle w:val="Collegamentoipertestuale"/>
            <w:rFonts w:ascii="Times New Roman" w:hAnsi="Times New Roman" w:cs="Times New Roman"/>
            <w:color w:val="000000" w:themeColor="text1"/>
            <w:sz w:val="18"/>
            <w:szCs w:val="18"/>
            <w:u w:val="none"/>
          </w:rPr>
          <w:t>https://policy.trade.ec.europa.eu/help-exporters-and-importers/accessing-markets/public-procurement_en</w:t>
        </w:r>
      </w:hyperlink>
      <w:r w:rsidR="00646580" w:rsidRPr="00CF5CA3">
        <w:rPr>
          <w:rStyle w:val="Collegamentoipertestuale"/>
          <w:rFonts w:ascii="Times New Roman" w:hAnsi="Times New Roman" w:cs="Times New Roman"/>
          <w:color w:val="000000" w:themeColor="text1"/>
          <w:sz w:val="18"/>
          <w:szCs w:val="18"/>
          <w:u w:val="none"/>
        </w:rPr>
        <w:t>&gt; accessed July 2025</w:t>
      </w:r>
      <w:r w:rsidRPr="00CF5CA3">
        <w:rPr>
          <w:rFonts w:ascii="Times New Roman" w:hAnsi="Times New Roman" w:cs="Times New Roman"/>
          <w:color w:val="000000" w:themeColor="text1"/>
          <w:sz w:val="18"/>
          <w:szCs w:val="18"/>
          <w:lang w:val="en-US"/>
        </w:rPr>
        <w:t xml:space="preserve">. </w:t>
      </w:r>
    </w:p>
  </w:footnote>
  <w:footnote w:id="5">
    <w:p w14:paraId="0DB19DB1" w14:textId="39D2F970" w:rsidR="003721E1" w:rsidRPr="00CF5CA3" w:rsidRDefault="003721E1">
      <w:pPr>
        <w:pStyle w:val="Testonotaapidipagina"/>
        <w:rPr>
          <w:rFonts w:ascii="Times New Roman" w:hAnsi="Times New Roman" w:cs="Times New Roman"/>
          <w:color w:val="000000" w:themeColor="text1"/>
          <w:sz w:val="18"/>
          <w:szCs w:val="18"/>
        </w:rPr>
      </w:pPr>
      <w:r w:rsidRPr="00CF5CA3">
        <w:rPr>
          <w:rStyle w:val="Rimandonotaapidipagina"/>
          <w:rFonts w:ascii="Times New Roman" w:hAnsi="Times New Roman" w:cs="Times New Roman"/>
          <w:color w:val="000000" w:themeColor="text1"/>
          <w:sz w:val="18"/>
          <w:szCs w:val="18"/>
        </w:rPr>
        <w:footnoteRef/>
      </w:r>
      <w:r w:rsidRPr="00CF5CA3">
        <w:rPr>
          <w:rFonts w:ascii="Times New Roman" w:hAnsi="Times New Roman" w:cs="Times New Roman"/>
          <w:color w:val="000000" w:themeColor="text1"/>
          <w:sz w:val="18"/>
          <w:szCs w:val="18"/>
        </w:rPr>
        <w:t xml:space="preserve"> See Article 2(1)(k) </w:t>
      </w:r>
      <w:r w:rsidRPr="00CF5CA3">
        <w:rPr>
          <w:rFonts w:ascii="Times New Roman" w:eastAsia="Times New Roman" w:hAnsi="Times New Roman" w:cs="Times New Roman"/>
          <w:color w:val="000000" w:themeColor="text1"/>
          <w:sz w:val="18"/>
          <w:szCs w:val="18"/>
        </w:rPr>
        <w:t>Regulation (EU) 2022/1031</w:t>
      </w:r>
      <w:r w:rsidR="00E03765" w:rsidRPr="00CF5CA3">
        <w:rPr>
          <w:rFonts w:ascii="Times New Roman" w:eastAsia="Times New Roman" w:hAnsi="Times New Roman" w:cs="Times New Roman"/>
          <w:color w:val="000000" w:themeColor="text1"/>
          <w:sz w:val="18"/>
          <w:szCs w:val="18"/>
        </w:rPr>
        <w:t xml:space="preserve"> (IPI)</w:t>
      </w:r>
      <w:r w:rsidRPr="00CF5CA3">
        <w:rPr>
          <w:rFonts w:ascii="Times New Roman" w:eastAsia="Times New Roman" w:hAnsi="Times New Roman" w:cs="Times New Roman"/>
          <w:color w:val="000000" w:themeColor="text1"/>
          <w:sz w:val="18"/>
          <w:szCs w:val="18"/>
        </w:rPr>
        <w:t>.</w:t>
      </w:r>
    </w:p>
  </w:footnote>
  <w:footnote w:id="6">
    <w:p w14:paraId="0000009C" w14:textId="314BFCFC"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R</w:t>
      </w:r>
      <w:r w:rsidR="00646580" w:rsidRPr="00CF5CA3">
        <w:rPr>
          <w:rFonts w:ascii="Times New Roman" w:eastAsia="Book Antiqua" w:hAnsi="Times New Roman" w:cs="Times New Roman"/>
          <w:color w:val="000000" w:themeColor="text1"/>
          <w:sz w:val="18"/>
          <w:szCs w:val="18"/>
        </w:rPr>
        <w:t>oberto</w:t>
      </w:r>
      <w:r w:rsidRPr="00CF5CA3">
        <w:rPr>
          <w:rFonts w:ascii="Times New Roman" w:eastAsia="Book Antiqua" w:hAnsi="Times New Roman" w:cs="Times New Roman"/>
          <w:color w:val="000000" w:themeColor="text1"/>
          <w:sz w:val="18"/>
          <w:szCs w:val="18"/>
        </w:rPr>
        <w:t xml:space="preserve"> Caranta, ‘Never Secondary, Forever Horizontal: The Promises of Sustainable Public Procurement’ in A</w:t>
      </w:r>
      <w:r w:rsidR="00646580" w:rsidRPr="00CF5CA3">
        <w:rPr>
          <w:rFonts w:ascii="Times New Roman" w:eastAsia="Book Antiqua" w:hAnsi="Times New Roman" w:cs="Times New Roman"/>
          <w:color w:val="000000" w:themeColor="text1"/>
          <w:sz w:val="18"/>
          <w:szCs w:val="18"/>
        </w:rPr>
        <w:t>nnamaria</w:t>
      </w:r>
      <w:r w:rsidRPr="00CF5CA3">
        <w:rPr>
          <w:rFonts w:ascii="Times New Roman" w:eastAsia="Book Antiqua" w:hAnsi="Times New Roman" w:cs="Times New Roman"/>
          <w:color w:val="000000" w:themeColor="text1"/>
          <w:sz w:val="18"/>
          <w:szCs w:val="18"/>
        </w:rPr>
        <w:t xml:space="preserve"> La Chimia </w:t>
      </w:r>
      <w:r w:rsidR="00646580" w:rsidRPr="00CF5CA3">
        <w:rPr>
          <w:rFonts w:ascii="Times New Roman" w:eastAsia="Book Antiqua" w:hAnsi="Times New Roman" w:cs="Times New Roman"/>
          <w:color w:val="000000" w:themeColor="text1"/>
          <w:sz w:val="18"/>
          <w:szCs w:val="18"/>
        </w:rPr>
        <w:t>–</w:t>
      </w:r>
      <w:r w:rsidRPr="00CF5CA3">
        <w:rPr>
          <w:rFonts w:ascii="Times New Roman" w:eastAsia="Book Antiqua" w:hAnsi="Times New Roman" w:cs="Times New Roman"/>
          <w:color w:val="000000" w:themeColor="text1"/>
          <w:sz w:val="18"/>
          <w:szCs w:val="18"/>
        </w:rPr>
        <w:t xml:space="preserve"> </w:t>
      </w:r>
      <w:r w:rsidR="00646580" w:rsidRPr="00CF5CA3">
        <w:rPr>
          <w:rFonts w:ascii="Times New Roman" w:eastAsia="Book Antiqua" w:hAnsi="Times New Roman" w:cs="Times New Roman"/>
          <w:color w:val="000000" w:themeColor="text1"/>
          <w:sz w:val="18"/>
          <w:szCs w:val="18"/>
        </w:rPr>
        <w:t>Martin Trybus</w:t>
      </w:r>
      <w:r w:rsidRPr="00CF5CA3">
        <w:rPr>
          <w:rFonts w:ascii="Times New Roman" w:eastAsia="Book Antiqua" w:hAnsi="Times New Roman" w:cs="Times New Roman"/>
          <w:color w:val="000000" w:themeColor="text1"/>
          <w:sz w:val="18"/>
          <w:szCs w:val="18"/>
        </w:rPr>
        <w:t xml:space="preserve"> (eds), </w:t>
      </w:r>
      <w:r w:rsidRPr="00CF5CA3">
        <w:rPr>
          <w:rFonts w:ascii="Times New Roman" w:eastAsia="Book Antiqua" w:hAnsi="Times New Roman" w:cs="Times New Roman"/>
          <w:i/>
          <w:color w:val="000000" w:themeColor="text1"/>
          <w:sz w:val="18"/>
          <w:szCs w:val="18"/>
        </w:rPr>
        <w:t xml:space="preserve">Reforming Public Procurement Law - Liber </w:t>
      </w:r>
      <w:proofErr w:type="spellStart"/>
      <w:r w:rsidRPr="00CF5CA3">
        <w:rPr>
          <w:rFonts w:ascii="Times New Roman" w:eastAsia="Book Antiqua" w:hAnsi="Times New Roman" w:cs="Times New Roman"/>
          <w:i/>
          <w:color w:val="000000" w:themeColor="text1"/>
          <w:sz w:val="18"/>
          <w:szCs w:val="18"/>
        </w:rPr>
        <w:t>Amicorum</w:t>
      </w:r>
      <w:proofErr w:type="spellEnd"/>
      <w:r w:rsidRPr="00CF5CA3">
        <w:rPr>
          <w:rFonts w:ascii="Times New Roman" w:eastAsia="Book Antiqua" w:hAnsi="Times New Roman" w:cs="Times New Roman"/>
          <w:i/>
          <w:color w:val="000000" w:themeColor="text1"/>
          <w:sz w:val="18"/>
          <w:szCs w:val="18"/>
        </w:rPr>
        <w:t xml:space="preserve"> in Honour of Sue Arrowsmith</w:t>
      </w:r>
      <w:r w:rsidRPr="00CF5CA3">
        <w:rPr>
          <w:rFonts w:ascii="Times New Roman" w:eastAsia="Book Antiqua" w:hAnsi="Times New Roman" w:cs="Times New Roman"/>
          <w:color w:val="000000" w:themeColor="text1"/>
          <w:sz w:val="18"/>
          <w:szCs w:val="18"/>
        </w:rPr>
        <w:t xml:space="preserve"> (Hart 2024) 139-154.</w:t>
      </w:r>
    </w:p>
  </w:footnote>
  <w:footnote w:id="7">
    <w:p w14:paraId="00000085" w14:textId="1F947933" w:rsidR="00706BDF" w:rsidRPr="00CF5CA3" w:rsidRDefault="001F7452" w:rsidP="00AA37E7">
      <w:pPr>
        <w:spacing w:after="0" w:line="240" w:lineRule="auto"/>
        <w:jc w:val="both"/>
        <w:rPr>
          <w:rFonts w:ascii="Times New Roman" w:hAnsi="Times New Roman" w:cs="Times New Roman"/>
          <w:color w:val="000000" w:themeColor="text1"/>
          <w:sz w:val="18"/>
          <w:szCs w:val="18"/>
          <w:lang w:val="fr-FR"/>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lang w:val="fr-FR"/>
        </w:rPr>
        <w:t xml:space="preserve"> </w:t>
      </w:r>
      <w:proofErr w:type="spellStart"/>
      <w:r w:rsidRPr="00CF5CA3">
        <w:rPr>
          <w:rFonts w:ascii="Times New Roman" w:eastAsia="Book Antiqua" w:hAnsi="Times New Roman" w:cs="Times New Roman"/>
          <w:color w:val="000000" w:themeColor="text1"/>
          <w:sz w:val="18"/>
          <w:szCs w:val="18"/>
          <w:lang w:val="fr-FR"/>
        </w:rPr>
        <w:t>Lalliot</w:t>
      </w:r>
      <w:proofErr w:type="spellEnd"/>
      <w:r w:rsidRPr="00CF5CA3">
        <w:rPr>
          <w:rFonts w:ascii="Times New Roman" w:eastAsia="Book Antiqua" w:hAnsi="Times New Roman" w:cs="Times New Roman"/>
          <w:color w:val="000000" w:themeColor="text1"/>
          <w:sz w:val="18"/>
          <w:szCs w:val="18"/>
          <w:lang w:val="fr-FR"/>
        </w:rPr>
        <w:t xml:space="preserve"> </w:t>
      </w:r>
      <w:r w:rsidR="00646580" w:rsidRPr="00CF5CA3">
        <w:rPr>
          <w:rFonts w:ascii="Times New Roman" w:eastAsia="Book Antiqua" w:hAnsi="Times New Roman" w:cs="Times New Roman"/>
          <w:color w:val="000000" w:themeColor="text1"/>
          <w:sz w:val="18"/>
          <w:szCs w:val="18"/>
          <w:lang w:val="fr-FR"/>
        </w:rPr>
        <w:t>and</w:t>
      </w:r>
      <w:r w:rsidRPr="00CF5CA3">
        <w:rPr>
          <w:rFonts w:ascii="Times New Roman" w:eastAsia="Book Antiqua" w:hAnsi="Times New Roman" w:cs="Times New Roman"/>
          <w:color w:val="000000" w:themeColor="text1"/>
          <w:sz w:val="18"/>
          <w:szCs w:val="18"/>
          <w:lang w:val="fr-FR"/>
        </w:rPr>
        <w:t xml:space="preserve"> </w:t>
      </w:r>
      <w:proofErr w:type="spellStart"/>
      <w:r w:rsidRPr="00CF5CA3">
        <w:rPr>
          <w:rFonts w:ascii="Times New Roman" w:eastAsia="Book Antiqua" w:hAnsi="Times New Roman" w:cs="Times New Roman"/>
          <w:color w:val="000000" w:themeColor="text1"/>
          <w:sz w:val="18"/>
          <w:szCs w:val="18"/>
          <w:lang w:val="fr-FR"/>
        </w:rPr>
        <w:t>Yukins</w:t>
      </w:r>
      <w:proofErr w:type="spellEnd"/>
      <w:r w:rsidR="00646580" w:rsidRPr="00CF5CA3">
        <w:rPr>
          <w:rFonts w:ascii="Times New Roman" w:eastAsia="Book Antiqua" w:hAnsi="Times New Roman" w:cs="Times New Roman"/>
          <w:color w:val="000000" w:themeColor="text1"/>
          <w:sz w:val="18"/>
          <w:szCs w:val="18"/>
          <w:lang w:val="fr-FR"/>
        </w:rPr>
        <w:t xml:space="preserve"> (n 2).</w:t>
      </w:r>
    </w:p>
  </w:footnote>
  <w:footnote w:id="8">
    <w:p w14:paraId="0000008B" w14:textId="38ABA2E0" w:rsidR="00706BDF" w:rsidRPr="00CF5CA3" w:rsidRDefault="001F7452" w:rsidP="006C2516">
      <w:pPr>
        <w:spacing w:after="0" w:line="240" w:lineRule="auto"/>
        <w:jc w:val="both"/>
        <w:rPr>
          <w:rFonts w:ascii="Times New Roman" w:eastAsia="Book Antiqua" w:hAnsi="Times New Roman" w:cs="Times New Roman"/>
          <w:color w:val="000000" w:themeColor="text1"/>
          <w:sz w:val="18"/>
          <w:szCs w:val="18"/>
          <w:lang w:val="fr-FR"/>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lang w:val="fr-FR"/>
        </w:rPr>
        <w:t xml:space="preserve"> </w:t>
      </w:r>
      <w:proofErr w:type="spellStart"/>
      <w:r w:rsidRPr="00CF5CA3">
        <w:rPr>
          <w:rFonts w:ascii="Times New Roman" w:eastAsia="Book Antiqua" w:hAnsi="Times New Roman" w:cs="Times New Roman"/>
          <w:color w:val="000000" w:themeColor="text1"/>
          <w:sz w:val="18"/>
          <w:szCs w:val="18"/>
          <w:lang w:val="fr-FR"/>
        </w:rPr>
        <w:t>See</w:t>
      </w:r>
      <w:proofErr w:type="spellEnd"/>
      <w:r w:rsidRPr="00CF5CA3">
        <w:rPr>
          <w:rFonts w:ascii="Times New Roman" w:eastAsia="Book Antiqua" w:hAnsi="Times New Roman" w:cs="Times New Roman"/>
          <w:color w:val="000000" w:themeColor="text1"/>
          <w:sz w:val="18"/>
          <w:szCs w:val="18"/>
          <w:lang w:val="fr-FR"/>
        </w:rPr>
        <w:t xml:space="preserve"> </w:t>
      </w:r>
      <w:proofErr w:type="spellStart"/>
      <w:r w:rsidRPr="00CF5CA3">
        <w:rPr>
          <w:rFonts w:ascii="Times New Roman" w:eastAsia="Book Antiqua" w:hAnsi="Times New Roman" w:cs="Times New Roman"/>
          <w:color w:val="000000" w:themeColor="text1"/>
          <w:sz w:val="18"/>
          <w:szCs w:val="18"/>
          <w:lang w:val="fr-FR"/>
        </w:rPr>
        <w:t>e</w:t>
      </w:r>
      <w:r w:rsidR="00646580" w:rsidRPr="00CF5CA3">
        <w:rPr>
          <w:rFonts w:ascii="Times New Roman" w:eastAsia="Book Antiqua" w:hAnsi="Times New Roman" w:cs="Times New Roman"/>
          <w:color w:val="000000" w:themeColor="text1"/>
          <w:sz w:val="18"/>
          <w:szCs w:val="18"/>
          <w:lang w:val="fr-FR"/>
        </w:rPr>
        <w:t>g</w:t>
      </w:r>
      <w:proofErr w:type="spellEnd"/>
      <w:r w:rsidR="00646580" w:rsidRPr="00CF5CA3">
        <w:rPr>
          <w:rFonts w:ascii="Times New Roman" w:eastAsia="Book Antiqua" w:hAnsi="Times New Roman" w:cs="Times New Roman"/>
          <w:color w:val="000000" w:themeColor="text1"/>
          <w:sz w:val="18"/>
          <w:szCs w:val="18"/>
          <w:lang w:val="fr-FR"/>
        </w:rPr>
        <w:t xml:space="preserve"> </w:t>
      </w:r>
      <w:proofErr w:type="spellStart"/>
      <w:r w:rsidR="00646580" w:rsidRPr="00CF5CA3">
        <w:rPr>
          <w:rFonts w:ascii="Times New Roman" w:eastAsia="Book Antiqua" w:hAnsi="Times New Roman" w:cs="Times New Roman"/>
          <w:color w:val="000000" w:themeColor="text1"/>
          <w:sz w:val="18"/>
          <w:szCs w:val="18"/>
          <w:lang w:val="fr-FR"/>
        </w:rPr>
        <w:t>European</w:t>
      </w:r>
      <w:proofErr w:type="spellEnd"/>
      <w:r w:rsidR="00646580" w:rsidRPr="00CF5CA3">
        <w:rPr>
          <w:rFonts w:ascii="Times New Roman" w:eastAsia="Book Antiqua" w:hAnsi="Times New Roman" w:cs="Times New Roman"/>
          <w:color w:val="000000" w:themeColor="text1"/>
          <w:sz w:val="18"/>
          <w:szCs w:val="18"/>
          <w:lang w:val="fr-FR"/>
        </w:rPr>
        <w:t xml:space="preserve"> Commission, ‘</w:t>
      </w:r>
      <w:r w:rsidRPr="00CF5CA3">
        <w:rPr>
          <w:rFonts w:ascii="Times New Roman" w:eastAsia="Book Antiqua" w:hAnsi="Times New Roman" w:cs="Times New Roman"/>
          <w:iCs/>
          <w:color w:val="000000" w:themeColor="text1"/>
          <w:sz w:val="18"/>
          <w:szCs w:val="18"/>
          <w:lang w:val="fr-FR"/>
        </w:rPr>
        <w:t xml:space="preserve">Joint Communication to the </w:t>
      </w:r>
      <w:proofErr w:type="spellStart"/>
      <w:r w:rsidRPr="00CF5CA3">
        <w:rPr>
          <w:rFonts w:ascii="Times New Roman" w:eastAsia="Book Antiqua" w:hAnsi="Times New Roman" w:cs="Times New Roman"/>
          <w:iCs/>
          <w:color w:val="000000" w:themeColor="text1"/>
          <w:sz w:val="18"/>
          <w:szCs w:val="18"/>
          <w:lang w:val="fr-FR"/>
        </w:rPr>
        <w:t>European</w:t>
      </w:r>
      <w:proofErr w:type="spellEnd"/>
      <w:r w:rsidRPr="00CF5CA3">
        <w:rPr>
          <w:rFonts w:ascii="Times New Roman" w:eastAsia="Book Antiqua" w:hAnsi="Times New Roman" w:cs="Times New Roman"/>
          <w:iCs/>
          <w:color w:val="000000" w:themeColor="text1"/>
          <w:sz w:val="18"/>
          <w:szCs w:val="18"/>
          <w:lang w:val="fr-FR"/>
        </w:rPr>
        <w:t xml:space="preserve"> </w:t>
      </w:r>
      <w:proofErr w:type="spellStart"/>
      <w:r w:rsidRPr="00CF5CA3">
        <w:rPr>
          <w:rFonts w:ascii="Times New Roman" w:eastAsia="Book Antiqua" w:hAnsi="Times New Roman" w:cs="Times New Roman"/>
          <w:iCs/>
          <w:color w:val="000000" w:themeColor="text1"/>
          <w:sz w:val="18"/>
          <w:szCs w:val="18"/>
          <w:lang w:val="fr-FR"/>
        </w:rPr>
        <w:t>Parliament</w:t>
      </w:r>
      <w:proofErr w:type="spellEnd"/>
      <w:r w:rsidRPr="00CF5CA3">
        <w:rPr>
          <w:rFonts w:ascii="Times New Roman" w:eastAsia="Book Antiqua" w:hAnsi="Times New Roman" w:cs="Times New Roman"/>
          <w:iCs/>
          <w:color w:val="000000" w:themeColor="text1"/>
          <w:sz w:val="18"/>
          <w:szCs w:val="18"/>
          <w:lang w:val="fr-FR"/>
        </w:rPr>
        <w:t xml:space="preserve">, the </w:t>
      </w:r>
      <w:proofErr w:type="spellStart"/>
      <w:r w:rsidRPr="00CF5CA3">
        <w:rPr>
          <w:rFonts w:ascii="Times New Roman" w:eastAsia="Book Antiqua" w:hAnsi="Times New Roman" w:cs="Times New Roman"/>
          <w:iCs/>
          <w:color w:val="000000" w:themeColor="text1"/>
          <w:sz w:val="18"/>
          <w:szCs w:val="18"/>
          <w:lang w:val="fr-FR"/>
        </w:rPr>
        <w:t>European</w:t>
      </w:r>
      <w:proofErr w:type="spellEnd"/>
      <w:r w:rsidRPr="00CF5CA3">
        <w:rPr>
          <w:rFonts w:ascii="Times New Roman" w:eastAsia="Book Antiqua" w:hAnsi="Times New Roman" w:cs="Times New Roman"/>
          <w:iCs/>
          <w:color w:val="000000" w:themeColor="text1"/>
          <w:sz w:val="18"/>
          <w:szCs w:val="18"/>
          <w:lang w:val="fr-FR"/>
        </w:rPr>
        <w:t xml:space="preserve"> Council and the Council setting out an ‘EU — China </w:t>
      </w:r>
      <w:proofErr w:type="spellStart"/>
      <w:r w:rsidRPr="00CF5CA3">
        <w:rPr>
          <w:rFonts w:ascii="Times New Roman" w:eastAsia="Book Antiqua" w:hAnsi="Times New Roman" w:cs="Times New Roman"/>
          <w:iCs/>
          <w:color w:val="000000" w:themeColor="text1"/>
          <w:sz w:val="18"/>
          <w:szCs w:val="18"/>
          <w:lang w:val="fr-FR"/>
        </w:rPr>
        <w:t>strategic</w:t>
      </w:r>
      <w:proofErr w:type="spellEnd"/>
      <w:r w:rsidRPr="00CF5CA3">
        <w:rPr>
          <w:rFonts w:ascii="Times New Roman" w:eastAsia="Book Antiqua" w:hAnsi="Times New Roman" w:cs="Times New Roman"/>
          <w:iCs/>
          <w:color w:val="000000" w:themeColor="text1"/>
          <w:sz w:val="18"/>
          <w:szCs w:val="18"/>
          <w:lang w:val="fr-FR"/>
        </w:rPr>
        <w:t xml:space="preserve"> </w:t>
      </w:r>
      <w:proofErr w:type="spellStart"/>
      <w:r w:rsidRPr="00CF5CA3">
        <w:rPr>
          <w:rFonts w:ascii="Times New Roman" w:eastAsia="Book Antiqua" w:hAnsi="Times New Roman" w:cs="Times New Roman"/>
          <w:iCs/>
          <w:color w:val="000000" w:themeColor="text1"/>
          <w:sz w:val="18"/>
          <w:szCs w:val="18"/>
          <w:lang w:val="fr-FR"/>
        </w:rPr>
        <w:t>outlook</w:t>
      </w:r>
      <w:proofErr w:type="spellEnd"/>
      <w:r w:rsidRPr="00CF5CA3">
        <w:rPr>
          <w:rFonts w:ascii="Times New Roman" w:eastAsia="Book Antiqua" w:hAnsi="Times New Roman" w:cs="Times New Roman"/>
          <w:iCs/>
          <w:color w:val="000000" w:themeColor="text1"/>
          <w:sz w:val="18"/>
          <w:szCs w:val="18"/>
          <w:lang w:val="fr-FR"/>
        </w:rPr>
        <w:t>’</w:t>
      </w:r>
      <w:r w:rsidRPr="00CF5CA3">
        <w:rPr>
          <w:rFonts w:ascii="Times New Roman" w:eastAsia="Book Antiqua" w:hAnsi="Times New Roman" w:cs="Times New Roman"/>
          <w:color w:val="000000" w:themeColor="text1"/>
          <w:sz w:val="18"/>
          <w:szCs w:val="18"/>
          <w:lang w:val="fr-FR"/>
        </w:rPr>
        <w:t xml:space="preserve"> JOIN (2019)5</w:t>
      </w:r>
      <w:r w:rsidR="00646580" w:rsidRPr="00CF5CA3">
        <w:rPr>
          <w:rFonts w:ascii="Times New Roman" w:eastAsia="Book Antiqua" w:hAnsi="Times New Roman" w:cs="Times New Roman"/>
          <w:color w:val="000000" w:themeColor="text1"/>
          <w:sz w:val="18"/>
          <w:szCs w:val="18"/>
          <w:lang w:val="fr-FR"/>
        </w:rPr>
        <w:t xml:space="preserve"> </w:t>
      </w:r>
      <w:proofErr w:type="gramStart"/>
      <w:r w:rsidR="00646580" w:rsidRPr="00CF5CA3">
        <w:rPr>
          <w:rFonts w:ascii="Times New Roman" w:eastAsia="Book Antiqua" w:hAnsi="Times New Roman" w:cs="Times New Roman"/>
          <w:color w:val="000000" w:themeColor="text1"/>
          <w:sz w:val="18"/>
          <w:szCs w:val="18"/>
          <w:lang w:val="fr-FR"/>
        </w:rPr>
        <w:t>final</w:t>
      </w:r>
      <w:r w:rsidR="006C2516" w:rsidRPr="00CF5CA3">
        <w:rPr>
          <w:rFonts w:ascii="Times New Roman" w:eastAsia="Book Antiqua" w:hAnsi="Times New Roman" w:cs="Times New Roman"/>
          <w:color w:val="000000" w:themeColor="text1"/>
          <w:sz w:val="18"/>
          <w:szCs w:val="18"/>
          <w:lang w:val="fr-FR"/>
        </w:rPr>
        <w:t>;</w:t>
      </w:r>
      <w:proofErr w:type="gramEnd"/>
      <w:r w:rsidR="006C2516" w:rsidRPr="00CF5CA3">
        <w:rPr>
          <w:rFonts w:ascii="Times New Roman" w:eastAsia="Book Antiqua" w:hAnsi="Times New Roman" w:cs="Times New Roman"/>
          <w:color w:val="000000" w:themeColor="text1"/>
          <w:sz w:val="18"/>
          <w:szCs w:val="18"/>
          <w:lang w:val="fr-FR"/>
        </w:rPr>
        <w:t xml:space="preserve"> </w:t>
      </w:r>
      <w:proofErr w:type="spellStart"/>
      <w:r w:rsidR="006C2516" w:rsidRPr="00CF5CA3">
        <w:rPr>
          <w:rFonts w:ascii="Times New Roman" w:eastAsia="Book Antiqua" w:hAnsi="Times New Roman" w:cs="Times New Roman"/>
          <w:color w:val="000000" w:themeColor="text1"/>
          <w:sz w:val="18"/>
          <w:szCs w:val="18"/>
          <w:lang w:val="fr-FR"/>
        </w:rPr>
        <w:t>see</w:t>
      </w:r>
      <w:proofErr w:type="spellEnd"/>
      <w:r w:rsidR="006C2516" w:rsidRPr="00CF5CA3">
        <w:rPr>
          <w:rFonts w:ascii="Times New Roman" w:eastAsia="Book Antiqua" w:hAnsi="Times New Roman" w:cs="Times New Roman"/>
          <w:color w:val="000000" w:themeColor="text1"/>
          <w:sz w:val="18"/>
          <w:szCs w:val="18"/>
          <w:lang w:val="fr-FR"/>
        </w:rPr>
        <w:t xml:space="preserve"> G</w:t>
      </w:r>
      <w:r w:rsidR="00646580" w:rsidRPr="00CF5CA3">
        <w:rPr>
          <w:rFonts w:ascii="Times New Roman" w:eastAsia="Book Antiqua" w:hAnsi="Times New Roman" w:cs="Times New Roman"/>
          <w:color w:val="000000" w:themeColor="text1"/>
          <w:sz w:val="18"/>
          <w:szCs w:val="18"/>
          <w:lang w:val="fr-FR"/>
        </w:rPr>
        <w:t>iacomo</w:t>
      </w:r>
      <w:r w:rsidR="006C2516" w:rsidRPr="00CF5CA3">
        <w:rPr>
          <w:rFonts w:ascii="Times New Roman" w:eastAsia="Book Antiqua" w:hAnsi="Times New Roman" w:cs="Times New Roman"/>
          <w:color w:val="000000" w:themeColor="text1"/>
          <w:sz w:val="18"/>
          <w:szCs w:val="18"/>
          <w:lang w:val="fr-FR"/>
        </w:rPr>
        <w:t xml:space="preserve"> </w:t>
      </w:r>
      <w:proofErr w:type="spellStart"/>
      <w:r w:rsidR="006C2516" w:rsidRPr="00CF5CA3">
        <w:rPr>
          <w:rFonts w:ascii="Times New Roman" w:eastAsia="Book Antiqua" w:hAnsi="Times New Roman" w:cs="Times New Roman"/>
          <w:color w:val="000000" w:themeColor="text1"/>
          <w:sz w:val="18"/>
          <w:szCs w:val="18"/>
          <w:lang w:val="fr-FR"/>
        </w:rPr>
        <w:t>Gattinara</w:t>
      </w:r>
      <w:proofErr w:type="spellEnd"/>
      <w:r w:rsidR="006C2516" w:rsidRPr="00CF5CA3">
        <w:rPr>
          <w:rFonts w:ascii="Times New Roman" w:eastAsia="Book Antiqua" w:hAnsi="Times New Roman" w:cs="Times New Roman"/>
          <w:color w:val="000000" w:themeColor="text1"/>
          <w:sz w:val="18"/>
          <w:szCs w:val="18"/>
          <w:lang w:val="fr-FR"/>
        </w:rPr>
        <w:t xml:space="preserve"> </w:t>
      </w:r>
      <w:r w:rsidR="00646580" w:rsidRPr="00CF5CA3">
        <w:rPr>
          <w:rFonts w:ascii="Times New Roman" w:eastAsia="Book Antiqua" w:hAnsi="Times New Roman" w:cs="Times New Roman"/>
          <w:color w:val="000000" w:themeColor="text1"/>
          <w:sz w:val="18"/>
          <w:szCs w:val="18"/>
          <w:lang w:val="fr-FR"/>
        </w:rPr>
        <w:t>and</w:t>
      </w:r>
      <w:r w:rsidR="006C2516" w:rsidRPr="00CF5CA3">
        <w:rPr>
          <w:rFonts w:ascii="Times New Roman" w:eastAsia="Book Antiqua" w:hAnsi="Times New Roman" w:cs="Times New Roman"/>
          <w:color w:val="000000" w:themeColor="text1"/>
          <w:sz w:val="18"/>
          <w:szCs w:val="18"/>
          <w:lang w:val="fr-FR"/>
        </w:rPr>
        <w:t xml:space="preserve"> P</w:t>
      </w:r>
      <w:r w:rsidR="00646580" w:rsidRPr="00CF5CA3">
        <w:rPr>
          <w:rFonts w:ascii="Times New Roman" w:eastAsia="Book Antiqua" w:hAnsi="Times New Roman" w:cs="Times New Roman"/>
          <w:color w:val="000000" w:themeColor="text1"/>
          <w:sz w:val="18"/>
          <w:szCs w:val="18"/>
          <w:lang w:val="fr-FR"/>
        </w:rPr>
        <w:t>etr</w:t>
      </w:r>
      <w:r w:rsidR="006C2516" w:rsidRPr="00CF5CA3">
        <w:rPr>
          <w:rFonts w:ascii="Times New Roman" w:eastAsia="Book Antiqua" w:hAnsi="Times New Roman" w:cs="Times New Roman"/>
          <w:color w:val="000000" w:themeColor="text1"/>
          <w:sz w:val="18"/>
          <w:szCs w:val="18"/>
          <w:lang w:val="fr-FR"/>
        </w:rPr>
        <w:t xml:space="preserve"> </w:t>
      </w:r>
      <w:proofErr w:type="spellStart"/>
      <w:r w:rsidR="006C2516" w:rsidRPr="00CF5CA3">
        <w:rPr>
          <w:rFonts w:ascii="Times New Roman" w:eastAsia="Book Antiqua" w:hAnsi="Times New Roman" w:cs="Times New Roman"/>
          <w:color w:val="000000" w:themeColor="text1"/>
          <w:sz w:val="18"/>
          <w:szCs w:val="18"/>
          <w:lang w:val="fr-FR"/>
        </w:rPr>
        <w:t>Ondrusek</w:t>
      </w:r>
      <w:proofErr w:type="spellEnd"/>
      <w:r w:rsidR="006C2516" w:rsidRPr="00CF5CA3">
        <w:rPr>
          <w:rFonts w:ascii="Times New Roman" w:eastAsia="Book Antiqua" w:hAnsi="Times New Roman" w:cs="Times New Roman"/>
          <w:color w:val="000000" w:themeColor="text1"/>
          <w:sz w:val="18"/>
          <w:szCs w:val="18"/>
          <w:lang w:val="fr-FR"/>
        </w:rPr>
        <w:t xml:space="preserve">, ‘Un nouvel instrument dans le droit européen des marchés publics et des </w:t>
      </w:r>
      <w:proofErr w:type="gramStart"/>
      <w:r w:rsidR="006C2516" w:rsidRPr="00CF5CA3">
        <w:rPr>
          <w:rFonts w:ascii="Times New Roman" w:eastAsia="Book Antiqua" w:hAnsi="Times New Roman" w:cs="Times New Roman"/>
          <w:color w:val="000000" w:themeColor="text1"/>
          <w:sz w:val="18"/>
          <w:szCs w:val="18"/>
          <w:lang w:val="fr-FR"/>
        </w:rPr>
        <w:t>concessions:</w:t>
      </w:r>
      <w:proofErr w:type="gramEnd"/>
      <w:r w:rsidR="006C2516" w:rsidRPr="00CF5CA3">
        <w:rPr>
          <w:rFonts w:ascii="Times New Roman" w:eastAsia="Book Antiqua" w:hAnsi="Times New Roman" w:cs="Times New Roman"/>
          <w:color w:val="000000" w:themeColor="text1"/>
          <w:sz w:val="18"/>
          <w:szCs w:val="18"/>
          <w:lang w:val="fr-FR"/>
        </w:rPr>
        <w:t xml:space="preserve"> le règlement (UE) 2022/2560 sur les subventions étrangères</w:t>
      </w:r>
      <w:r w:rsidR="00646580" w:rsidRPr="00CF5CA3">
        <w:rPr>
          <w:rFonts w:ascii="Times New Roman" w:eastAsia="Book Antiqua" w:hAnsi="Times New Roman" w:cs="Times New Roman"/>
          <w:color w:val="000000" w:themeColor="text1"/>
          <w:sz w:val="18"/>
          <w:szCs w:val="18"/>
          <w:lang w:val="fr-FR"/>
        </w:rPr>
        <w:t xml:space="preserve"> </w:t>
      </w:r>
      <w:r w:rsidR="006C2516" w:rsidRPr="00CF5CA3">
        <w:rPr>
          <w:rFonts w:ascii="Times New Roman" w:eastAsia="Book Antiqua" w:hAnsi="Times New Roman" w:cs="Times New Roman"/>
          <w:color w:val="000000" w:themeColor="text1"/>
          <w:sz w:val="18"/>
          <w:szCs w:val="18"/>
          <w:lang w:val="fr-FR"/>
        </w:rPr>
        <w:t xml:space="preserve">faussant le marché intérieur’ </w:t>
      </w:r>
      <w:r w:rsidR="00646580" w:rsidRPr="00CF5CA3">
        <w:rPr>
          <w:rFonts w:ascii="Times New Roman" w:eastAsia="Book Antiqua" w:hAnsi="Times New Roman" w:cs="Times New Roman"/>
          <w:color w:val="000000" w:themeColor="text1"/>
          <w:sz w:val="18"/>
          <w:szCs w:val="18"/>
          <w:lang w:val="fr-FR"/>
        </w:rPr>
        <w:t xml:space="preserve">(2024) 1 </w:t>
      </w:r>
      <w:proofErr w:type="spellStart"/>
      <w:r w:rsidR="006C2516" w:rsidRPr="00CF5CA3">
        <w:rPr>
          <w:rFonts w:ascii="Times New Roman" w:eastAsia="Book Antiqua" w:hAnsi="Times New Roman" w:cs="Times New Roman"/>
          <w:color w:val="000000" w:themeColor="text1"/>
          <w:sz w:val="18"/>
          <w:szCs w:val="18"/>
          <w:lang w:val="fr-FR"/>
        </w:rPr>
        <w:t>Rev</w:t>
      </w:r>
      <w:proofErr w:type="spellEnd"/>
      <w:r w:rsidR="006C2516" w:rsidRPr="00CF5CA3">
        <w:rPr>
          <w:rFonts w:ascii="Times New Roman" w:eastAsia="Book Antiqua" w:hAnsi="Times New Roman" w:cs="Times New Roman"/>
          <w:color w:val="000000" w:themeColor="text1"/>
          <w:sz w:val="18"/>
          <w:szCs w:val="18"/>
          <w:lang w:val="fr-FR"/>
        </w:rPr>
        <w:t>. Droit UE</w:t>
      </w:r>
      <w:r w:rsidR="00646580" w:rsidRPr="00CF5CA3">
        <w:rPr>
          <w:rFonts w:ascii="Times New Roman" w:eastAsia="Book Antiqua" w:hAnsi="Times New Roman" w:cs="Times New Roman"/>
          <w:color w:val="000000" w:themeColor="text1"/>
          <w:sz w:val="18"/>
          <w:szCs w:val="18"/>
          <w:lang w:val="fr-FR"/>
        </w:rPr>
        <w:t xml:space="preserve"> 217,</w:t>
      </w:r>
      <w:r w:rsidR="006C2516" w:rsidRPr="00CF5CA3">
        <w:rPr>
          <w:rFonts w:ascii="Times New Roman" w:eastAsia="Book Antiqua" w:hAnsi="Times New Roman" w:cs="Times New Roman"/>
          <w:color w:val="000000" w:themeColor="text1"/>
          <w:sz w:val="18"/>
          <w:szCs w:val="18"/>
          <w:lang w:val="fr-FR"/>
        </w:rPr>
        <w:t xml:space="preserve"> 219 f</w:t>
      </w:r>
      <w:r w:rsidRPr="00CF5CA3">
        <w:rPr>
          <w:rFonts w:ascii="Times New Roman" w:eastAsia="Book Antiqua" w:hAnsi="Times New Roman" w:cs="Times New Roman"/>
          <w:color w:val="000000" w:themeColor="text1"/>
          <w:sz w:val="18"/>
          <w:szCs w:val="18"/>
          <w:lang w:val="fr-FR"/>
        </w:rPr>
        <w:t>.</w:t>
      </w:r>
    </w:p>
  </w:footnote>
  <w:footnote w:id="9">
    <w:p w14:paraId="32815D72" w14:textId="0E6E22C7" w:rsidR="00424752" w:rsidRPr="00CF5CA3" w:rsidRDefault="00424752" w:rsidP="00424752">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w:t>
      </w:r>
      <w:r w:rsidR="00646580" w:rsidRPr="00CF5CA3">
        <w:rPr>
          <w:rFonts w:ascii="Times New Roman" w:eastAsia="Book Antiqua" w:hAnsi="Times New Roman" w:cs="Times New Roman"/>
          <w:color w:val="000000" w:themeColor="text1"/>
          <w:sz w:val="18"/>
          <w:szCs w:val="18"/>
        </w:rPr>
        <w:t>European Commission, ‘</w:t>
      </w:r>
      <w:r w:rsidRPr="00CF5CA3">
        <w:rPr>
          <w:rFonts w:ascii="Times New Roman" w:eastAsia="Book Antiqua" w:hAnsi="Times New Roman" w:cs="Times New Roman"/>
          <w:color w:val="000000" w:themeColor="text1"/>
          <w:sz w:val="18"/>
          <w:szCs w:val="18"/>
        </w:rPr>
        <w:t>Communication from the Commission - Guidance on the participation of third-country bidders and goods in the EU procurement market</w:t>
      </w:r>
      <w:r w:rsidR="00646580" w:rsidRPr="00CF5CA3">
        <w:rPr>
          <w:rFonts w:ascii="Times New Roman" w:eastAsia="Book Antiqua" w:hAnsi="Times New Roman" w:cs="Times New Roman"/>
          <w:color w:val="000000" w:themeColor="text1"/>
          <w:sz w:val="18"/>
          <w:szCs w:val="18"/>
        </w:rPr>
        <w:t>’</w:t>
      </w:r>
      <w:r w:rsidRPr="00CF5CA3">
        <w:rPr>
          <w:rFonts w:ascii="Times New Roman" w:eastAsia="Book Antiqua" w:hAnsi="Times New Roman" w:cs="Times New Roman"/>
          <w:color w:val="000000" w:themeColor="text1"/>
          <w:sz w:val="18"/>
          <w:szCs w:val="18"/>
        </w:rPr>
        <w:t xml:space="preserve"> C/2019/5494.</w:t>
      </w:r>
    </w:p>
  </w:footnote>
  <w:footnote w:id="10">
    <w:p w14:paraId="71D990B9" w14:textId="2B944331" w:rsidR="00424752" w:rsidRPr="00CF5CA3" w:rsidRDefault="00424752" w:rsidP="00424752">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w:t>
      </w:r>
      <w:r w:rsidR="00646580" w:rsidRPr="00CF5CA3">
        <w:rPr>
          <w:rFonts w:ascii="Times New Roman" w:eastAsia="Book Antiqua" w:hAnsi="Times New Roman" w:cs="Times New Roman"/>
          <w:color w:val="000000" w:themeColor="text1"/>
          <w:sz w:val="18"/>
          <w:szCs w:val="18"/>
        </w:rPr>
        <w:t>ibid</w:t>
      </w:r>
      <w:r w:rsidRPr="00CF5CA3">
        <w:rPr>
          <w:rFonts w:ascii="Times New Roman" w:eastAsia="Book Antiqua" w:hAnsi="Times New Roman" w:cs="Times New Roman"/>
          <w:color w:val="000000" w:themeColor="text1"/>
          <w:sz w:val="18"/>
          <w:szCs w:val="18"/>
        </w:rPr>
        <w:t xml:space="preserve"> 13 ff and 17 ff respectively.</w:t>
      </w:r>
    </w:p>
  </w:footnote>
  <w:footnote w:id="11">
    <w:p w14:paraId="0000008D" w14:textId="7689FDFB" w:rsidR="00706BDF" w:rsidRPr="00CF5CA3" w:rsidRDefault="001F7452" w:rsidP="00AA37E7">
      <w:pPr>
        <w:spacing w:after="0" w:line="240" w:lineRule="auto"/>
        <w:jc w:val="both"/>
        <w:rPr>
          <w:rFonts w:ascii="Times New Roman" w:eastAsia="Book Antiqua" w:hAnsi="Times New Roman" w:cs="Times New Roman"/>
          <w:iCs/>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See </w:t>
      </w:r>
      <w:proofErr w:type="spellStart"/>
      <w:r w:rsidRPr="00CF5CA3">
        <w:rPr>
          <w:rFonts w:ascii="Times New Roman" w:eastAsia="Book Antiqua" w:hAnsi="Times New Roman" w:cs="Times New Roman"/>
          <w:color w:val="000000" w:themeColor="text1"/>
          <w:sz w:val="18"/>
          <w:szCs w:val="18"/>
        </w:rPr>
        <w:t>eg</w:t>
      </w:r>
      <w:proofErr w:type="spellEnd"/>
      <w:r w:rsidRPr="00CF5CA3">
        <w:rPr>
          <w:rFonts w:ascii="Times New Roman" w:eastAsia="Book Antiqua" w:hAnsi="Times New Roman" w:cs="Times New Roman"/>
          <w:color w:val="000000" w:themeColor="text1"/>
          <w:sz w:val="18"/>
          <w:szCs w:val="18"/>
        </w:rPr>
        <w:t xml:space="preserve"> </w:t>
      </w:r>
      <w:r w:rsidR="00646580" w:rsidRPr="00CF5CA3">
        <w:rPr>
          <w:rFonts w:ascii="Times New Roman" w:eastAsia="Book Antiqua" w:hAnsi="Times New Roman" w:cs="Times New Roman"/>
          <w:color w:val="000000" w:themeColor="text1"/>
          <w:sz w:val="18"/>
          <w:szCs w:val="18"/>
        </w:rPr>
        <w:t>European Commission, ‘</w:t>
      </w:r>
      <w:r w:rsidRPr="00CF5CA3">
        <w:rPr>
          <w:rFonts w:ascii="Times New Roman" w:eastAsia="Book Antiqua" w:hAnsi="Times New Roman" w:cs="Times New Roman"/>
          <w:color w:val="000000" w:themeColor="text1"/>
          <w:sz w:val="18"/>
          <w:szCs w:val="18"/>
        </w:rPr>
        <w:t xml:space="preserve">Communication </w:t>
      </w:r>
      <w:r w:rsidR="00646580" w:rsidRPr="00CF5CA3">
        <w:rPr>
          <w:rFonts w:ascii="Times New Roman" w:eastAsia="Book Antiqua" w:hAnsi="Times New Roman" w:cs="Times New Roman"/>
          <w:color w:val="000000" w:themeColor="text1"/>
          <w:sz w:val="18"/>
          <w:szCs w:val="18"/>
        </w:rPr>
        <w:t>from the Commission to the European Parliament, the Council, the European Economic and Social Committee and the Committee of the Regions</w:t>
      </w:r>
      <w:r w:rsidRPr="00CF5CA3">
        <w:rPr>
          <w:rFonts w:ascii="Times New Roman" w:eastAsia="Book Antiqua" w:hAnsi="Times New Roman" w:cs="Times New Roman"/>
          <w:color w:val="000000" w:themeColor="text1"/>
          <w:sz w:val="18"/>
          <w:szCs w:val="18"/>
        </w:rPr>
        <w:t xml:space="preserve"> </w:t>
      </w:r>
      <w:r w:rsidRPr="00CF5CA3">
        <w:rPr>
          <w:rFonts w:ascii="Times New Roman" w:eastAsia="Book Antiqua" w:hAnsi="Times New Roman" w:cs="Times New Roman"/>
          <w:iCs/>
          <w:color w:val="000000" w:themeColor="text1"/>
          <w:sz w:val="18"/>
          <w:szCs w:val="18"/>
        </w:rPr>
        <w:t>Trade Policy Review - An Open, Sustainable and Assertive Trade Policy</w:t>
      </w:r>
      <w:r w:rsidR="00646580" w:rsidRPr="00CF5CA3">
        <w:rPr>
          <w:rFonts w:ascii="Times New Roman" w:eastAsia="Book Antiqua" w:hAnsi="Times New Roman" w:cs="Times New Roman"/>
          <w:iCs/>
          <w:color w:val="000000" w:themeColor="text1"/>
          <w:sz w:val="18"/>
          <w:szCs w:val="18"/>
        </w:rPr>
        <w:t>’</w:t>
      </w:r>
      <w:r w:rsidRPr="00CF5CA3">
        <w:rPr>
          <w:rFonts w:ascii="Times New Roman" w:eastAsia="Book Antiqua" w:hAnsi="Times New Roman" w:cs="Times New Roman"/>
          <w:iCs/>
          <w:color w:val="000000" w:themeColor="text1"/>
          <w:sz w:val="18"/>
          <w:szCs w:val="18"/>
        </w:rPr>
        <w:t xml:space="preserve"> </w:t>
      </w:r>
      <w:proofErr w:type="gramStart"/>
      <w:r w:rsidRPr="00CF5CA3">
        <w:rPr>
          <w:rFonts w:ascii="Times New Roman" w:eastAsia="Book Antiqua" w:hAnsi="Times New Roman" w:cs="Times New Roman"/>
          <w:iCs/>
          <w:color w:val="000000" w:themeColor="text1"/>
          <w:sz w:val="18"/>
          <w:szCs w:val="18"/>
        </w:rPr>
        <w:t>COM(</w:t>
      </w:r>
      <w:proofErr w:type="gramEnd"/>
      <w:r w:rsidRPr="00CF5CA3">
        <w:rPr>
          <w:rFonts w:ascii="Times New Roman" w:eastAsia="Book Antiqua" w:hAnsi="Times New Roman" w:cs="Times New Roman"/>
          <w:iCs/>
          <w:color w:val="000000" w:themeColor="text1"/>
          <w:sz w:val="18"/>
          <w:szCs w:val="18"/>
        </w:rPr>
        <w:t>2021) 66</w:t>
      </w:r>
      <w:r w:rsidR="00646580" w:rsidRPr="00CF5CA3">
        <w:rPr>
          <w:rFonts w:ascii="Times New Roman" w:eastAsia="Book Antiqua" w:hAnsi="Times New Roman" w:cs="Times New Roman"/>
          <w:iCs/>
          <w:color w:val="000000" w:themeColor="text1"/>
          <w:sz w:val="18"/>
          <w:szCs w:val="18"/>
        </w:rPr>
        <w:t xml:space="preserve"> final</w:t>
      </w:r>
      <w:r w:rsidRPr="00CF5CA3">
        <w:rPr>
          <w:rFonts w:ascii="Times New Roman" w:eastAsia="Book Antiqua" w:hAnsi="Times New Roman" w:cs="Times New Roman"/>
          <w:iCs/>
          <w:color w:val="000000" w:themeColor="text1"/>
          <w:sz w:val="18"/>
          <w:szCs w:val="18"/>
        </w:rPr>
        <w:t>.</w:t>
      </w:r>
    </w:p>
  </w:footnote>
  <w:footnote w:id="12">
    <w:p w14:paraId="0000009D" w14:textId="1B195B8F"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iCs/>
          <w:color w:val="000000" w:themeColor="text1"/>
          <w:sz w:val="18"/>
          <w:szCs w:val="18"/>
          <w:vertAlign w:val="superscript"/>
        </w:rPr>
        <w:footnoteRef/>
      </w:r>
      <w:r w:rsidRPr="00CF5CA3">
        <w:rPr>
          <w:rFonts w:ascii="Times New Roman" w:hAnsi="Times New Roman" w:cs="Times New Roman"/>
          <w:iCs/>
          <w:color w:val="000000" w:themeColor="text1"/>
          <w:sz w:val="18"/>
          <w:szCs w:val="18"/>
        </w:rPr>
        <w:t xml:space="preserve"> </w:t>
      </w:r>
      <w:r w:rsidR="00646580" w:rsidRPr="00CF5CA3">
        <w:rPr>
          <w:rFonts w:ascii="Times New Roman" w:hAnsi="Times New Roman" w:cs="Times New Roman"/>
          <w:iCs/>
          <w:color w:val="000000" w:themeColor="text1"/>
          <w:sz w:val="18"/>
          <w:szCs w:val="18"/>
        </w:rPr>
        <w:t xml:space="preserve"> European Commission, ‘</w:t>
      </w:r>
      <w:r w:rsidR="00646580" w:rsidRPr="00CF5CA3">
        <w:rPr>
          <w:rFonts w:ascii="Times New Roman" w:eastAsia="Book Antiqua" w:hAnsi="Times New Roman" w:cs="Times New Roman"/>
          <w:color w:val="000000" w:themeColor="text1"/>
          <w:sz w:val="18"/>
          <w:szCs w:val="18"/>
        </w:rPr>
        <w:t>Communication from the Commission to the European Parliament, the European Council, the Council, the European Economic and Social Committee and the Committee of the Regions</w:t>
      </w:r>
      <w:r w:rsidR="00646580" w:rsidRPr="00CF5CA3">
        <w:rPr>
          <w:rFonts w:ascii="Times New Roman" w:eastAsia="Book Antiqua" w:hAnsi="Times New Roman" w:cs="Times New Roman"/>
          <w:iCs/>
          <w:color w:val="000000" w:themeColor="text1"/>
          <w:sz w:val="18"/>
          <w:szCs w:val="18"/>
        </w:rPr>
        <w:t xml:space="preserve"> </w:t>
      </w:r>
      <w:r w:rsidRPr="00CF5CA3">
        <w:rPr>
          <w:rFonts w:ascii="Times New Roman" w:eastAsia="Book Antiqua" w:hAnsi="Times New Roman" w:cs="Times New Roman"/>
          <w:iCs/>
          <w:color w:val="000000" w:themeColor="text1"/>
          <w:sz w:val="18"/>
          <w:szCs w:val="18"/>
        </w:rPr>
        <w:t>Communication</w:t>
      </w:r>
      <w:r w:rsidRPr="00CF5CA3">
        <w:rPr>
          <w:rFonts w:ascii="Times New Roman" w:eastAsia="Book Antiqua" w:hAnsi="Times New Roman" w:cs="Times New Roman"/>
          <w:color w:val="000000" w:themeColor="text1"/>
          <w:sz w:val="18"/>
          <w:szCs w:val="18"/>
        </w:rPr>
        <w:t xml:space="preserve"> from the Commission - </w:t>
      </w:r>
      <w:r w:rsidRPr="00CF5CA3">
        <w:rPr>
          <w:rFonts w:ascii="Times New Roman" w:eastAsia="Book Antiqua" w:hAnsi="Times New Roman" w:cs="Times New Roman"/>
          <w:iCs/>
          <w:color w:val="000000" w:themeColor="text1"/>
          <w:sz w:val="18"/>
          <w:szCs w:val="18"/>
        </w:rPr>
        <w:t>A Competitiveness Compass for the EU</w:t>
      </w:r>
      <w:r w:rsidR="00646580" w:rsidRPr="00CF5CA3">
        <w:rPr>
          <w:rFonts w:ascii="Times New Roman" w:eastAsia="Book Antiqua" w:hAnsi="Times New Roman" w:cs="Times New Roman"/>
          <w:iCs/>
          <w:color w:val="000000" w:themeColor="text1"/>
          <w:sz w:val="18"/>
          <w:szCs w:val="18"/>
        </w:rPr>
        <w:t>’</w:t>
      </w:r>
      <w:r w:rsidRPr="00CF5CA3">
        <w:rPr>
          <w:rFonts w:ascii="Times New Roman" w:eastAsia="Book Antiqua" w:hAnsi="Times New Roman" w:cs="Times New Roman"/>
          <w:color w:val="000000" w:themeColor="text1"/>
          <w:sz w:val="18"/>
          <w:szCs w:val="18"/>
        </w:rPr>
        <w:t xml:space="preserve"> </w:t>
      </w:r>
      <w:proofErr w:type="gramStart"/>
      <w:r w:rsidRPr="00CF5CA3">
        <w:rPr>
          <w:rFonts w:ascii="Times New Roman" w:eastAsia="Book Antiqua" w:hAnsi="Times New Roman" w:cs="Times New Roman"/>
          <w:color w:val="000000" w:themeColor="text1"/>
          <w:sz w:val="18"/>
          <w:szCs w:val="18"/>
        </w:rPr>
        <w:t>COM(</w:t>
      </w:r>
      <w:proofErr w:type="gramEnd"/>
      <w:r w:rsidRPr="00CF5CA3">
        <w:rPr>
          <w:rFonts w:ascii="Times New Roman" w:eastAsia="Book Antiqua" w:hAnsi="Times New Roman" w:cs="Times New Roman"/>
          <w:color w:val="000000" w:themeColor="text1"/>
          <w:sz w:val="18"/>
          <w:szCs w:val="18"/>
        </w:rPr>
        <w:t>2025)</w:t>
      </w:r>
      <w:r w:rsidR="00E03765" w:rsidRPr="00CF5CA3">
        <w:rPr>
          <w:rFonts w:ascii="Times New Roman" w:eastAsia="Book Antiqua" w:hAnsi="Times New Roman" w:cs="Times New Roman"/>
          <w:color w:val="000000" w:themeColor="text1"/>
          <w:sz w:val="18"/>
          <w:szCs w:val="18"/>
        </w:rPr>
        <w:t xml:space="preserve"> </w:t>
      </w:r>
      <w:r w:rsidRPr="00CF5CA3">
        <w:rPr>
          <w:rFonts w:ascii="Times New Roman" w:eastAsia="Book Antiqua" w:hAnsi="Times New Roman" w:cs="Times New Roman"/>
          <w:color w:val="000000" w:themeColor="text1"/>
          <w:sz w:val="18"/>
          <w:szCs w:val="18"/>
        </w:rPr>
        <w:t>30 final 14.</w:t>
      </w:r>
    </w:p>
  </w:footnote>
  <w:footnote w:id="13">
    <w:p w14:paraId="00000094" w14:textId="728A5B68"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rPr>
        <w:t xml:space="preserve"> </w:t>
      </w:r>
      <w:r w:rsidRPr="00CF5CA3">
        <w:rPr>
          <w:rFonts w:ascii="Times New Roman" w:eastAsia="Book Antiqua" w:hAnsi="Times New Roman" w:cs="Times New Roman"/>
          <w:color w:val="000000" w:themeColor="text1"/>
          <w:sz w:val="18"/>
          <w:szCs w:val="18"/>
        </w:rPr>
        <w:t>See the analysis by</w:t>
      </w:r>
      <w:r w:rsidR="00646580" w:rsidRPr="00CF5CA3">
        <w:rPr>
          <w:rFonts w:ascii="Times New Roman" w:eastAsia="Book Antiqua" w:hAnsi="Times New Roman" w:cs="Times New Roman"/>
          <w:color w:val="000000" w:themeColor="text1"/>
          <w:sz w:val="18"/>
          <w:szCs w:val="18"/>
        </w:rPr>
        <w:t xml:space="preserve"> Michael</w:t>
      </w:r>
      <w:r w:rsidRPr="00CF5CA3">
        <w:rPr>
          <w:rFonts w:ascii="Times New Roman" w:eastAsia="Book Antiqua" w:hAnsi="Times New Roman" w:cs="Times New Roman"/>
          <w:color w:val="000000" w:themeColor="text1"/>
          <w:sz w:val="18"/>
          <w:szCs w:val="18"/>
        </w:rPr>
        <w:t xml:space="preserve"> Bowsher et al., ‘International Procurement Developments in 2022: New Perspectives in Global Procurement’ (2022) </w:t>
      </w:r>
      <w:r w:rsidRPr="00CF5CA3">
        <w:rPr>
          <w:rFonts w:ascii="Times New Roman" w:eastAsia="Book Antiqua" w:hAnsi="Times New Roman" w:cs="Times New Roman"/>
          <w:iCs/>
          <w:color w:val="000000" w:themeColor="text1"/>
          <w:sz w:val="18"/>
          <w:szCs w:val="18"/>
        </w:rPr>
        <w:t>Gov. Contr. Year in Rev</w:t>
      </w:r>
      <w:r w:rsidRPr="00CF5CA3">
        <w:rPr>
          <w:rFonts w:ascii="Times New Roman" w:eastAsia="Book Antiqua" w:hAnsi="Times New Roman" w:cs="Times New Roman"/>
          <w:i/>
          <w:color w:val="000000" w:themeColor="text1"/>
          <w:sz w:val="18"/>
          <w:szCs w:val="18"/>
        </w:rPr>
        <w:t>.</w:t>
      </w:r>
      <w:r w:rsidRPr="00CF5CA3">
        <w:rPr>
          <w:rFonts w:ascii="Times New Roman" w:eastAsia="Book Antiqua" w:hAnsi="Times New Roman" w:cs="Times New Roman"/>
          <w:color w:val="000000" w:themeColor="text1"/>
          <w:sz w:val="18"/>
          <w:szCs w:val="18"/>
        </w:rPr>
        <w:t xml:space="preserve"> 59</w:t>
      </w:r>
      <w:r w:rsidR="00646580" w:rsidRPr="00CF5CA3">
        <w:rPr>
          <w:rFonts w:ascii="Times New Roman" w:eastAsia="Book Antiqua" w:hAnsi="Times New Roman" w:cs="Times New Roman"/>
          <w:color w:val="000000" w:themeColor="text1"/>
          <w:sz w:val="18"/>
          <w:szCs w:val="18"/>
        </w:rPr>
        <w:t>,</w:t>
      </w:r>
      <w:r w:rsidRPr="00CF5CA3">
        <w:rPr>
          <w:rFonts w:ascii="Times New Roman" w:eastAsia="Book Antiqua" w:hAnsi="Times New Roman" w:cs="Times New Roman"/>
          <w:color w:val="000000" w:themeColor="text1"/>
          <w:sz w:val="18"/>
          <w:szCs w:val="18"/>
        </w:rPr>
        <w:t xml:space="preserve"> 61 ff.</w:t>
      </w:r>
      <w:r w:rsidR="00646580" w:rsidRPr="00CF5CA3">
        <w:rPr>
          <w:rFonts w:ascii="Times New Roman" w:eastAsia="Book Antiqua" w:hAnsi="Times New Roman" w:cs="Times New Roman"/>
          <w:color w:val="000000" w:themeColor="text1"/>
          <w:sz w:val="18"/>
          <w:szCs w:val="18"/>
        </w:rPr>
        <w:t xml:space="preserve"> (Part II authored by Pascal Friton).</w:t>
      </w:r>
    </w:p>
  </w:footnote>
  <w:footnote w:id="14">
    <w:p w14:paraId="0000009E" w14:textId="51C89495"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R</w:t>
      </w:r>
      <w:r w:rsidR="00646580" w:rsidRPr="00CF5CA3">
        <w:rPr>
          <w:rFonts w:ascii="Times New Roman" w:eastAsia="Book Antiqua" w:hAnsi="Times New Roman" w:cs="Times New Roman"/>
          <w:color w:val="000000" w:themeColor="text1"/>
          <w:sz w:val="18"/>
          <w:szCs w:val="18"/>
        </w:rPr>
        <w:t xml:space="preserve">oberto </w:t>
      </w:r>
      <w:r w:rsidRPr="00CF5CA3">
        <w:rPr>
          <w:rFonts w:ascii="Times New Roman" w:eastAsia="Book Antiqua" w:hAnsi="Times New Roman" w:cs="Times New Roman"/>
          <w:color w:val="000000" w:themeColor="text1"/>
          <w:sz w:val="18"/>
          <w:szCs w:val="18"/>
        </w:rPr>
        <w:t xml:space="preserve">Caranta, ‘Sustainability takes centre stage in public procurement’ </w:t>
      </w:r>
      <w:r w:rsidR="00E03765" w:rsidRPr="00CF5CA3">
        <w:rPr>
          <w:rFonts w:ascii="Times New Roman" w:eastAsia="Book Antiqua" w:hAnsi="Times New Roman" w:cs="Times New Roman"/>
          <w:color w:val="000000" w:themeColor="text1"/>
          <w:sz w:val="18"/>
          <w:szCs w:val="18"/>
        </w:rPr>
        <w:t xml:space="preserve">(2023) </w:t>
      </w:r>
      <w:r w:rsidRPr="00CF5CA3">
        <w:rPr>
          <w:rFonts w:ascii="Times New Roman" w:eastAsia="Book Antiqua" w:hAnsi="Times New Roman" w:cs="Times New Roman"/>
          <w:color w:val="000000" w:themeColor="text1"/>
          <w:sz w:val="18"/>
          <w:szCs w:val="18"/>
        </w:rPr>
        <w:t xml:space="preserve">85(1) </w:t>
      </w:r>
      <w:r w:rsidRPr="00CF5CA3">
        <w:rPr>
          <w:rFonts w:ascii="Times New Roman" w:eastAsia="Book Antiqua" w:hAnsi="Times New Roman" w:cs="Times New Roman"/>
          <w:iCs/>
          <w:color w:val="000000" w:themeColor="text1"/>
          <w:sz w:val="18"/>
          <w:szCs w:val="18"/>
        </w:rPr>
        <w:t xml:space="preserve">Ruch </w:t>
      </w:r>
      <w:proofErr w:type="spellStart"/>
      <w:r w:rsidRPr="00CF5CA3">
        <w:rPr>
          <w:rFonts w:ascii="Times New Roman" w:eastAsia="Book Antiqua" w:hAnsi="Times New Roman" w:cs="Times New Roman"/>
          <w:iCs/>
          <w:color w:val="000000" w:themeColor="text1"/>
          <w:sz w:val="18"/>
          <w:szCs w:val="18"/>
        </w:rPr>
        <w:t>Prawniczy</w:t>
      </w:r>
      <w:proofErr w:type="spellEnd"/>
      <w:r w:rsidRPr="00CF5CA3">
        <w:rPr>
          <w:rFonts w:ascii="Times New Roman" w:eastAsia="Book Antiqua" w:hAnsi="Times New Roman" w:cs="Times New Roman"/>
          <w:iCs/>
          <w:color w:val="000000" w:themeColor="text1"/>
          <w:sz w:val="18"/>
          <w:szCs w:val="18"/>
        </w:rPr>
        <w:t xml:space="preserve"> </w:t>
      </w:r>
      <w:proofErr w:type="spellStart"/>
      <w:r w:rsidRPr="00CF5CA3">
        <w:rPr>
          <w:rFonts w:ascii="Times New Roman" w:eastAsia="Book Antiqua" w:hAnsi="Times New Roman" w:cs="Times New Roman"/>
          <w:iCs/>
          <w:color w:val="000000" w:themeColor="text1"/>
          <w:sz w:val="18"/>
          <w:szCs w:val="18"/>
        </w:rPr>
        <w:t>Ekonomiczny</w:t>
      </w:r>
      <w:proofErr w:type="spellEnd"/>
      <w:r w:rsidRPr="00CF5CA3">
        <w:rPr>
          <w:rFonts w:ascii="Times New Roman" w:eastAsia="Book Antiqua" w:hAnsi="Times New Roman" w:cs="Times New Roman"/>
          <w:iCs/>
          <w:color w:val="000000" w:themeColor="text1"/>
          <w:sz w:val="18"/>
          <w:szCs w:val="18"/>
        </w:rPr>
        <w:t xml:space="preserve"> </w:t>
      </w:r>
      <w:proofErr w:type="spellStart"/>
      <w:r w:rsidRPr="00CF5CA3">
        <w:rPr>
          <w:rFonts w:ascii="Times New Roman" w:eastAsia="Book Antiqua" w:hAnsi="Times New Roman" w:cs="Times New Roman"/>
          <w:iCs/>
          <w:color w:val="000000" w:themeColor="text1"/>
          <w:sz w:val="18"/>
          <w:szCs w:val="18"/>
        </w:rPr>
        <w:t>i</w:t>
      </w:r>
      <w:proofErr w:type="spellEnd"/>
      <w:r w:rsidRPr="00CF5CA3">
        <w:rPr>
          <w:rFonts w:ascii="Times New Roman" w:eastAsia="Book Antiqua" w:hAnsi="Times New Roman" w:cs="Times New Roman"/>
          <w:iCs/>
          <w:color w:val="000000" w:themeColor="text1"/>
          <w:sz w:val="18"/>
          <w:szCs w:val="18"/>
        </w:rPr>
        <w:t xml:space="preserve"> </w:t>
      </w:r>
      <w:proofErr w:type="spellStart"/>
      <w:r w:rsidRPr="00CF5CA3">
        <w:rPr>
          <w:rFonts w:ascii="Times New Roman" w:eastAsia="Book Antiqua" w:hAnsi="Times New Roman" w:cs="Times New Roman"/>
          <w:iCs/>
          <w:color w:val="000000" w:themeColor="text1"/>
          <w:sz w:val="18"/>
          <w:szCs w:val="18"/>
        </w:rPr>
        <w:t>Socjologiczny</w:t>
      </w:r>
      <w:proofErr w:type="spellEnd"/>
      <w:r w:rsidRPr="00CF5CA3">
        <w:rPr>
          <w:rFonts w:ascii="Times New Roman" w:eastAsia="Book Antiqua" w:hAnsi="Times New Roman" w:cs="Times New Roman"/>
          <w:color w:val="000000" w:themeColor="text1"/>
          <w:sz w:val="18"/>
          <w:szCs w:val="18"/>
        </w:rPr>
        <w:t xml:space="preserve"> 4</w:t>
      </w:r>
      <w:r w:rsidR="00E03765" w:rsidRPr="00CF5CA3">
        <w:rPr>
          <w:rFonts w:ascii="Times New Roman" w:eastAsia="Book Antiqua" w:hAnsi="Times New Roman" w:cs="Times New Roman"/>
          <w:color w:val="000000" w:themeColor="text1"/>
          <w:sz w:val="18"/>
          <w:szCs w:val="18"/>
        </w:rPr>
        <w:t>1</w:t>
      </w:r>
      <w:r w:rsidRPr="00CF5CA3">
        <w:rPr>
          <w:rFonts w:ascii="Times New Roman" w:eastAsia="Book Antiqua" w:hAnsi="Times New Roman" w:cs="Times New Roman"/>
          <w:color w:val="000000" w:themeColor="text1"/>
          <w:sz w:val="18"/>
          <w:szCs w:val="18"/>
        </w:rPr>
        <w:t>.</w:t>
      </w:r>
    </w:p>
  </w:footnote>
  <w:footnote w:id="15">
    <w:p w14:paraId="000000B2" w14:textId="4E291C0A"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Regulation (EU) 2022/2560 </w:t>
      </w:r>
      <w:r w:rsidR="00646580" w:rsidRPr="00CF5CA3">
        <w:rPr>
          <w:rFonts w:ascii="Times New Roman" w:hAnsi="Times New Roman" w:cs="Times New Roman"/>
          <w:color w:val="000000" w:themeColor="text1"/>
          <w:sz w:val="18"/>
          <w:szCs w:val="18"/>
          <w:shd w:val="clear" w:color="auto" w:fill="FFFFFF"/>
        </w:rPr>
        <w:t>of the European Parliament and of the Council of 14 December 2022</w:t>
      </w:r>
      <w:r w:rsidR="00646580" w:rsidRPr="00CF5CA3">
        <w:rPr>
          <w:rFonts w:ascii="Times New Roman" w:eastAsia="Book Antiqua" w:hAnsi="Times New Roman" w:cs="Times New Roman"/>
          <w:color w:val="000000" w:themeColor="text1"/>
          <w:sz w:val="18"/>
          <w:szCs w:val="18"/>
        </w:rPr>
        <w:t xml:space="preserve"> </w:t>
      </w:r>
      <w:r w:rsidRPr="00CF5CA3">
        <w:rPr>
          <w:rFonts w:ascii="Times New Roman" w:eastAsia="Book Antiqua" w:hAnsi="Times New Roman" w:cs="Times New Roman"/>
          <w:color w:val="000000" w:themeColor="text1"/>
          <w:sz w:val="18"/>
          <w:szCs w:val="18"/>
        </w:rPr>
        <w:t>on foreign subsidies distorting the internal market</w:t>
      </w:r>
      <w:r w:rsidR="00646580" w:rsidRPr="00CF5CA3">
        <w:rPr>
          <w:rFonts w:ascii="Times New Roman" w:eastAsia="Book Antiqua" w:hAnsi="Times New Roman" w:cs="Times New Roman"/>
          <w:color w:val="000000" w:themeColor="text1"/>
          <w:sz w:val="18"/>
          <w:szCs w:val="18"/>
        </w:rPr>
        <w:t xml:space="preserve"> [2022] OJ L 330/1.</w:t>
      </w:r>
    </w:p>
  </w:footnote>
  <w:footnote w:id="16">
    <w:p w14:paraId="0000007C" w14:textId="12B5C504"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Regulation (EU) 2024/1735 </w:t>
      </w:r>
      <w:r w:rsidR="00646580" w:rsidRPr="00CF5CA3">
        <w:rPr>
          <w:rFonts w:ascii="Times New Roman" w:eastAsia="Times New Roman" w:hAnsi="Times New Roman" w:cs="Times New Roman"/>
          <w:color w:val="000000" w:themeColor="text1"/>
          <w:sz w:val="18"/>
          <w:szCs w:val="18"/>
        </w:rPr>
        <w:t xml:space="preserve">of the European Parliament and of the Council of 13 June 2024 </w:t>
      </w:r>
      <w:r w:rsidRPr="00CF5CA3">
        <w:rPr>
          <w:rFonts w:ascii="Times New Roman" w:eastAsia="Times New Roman" w:hAnsi="Times New Roman" w:cs="Times New Roman"/>
          <w:color w:val="000000" w:themeColor="text1"/>
          <w:sz w:val="18"/>
          <w:szCs w:val="18"/>
        </w:rPr>
        <w:t>on establishing a framework of measures for strengthening Europe’s net-zero technology manufacturing ecosystem</w:t>
      </w:r>
      <w:r w:rsidR="00646580" w:rsidRPr="00CF5CA3">
        <w:rPr>
          <w:rFonts w:ascii="Times New Roman" w:eastAsia="Times New Roman" w:hAnsi="Times New Roman" w:cs="Times New Roman"/>
          <w:color w:val="000000" w:themeColor="text1"/>
          <w:sz w:val="18"/>
          <w:szCs w:val="18"/>
        </w:rPr>
        <w:t xml:space="preserve"> [2024]</w:t>
      </w:r>
      <w:r w:rsidRPr="00CF5CA3">
        <w:rPr>
          <w:rFonts w:ascii="Times New Roman" w:eastAsia="Times New Roman" w:hAnsi="Times New Roman" w:cs="Times New Roman"/>
          <w:color w:val="000000" w:themeColor="text1"/>
          <w:sz w:val="18"/>
          <w:szCs w:val="18"/>
        </w:rPr>
        <w:t xml:space="preserve"> </w:t>
      </w:r>
      <w:r w:rsidR="00646580" w:rsidRPr="00CF5CA3">
        <w:rPr>
          <w:rFonts w:ascii="Times New Roman" w:eastAsia="Times New Roman" w:hAnsi="Times New Roman" w:cs="Times New Roman"/>
          <w:color w:val="000000" w:themeColor="text1"/>
          <w:sz w:val="18"/>
          <w:szCs w:val="18"/>
        </w:rPr>
        <w:t xml:space="preserve">OJ L 2024/1735 </w:t>
      </w:r>
      <w:r w:rsidRPr="00CF5CA3">
        <w:rPr>
          <w:rFonts w:ascii="Times New Roman" w:eastAsia="Times New Roman" w:hAnsi="Times New Roman" w:cs="Times New Roman"/>
          <w:color w:val="000000" w:themeColor="text1"/>
          <w:sz w:val="18"/>
          <w:szCs w:val="18"/>
        </w:rPr>
        <w:t>(NZIA).</w:t>
      </w:r>
    </w:p>
  </w:footnote>
  <w:footnote w:id="17">
    <w:p w14:paraId="000000B3" w14:textId="46FFBEED"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Regulation (EU) 2022/1031 </w:t>
      </w:r>
      <w:r w:rsidR="00646580" w:rsidRPr="00CF5CA3">
        <w:rPr>
          <w:rFonts w:ascii="Times New Roman" w:eastAsia="Book Antiqua" w:hAnsi="Times New Roman" w:cs="Times New Roman"/>
          <w:color w:val="000000" w:themeColor="text1"/>
          <w:sz w:val="18"/>
          <w:szCs w:val="18"/>
        </w:rPr>
        <w:t>(</w:t>
      </w:r>
      <w:r w:rsidRPr="00CF5CA3">
        <w:rPr>
          <w:rFonts w:ascii="Times New Roman" w:eastAsia="Book Antiqua" w:hAnsi="Times New Roman" w:cs="Times New Roman"/>
          <w:color w:val="000000" w:themeColor="text1"/>
          <w:sz w:val="18"/>
          <w:szCs w:val="18"/>
        </w:rPr>
        <w:t>IPI).</w:t>
      </w:r>
    </w:p>
  </w:footnote>
  <w:footnote w:id="18">
    <w:p w14:paraId="000000B6" w14:textId="1D4323B2"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w:t>
      </w:r>
      <w:r w:rsidR="00FB2148" w:rsidRPr="00CF5CA3">
        <w:rPr>
          <w:rFonts w:ascii="Times New Roman" w:eastAsia="Book Antiqua" w:hAnsi="Times New Roman" w:cs="Times New Roman"/>
          <w:color w:val="000000" w:themeColor="text1"/>
          <w:sz w:val="18"/>
          <w:szCs w:val="18"/>
        </w:rPr>
        <w:t xml:space="preserve">See </w:t>
      </w:r>
      <w:proofErr w:type="spellStart"/>
      <w:r w:rsidR="00FB2148" w:rsidRPr="00CF5CA3">
        <w:rPr>
          <w:rFonts w:ascii="Times New Roman" w:eastAsia="Book Antiqua" w:hAnsi="Times New Roman" w:cs="Times New Roman"/>
          <w:color w:val="000000" w:themeColor="text1"/>
          <w:sz w:val="18"/>
          <w:szCs w:val="18"/>
          <w:lang w:val="en-US"/>
        </w:rPr>
        <w:t>Gattinara</w:t>
      </w:r>
      <w:proofErr w:type="spellEnd"/>
      <w:r w:rsidR="00FB2148" w:rsidRPr="00CF5CA3">
        <w:rPr>
          <w:rFonts w:ascii="Times New Roman" w:eastAsia="Book Antiqua" w:hAnsi="Times New Roman" w:cs="Times New Roman"/>
          <w:color w:val="000000" w:themeColor="text1"/>
          <w:sz w:val="18"/>
          <w:szCs w:val="18"/>
          <w:lang w:val="en-US"/>
        </w:rPr>
        <w:t xml:space="preserve"> </w:t>
      </w:r>
      <w:r w:rsidR="00646580" w:rsidRPr="00CF5CA3">
        <w:rPr>
          <w:rFonts w:ascii="Times New Roman" w:eastAsia="Book Antiqua" w:hAnsi="Times New Roman" w:cs="Times New Roman"/>
          <w:color w:val="000000" w:themeColor="text1"/>
          <w:sz w:val="18"/>
          <w:szCs w:val="18"/>
          <w:lang w:val="en-US"/>
        </w:rPr>
        <w:t xml:space="preserve">and </w:t>
      </w:r>
      <w:r w:rsidR="00FB2148" w:rsidRPr="00CF5CA3">
        <w:rPr>
          <w:rFonts w:ascii="Times New Roman" w:eastAsia="Book Antiqua" w:hAnsi="Times New Roman" w:cs="Times New Roman"/>
          <w:color w:val="000000" w:themeColor="text1"/>
          <w:sz w:val="18"/>
          <w:szCs w:val="18"/>
          <w:lang w:val="en-US"/>
        </w:rPr>
        <w:t>Ondrusek</w:t>
      </w:r>
      <w:r w:rsidR="00646580" w:rsidRPr="00CF5CA3">
        <w:rPr>
          <w:rFonts w:ascii="Times New Roman" w:eastAsia="Book Antiqua" w:hAnsi="Times New Roman" w:cs="Times New Roman"/>
          <w:color w:val="000000" w:themeColor="text1"/>
          <w:sz w:val="18"/>
          <w:szCs w:val="18"/>
          <w:lang w:val="en-US"/>
        </w:rPr>
        <w:t xml:space="preserve"> (n 8)</w:t>
      </w:r>
      <w:r w:rsidR="00FB2148" w:rsidRPr="00CF5CA3">
        <w:rPr>
          <w:rFonts w:ascii="Times New Roman" w:eastAsia="Book Antiqua" w:hAnsi="Times New Roman" w:cs="Times New Roman"/>
          <w:color w:val="000000" w:themeColor="text1"/>
          <w:sz w:val="18"/>
          <w:szCs w:val="18"/>
          <w:lang w:val="en-US"/>
        </w:rPr>
        <w:t>;</w:t>
      </w:r>
      <w:r w:rsidR="00FB2148" w:rsidRPr="00CF5CA3">
        <w:rPr>
          <w:rFonts w:ascii="Times New Roman" w:eastAsia="Book Antiqua" w:hAnsi="Times New Roman" w:cs="Times New Roman"/>
          <w:color w:val="000000" w:themeColor="text1"/>
          <w:sz w:val="18"/>
          <w:szCs w:val="18"/>
        </w:rPr>
        <w:t xml:space="preserve"> t</w:t>
      </w:r>
      <w:r w:rsidRPr="00CF5CA3">
        <w:rPr>
          <w:rFonts w:ascii="Times New Roman" w:eastAsia="Book Antiqua" w:hAnsi="Times New Roman" w:cs="Times New Roman"/>
          <w:color w:val="000000" w:themeColor="text1"/>
          <w:sz w:val="18"/>
          <w:szCs w:val="18"/>
        </w:rPr>
        <w:t>he proposal was analysed in depth by O</w:t>
      </w:r>
      <w:r w:rsidR="00646580" w:rsidRPr="00CF5CA3">
        <w:rPr>
          <w:rFonts w:ascii="Times New Roman" w:eastAsia="Book Antiqua" w:hAnsi="Times New Roman" w:cs="Times New Roman"/>
          <w:color w:val="000000" w:themeColor="text1"/>
          <w:sz w:val="18"/>
          <w:szCs w:val="18"/>
        </w:rPr>
        <w:t>ndrej</w:t>
      </w:r>
      <w:r w:rsidRPr="00CF5CA3">
        <w:rPr>
          <w:rFonts w:ascii="Times New Roman" w:eastAsia="Book Antiqua" w:hAnsi="Times New Roman" w:cs="Times New Roman"/>
          <w:color w:val="000000" w:themeColor="text1"/>
          <w:sz w:val="18"/>
          <w:szCs w:val="18"/>
        </w:rPr>
        <w:t xml:space="preserve"> Bla</w:t>
      </w:r>
      <w:r w:rsidR="00516678" w:rsidRPr="00CF5CA3">
        <w:rPr>
          <w:rFonts w:ascii="Times New Roman" w:eastAsia="Book Antiqua" w:hAnsi="Times New Roman" w:cs="Times New Roman"/>
          <w:color w:val="000000" w:themeColor="text1"/>
          <w:sz w:val="18"/>
          <w:szCs w:val="18"/>
        </w:rPr>
        <w:t>žo</w:t>
      </w:r>
      <w:r w:rsidRPr="00CF5CA3">
        <w:rPr>
          <w:rFonts w:ascii="Times New Roman" w:eastAsia="Book Antiqua" w:hAnsi="Times New Roman" w:cs="Times New Roman"/>
          <w:color w:val="000000" w:themeColor="text1"/>
          <w:sz w:val="18"/>
          <w:szCs w:val="18"/>
        </w:rPr>
        <w:t xml:space="preserve">, ‘A New Regime on Protection of Public Procurement against Foreign Subsidies Distorting the Internal Market: Mighty Paladin or Giant on the Feet of Clay?’ </w:t>
      </w:r>
      <w:r w:rsidR="00646580" w:rsidRPr="00CF5CA3">
        <w:rPr>
          <w:rFonts w:ascii="Times New Roman" w:eastAsia="Book Antiqua" w:hAnsi="Times New Roman" w:cs="Times New Roman"/>
          <w:color w:val="000000" w:themeColor="text1"/>
          <w:sz w:val="18"/>
          <w:szCs w:val="18"/>
        </w:rPr>
        <w:t xml:space="preserve">(2021) 21 </w:t>
      </w:r>
      <w:r w:rsidRPr="00CF5CA3">
        <w:rPr>
          <w:rFonts w:ascii="Times New Roman" w:eastAsia="Book Antiqua" w:hAnsi="Times New Roman" w:cs="Times New Roman"/>
          <w:iCs/>
          <w:color w:val="000000" w:themeColor="text1"/>
          <w:sz w:val="18"/>
          <w:szCs w:val="18"/>
        </w:rPr>
        <w:t>International and Comparative Law Review</w:t>
      </w:r>
      <w:r w:rsidR="00646580" w:rsidRPr="00CF5CA3">
        <w:rPr>
          <w:rFonts w:ascii="Times New Roman" w:eastAsia="Book Antiqua" w:hAnsi="Times New Roman" w:cs="Times New Roman"/>
          <w:iCs/>
          <w:color w:val="000000" w:themeColor="text1"/>
          <w:sz w:val="18"/>
          <w:szCs w:val="18"/>
        </w:rPr>
        <w:t xml:space="preserve"> </w:t>
      </w:r>
      <w:r w:rsidRPr="00CF5CA3">
        <w:rPr>
          <w:rFonts w:ascii="Times New Roman" w:eastAsia="Book Antiqua" w:hAnsi="Times New Roman" w:cs="Times New Roman"/>
          <w:color w:val="000000" w:themeColor="text1"/>
          <w:sz w:val="18"/>
          <w:szCs w:val="18"/>
        </w:rPr>
        <w:t>138–161</w:t>
      </w:r>
      <w:r w:rsidR="00046EE4" w:rsidRPr="00CF5CA3">
        <w:rPr>
          <w:rFonts w:ascii="Times New Roman" w:eastAsia="Book Antiqua" w:hAnsi="Times New Roman" w:cs="Times New Roman"/>
          <w:color w:val="000000" w:themeColor="text1"/>
          <w:sz w:val="18"/>
          <w:szCs w:val="18"/>
        </w:rPr>
        <w:t xml:space="preserve">; </w:t>
      </w:r>
      <w:r w:rsidR="00046EE4" w:rsidRPr="00CF5CA3">
        <w:rPr>
          <w:rFonts w:ascii="Times New Roman" w:hAnsi="Times New Roman" w:cs="Times New Roman"/>
          <w:color w:val="000000" w:themeColor="text1"/>
          <w:sz w:val="18"/>
          <w:szCs w:val="18"/>
          <w:lang w:val="en-US"/>
        </w:rPr>
        <w:t xml:space="preserve">Weiß </w:t>
      </w:r>
      <w:r w:rsidR="00646580" w:rsidRPr="00CF5CA3">
        <w:rPr>
          <w:rFonts w:ascii="Times New Roman" w:hAnsi="Times New Roman" w:cs="Times New Roman"/>
          <w:color w:val="000000" w:themeColor="text1"/>
          <w:sz w:val="18"/>
          <w:szCs w:val="18"/>
          <w:lang w:val="en-US"/>
        </w:rPr>
        <w:t>and</w:t>
      </w:r>
      <w:r w:rsidR="00046EE4" w:rsidRPr="00CF5CA3">
        <w:rPr>
          <w:rFonts w:ascii="Times New Roman" w:hAnsi="Times New Roman" w:cs="Times New Roman"/>
          <w:color w:val="000000" w:themeColor="text1"/>
          <w:sz w:val="18"/>
          <w:szCs w:val="18"/>
          <w:lang w:val="en-US"/>
        </w:rPr>
        <w:t xml:space="preserve"> Furculita</w:t>
      </w:r>
      <w:r w:rsidR="00646580" w:rsidRPr="00CF5CA3">
        <w:rPr>
          <w:rFonts w:ascii="Times New Roman" w:hAnsi="Times New Roman" w:cs="Times New Roman"/>
          <w:color w:val="000000" w:themeColor="text1"/>
          <w:sz w:val="18"/>
          <w:szCs w:val="18"/>
          <w:lang w:val="en-US"/>
        </w:rPr>
        <w:t xml:space="preserve"> (n 2)</w:t>
      </w:r>
      <w:r w:rsidR="00046EE4" w:rsidRPr="00CF5CA3">
        <w:rPr>
          <w:rFonts w:ascii="Times New Roman" w:hAnsi="Times New Roman" w:cs="Times New Roman"/>
          <w:color w:val="000000" w:themeColor="text1"/>
          <w:sz w:val="18"/>
          <w:szCs w:val="18"/>
          <w:lang w:val="en-US"/>
        </w:rPr>
        <w:t xml:space="preserve"> ff</w:t>
      </w:r>
      <w:r w:rsidRPr="00CF5CA3">
        <w:rPr>
          <w:rFonts w:ascii="Times New Roman" w:eastAsia="Book Antiqua" w:hAnsi="Times New Roman" w:cs="Times New Roman"/>
          <w:color w:val="000000" w:themeColor="text1"/>
          <w:sz w:val="18"/>
          <w:szCs w:val="18"/>
        </w:rPr>
        <w:t>.</w:t>
      </w:r>
    </w:p>
  </w:footnote>
  <w:footnote w:id="19">
    <w:p w14:paraId="75E3DE3C" w14:textId="0942740D" w:rsidR="00FB2148" w:rsidRPr="00CF5CA3" w:rsidRDefault="00FB2148" w:rsidP="00FB2148">
      <w:pPr>
        <w:pStyle w:val="Testonotaapidipagina"/>
        <w:jc w:val="both"/>
        <w:rPr>
          <w:rFonts w:ascii="Times New Roman" w:hAnsi="Times New Roman" w:cs="Times New Roman"/>
          <w:color w:val="000000" w:themeColor="text1"/>
          <w:sz w:val="18"/>
          <w:szCs w:val="18"/>
          <w:lang w:val="en-US"/>
        </w:rPr>
      </w:pPr>
      <w:r w:rsidRPr="00CF5CA3">
        <w:rPr>
          <w:rStyle w:val="Rimandonotaapidipagina"/>
          <w:rFonts w:ascii="Times New Roman" w:hAnsi="Times New Roman" w:cs="Times New Roman"/>
          <w:color w:val="000000" w:themeColor="text1"/>
          <w:sz w:val="18"/>
          <w:szCs w:val="18"/>
        </w:rPr>
        <w:footnoteRef/>
      </w:r>
      <w:r w:rsidRPr="00CF5CA3">
        <w:rPr>
          <w:rFonts w:ascii="Times New Roman" w:hAnsi="Times New Roman" w:cs="Times New Roman"/>
          <w:color w:val="000000" w:themeColor="text1"/>
          <w:sz w:val="18"/>
          <w:szCs w:val="18"/>
        </w:rPr>
        <w:t xml:space="preserve"> </w:t>
      </w:r>
      <w:r w:rsidRPr="00CF5CA3">
        <w:rPr>
          <w:rFonts w:ascii="Times New Roman" w:hAnsi="Times New Roman" w:cs="Times New Roman"/>
          <w:color w:val="000000" w:themeColor="text1"/>
          <w:sz w:val="18"/>
          <w:szCs w:val="18"/>
          <w:lang w:val="en-US"/>
        </w:rPr>
        <w:t xml:space="preserve">Article 27 </w:t>
      </w:r>
      <w:proofErr w:type="gramStart"/>
      <w:r w:rsidRPr="00CF5CA3">
        <w:rPr>
          <w:rFonts w:ascii="Times New Roman" w:hAnsi="Times New Roman" w:cs="Times New Roman"/>
          <w:color w:val="000000" w:themeColor="text1"/>
          <w:sz w:val="18"/>
          <w:szCs w:val="18"/>
          <w:lang w:val="en-US"/>
        </w:rPr>
        <w:t>refers back</w:t>
      </w:r>
      <w:proofErr w:type="gramEnd"/>
      <w:r w:rsidRPr="00CF5CA3">
        <w:rPr>
          <w:rFonts w:ascii="Times New Roman" w:hAnsi="Times New Roman" w:cs="Times New Roman"/>
          <w:color w:val="000000" w:themeColor="text1"/>
          <w:sz w:val="18"/>
          <w:szCs w:val="18"/>
          <w:lang w:val="en-US"/>
        </w:rPr>
        <w:t xml:space="preserve"> to Article 4; see also </w:t>
      </w:r>
      <w:r w:rsidR="00646580" w:rsidRPr="00CF5CA3">
        <w:rPr>
          <w:rFonts w:ascii="Times New Roman" w:hAnsi="Times New Roman" w:cs="Times New Roman"/>
          <w:color w:val="000000" w:themeColor="text1"/>
          <w:sz w:val="18"/>
          <w:szCs w:val="18"/>
          <w:lang w:val="en-US"/>
        </w:rPr>
        <w:t>European Commission, ‘Commission Staff Working Document</w:t>
      </w:r>
      <w:r w:rsidRPr="00CF5CA3">
        <w:rPr>
          <w:rFonts w:ascii="Times New Roman" w:hAnsi="Times New Roman" w:cs="Times New Roman"/>
          <w:color w:val="000000" w:themeColor="text1"/>
          <w:sz w:val="18"/>
          <w:szCs w:val="18"/>
          <w:lang w:val="en-US"/>
        </w:rPr>
        <w:t xml:space="preserve"> Initial clarifications on the application of Article 4(1), Article 6 and Article 27(1) of Regulation (EU) 2022/2560 on foreign subsidies distorting the internal market</w:t>
      </w:r>
      <w:r w:rsidR="00646580" w:rsidRPr="00CF5CA3">
        <w:rPr>
          <w:rFonts w:ascii="Times New Roman" w:hAnsi="Times New Roman" w:cs="Times New Roman"/>
          <w:color w:val="000000" w:themeColor="text1"/>
          <w:sz w:val="18"/>
          <w:szCs w:val="18"/>
          <w:lang w:val="en-US"/>
        </w:rPr>
        <w:t>’</w:t>
      </w:r>
      <w:r w:rsidRPr="00CF5CA3">
        <w:rPr>
          <w:rFonts w:ascii="Times New Roman" w:hAnsi="Times New Roman" w:cs="Times New Roman"/>
          <w:color w:val="000000" w:themeColor="text1"/>
          <w:sz w:val="18"/>
          <w:szCs w:val="18"/>
          <w:lang w:val="en-US"/>
        </w:rPr>
        <w:t xml:space="preserve"> </w:t>
      </w:r>
      <w:proofErr w:type="gramStart"/>
      <w:r w:rsidRPr="00CF5CA3">
        <w:rPr>
          <w:rFonts w:ascii="Times New Roman" w:hAnsi="Times New Roman" w:cs="Times New Roman"/>
          <w:color w:val="000000" w:themeColor="text1"/>
          <w:sz w:val="18"/>
          <w:szCs w:val="18"/>
          <w:lang w:val="en-US"/>
        </w:rPr>
        <w:t>SWD(</w:t>
      </w:r>
      <w:proofErr w:type="gramEnd"/>
      <w:r w:rsidRPr="00CF5CA3">
        <w:rPr>
          <w:rFonts w:ascii="Times New Roman" w:hAnsi="Times New Roman" w:cs="Times New Roman"/>
          <w:color w:val="000000" w:themeColor="text1"/>
          <w:sz w:val="18"/>
          <w:szCs w:val="18"/>
          <w:lang w:val="en-US"/>
        </w:rPr>
        <w:t>2024) 201 final</w:t>
      </w:r>
      <w:r w:rsidR="00646580" w:rsidRPr="00CF5CA3">
        <w:rPr>
          <w:rFonts w:ascii="Times New Roman" w:hAnsi="Times New Roman" w:cs="Times New Roman"/>
          <w:color w:val="000000" w:themeColor="text1"/>
          <w:sz w:val="18"/>
          <w:szCs w:val="18"/>
          <w:lang w:val="en-US"/>
        </w:rPr>
        <w:t>.</w:t>
      </w:r>
    </w:p>
  </w:footnote>
  <w:footnote w:id="20">
    <w:p w14:paraId="67120065" w14:textId="1C44C0E0" w:rsidR="006E345B" w:rsidRPr="00CF5CA3" w:rsidRDefault="006E345B">
      <w:pPr>
        <w:pStyle w:val="Testonotaapidipagina"/>
        <w:rPr>
          <w:rFonts w:ascii="Times New Roman" w:hAnsi="Times New Roman" w:cs="Times New Roman"/>
          <w:color w:val="000000" w:themeColor="text1"/>
          <w:sz w:val="18"/>
          <w:szCs w:val="18"/>
          <w:lang w:val="en-US"/>
        </w:rPr>
      </w:pPr>
      <w:r w:rsidRPr="00CF5CA3">
        <w:rPr>
          <w:rStyle w:val="Rimandonotaapidipagina"/>
          <w:rFonts w:ascii="Times New Roman" w:hAnsi="Times New Roman" w:cs="Times New Roman"/>
          <w:color w:val="000000" w:themeColor="text1"/>
          <w:sz w:val="18"/>
          <w:szCs w:val="18"/>
        </w:rPr>
        <w:footnoteRef/>
      </w:r>
      <w:r w:rsidR="00646580" w:rsidRPr="00CF5CA3">
        <w:rPr>
          <w:rFonts w:ascii="Times New Roman" w:hAnsi="Times New Roman" w:cs="Times New Roman"/>
          <w:color w:val="000000" w:themeColor="text1"/>
          <w:sz w:val="18"/>
          <w:szCs w:val="18"/>
        </w:rPr>
        <w:t xml:space="preserve"> </w:t>
      </w:r>
      <w:r w:rsidRPr="00CF5CA3">
        <w:rPr>
          <w:rFonts w:ascii="Times New Roman" w:hAnsi="Times New Roman" w:cs="Times New Roman"/>
          <w:color w:val="000000" w:themeColor="text1"/>
          <w:sz w:val="18"/>
          <w:szCs w:val="18"/>
        </w:rPr>
        <w:t xml:space="preserve"> </w:t>
      </w:r>
      <w:proofErr w:type="spellStart"/>
      <w:r w:rsidRPr="00CF5CA3">
        <w:rPr>
          <w:rFonts w:ascii="Times New Roman" w:eastAsia="Book Antiqua" w:hAnsi="Times New Roman" w:cs="Times New Roman"/>
          <w:color w:val="000000" w:themeColor="text1"/>
          <w:sz w:val="18"/>
          <w:szCs w:val="18"/>
          <w:lang w:val="en-US"/>
        </w:rPr>
        <w:t>Gattinara</w:t>
      </w:r>
      <w:proofErr w:type="spellEnd"/>
      <w:r w:rsidRPr="00CF5CA3">
        <w:rPr>
          <w:rFonts w:ascii="Times New Roman" w:eastAsia="Book Antiqua" w:hAnsi="Times New Roman" w:cs="Times New Roman"/>
          <w:color w:val="000000" w:themeColor="text1"/>
          <w:sz w:val="18"/>
          <w:szCs w:val="18"/>
          <w:lang w:val="en-US"/>
        </w:rPr>
        <w:t xml:space="preserve"> </w:t>
      </w:r>
      <w:r w:rsidR="00646580" w:rsidRPr="00CF5CA3">
        <w:rPr>
          <w:rFonts w:ascii="Times New Roman" w:eastAsia="Book Antiqua" w:hAnsi="Times New Roman" w:cs="Times New Roman"/>
          <w:color w:val="000000" w:themeColor="text1"/>
          <w:sz w:val="18"/>
          <w:szCs w:val="18"/>
          <w:lang w:val="en-US"/>
        </w:rPr>
        <w:t xml:space="preserve">and </w:t>
      </w:r>
      <w:r w:rsidRPr="00CF5CA3">
        <w:rPr>
          <w:rFonts w:ascii="Times New Roman" w:eastAsia="Book Antiqua" w:hAnsi="Times New Roman" w:cs="Times New Roman"/>
          <w:color w:val="000000" w:themeColor="text1"/>
          <w:sz w:val="18"/>
          <w:szCs w:val="18"/>
          <w:lang w:val="en-US"/>
        </w:rPr>
        <w:t>Ondrusek</w:t>
      </w:r>
      <w:r w:rsidR="00646580" w:rsidRPr="00CF5CA3">
        <w:rPr>
          <w:rFonts w:ascii="Times New Roman" w:eastAsia="Book Antiqua" w:hAnsi="Times New Roman" w:cs="Times New Roman"/>
          <w:color w:val="000000" w:themeColor="text1"/>
          <w:sz w:val="18"/>
          <w:szCs w:val="18"/>
          <w:lang w:val="en-US"/>
        </w:rPr>
        <w:t xml:space="preserve"> (n 8)</w:t>
      </w:r>
      <w:r w:rsidRPr="00CF5CA3">
        <w:rPr>
          <w:rFonts w:ascii="Times New Roman" w:eastAsia="Book Antiqua" w:hAnsi="Times New Roman" w:cs="Times New Roman"/>
          <w:color w:val="000000" w:themeColor="text1"/>
          <w:sz w:val="18"/>
          <w:szCs w:val="18"/>
          <w:lang w:val="en-US"/>
        </w:rPr>
        <w:t xml:space="preserve"> 223 ff.</w:t>
      </w:r>
    </w:p>
  </w:footnote>
  <w:footnote w:id="21">
    <w:p w14:paraId="000000B8" w14:textId="6842EC26" w:rsidR="00706BDF" w:rsidRPr="00CF5CA3" w:rsidRDefault="001F7452" w:rsidP="00AA37E7">
      <w:pPr>
        <w:spacing w:after="0" w:line="240" w:lineRule="auto"/>
        <w:jc w:val="both"/>
        <w:rPr>
          <w:rFonts w:ascii="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For a critical appraisal of the administrative burden on economic operators - and a not too veiled fear that investigations might end targeting US firms, including in the defence sector - see P</w:t>
      </w:r>
      <w:r w:rsidR="00646580" w:rsidRPr="00CF5CA3">
        <w:rPr>
          <w:rFonts w:ascii="Times New Roman" w:eastAsia="Book Antiqua" w:hAnsi="Times New Roman" w:cs="Times New Roman"/>
          <w:color w:val="000000" w:themeColor="text1"/>
          <w:sz w:val="18"/>
          <w:szCs w:val="18"/>
        </w:rPr>
        <w:t>ascal</w:t>
      </w:r>
      <w:r w:rsidRPr="00CF5CA3">
        <w:rPr>
          <w:rFonts w:ascii="Times New Roman" w:eastAsia="Book Antiqua" w:hAnsi="Times New Roman" w:cs="Times New Roman"/>
          <w:color w:val="000000" w:themeColor="text1"/>
          <w:sz w:val="18"/>
          <w:szCs w:val="18"/>
        </w:rPr>
        <w:t xml:space="preserve"> Friton, M</w:t>
      </w:r>
      <w:r w:rsidR="00646580" w:rsidRPr="00CF5CA3">
        <w:rPr>
          <w:rFonts w:ascii="Times New Roman" w:eastAsia="Book Antiqua" w:hAnsi="Times New Roman" w:cs="Times New Roman"/>
          <w:color w:val="000000" w:themeColor="text1"/>
          <w:sz w:val="18"/>
          <w:szCs w:val="18"/>
        </w:rPr>
        <w:t>ax</w:t>
      </w:r>
      <w:r w:rsidRPr="00CF5CA3">
        <w:rPr>
          <w:rFonts w:ascii="Times New Roman" w:eastAsia="Book Antiqua" w:hAnsi="Times New Roman" w:cs="Times New Roman"/>
          <w:color w:val="000000" w:themeColor="text1"/>
          <w:sz w:val="18"/>
          <w:szCs w:val="18"/>
        </w:rPr>
        <w:t xml:space="preserve"> Klasse </w:t>
      </w:r>
      <w:r w:rsidR="00646580" w:rsidRPr="00CF5CA3">
        <w:rPr>
          <w:rFonts w:ascii="Times New Roman" w:eastAsia="Book Antiqua" w:hAnsi="Times New Roman" w:cs="Times New Roman"/>
          <w:color w:val="000000" w:themeColor="text1"/>
          <w:sz w:val="18"/>
          <w:szCs w:val="18"/>
        </w:rPr>
        <w:t>and</w:t>
      </w:r>
      <w:r w:rsidRPr="00CF5CA3">
        <w:rPr>
          <w:rFonts w:ascii="Times New Roman" w:eastAsia="Book Antiqua" w:hAnsi="Times New Roman" w:cs="Times New Roman"/>
          <w:color w:val="000000" w:themeColor="text1"/>
          <w:sz w:val="18"/>
          <w:szCs w:val="18"/>
        </w:rPr>
        <w:t xml:space="preserve"> Ch</w:t>
      </w:r>
      <w:r w:rsidR="00646580" w:rsidRPr="00CF5CA3">
        <w:rPr>
          <w:rFonts w:ascii="Times New Roman" w:eastAsia="Book Antiqua" w:hAnsi="Times New Roman" w:cs="Times New Roman"/>
          <w:color w:val="000000" w:themeColor="text1"/>
          <w:sz w:val="18"/>
          <w:szCs w:val="18"/>
        </w:rPr>
        <w:t xml:space="preserve">ristopher </w:t>
      </w:r>
      <w:r w:rsidRPr="00CF5CA3">
        <w:rPr>
          <w:rFonts w:ascii="Times New Roman" w:eastAsia="Book Antiqua" w:hAnsi="Times New Roman" w:cs="Times New Roman"/>
          <w:color w:val="000000" w:themeColor="text1"/>
          <w:sz w:val="18"/>
          <w:szCs w:val="18"/>
        </w:rPr>
        <w:t>R Yukins, ‘The EU Foreign Subsidies Regulation: Implications for Public Procurement and Some Collateral Damage</w:t>
      </w:r>
      <w:proofErr w:type="gramStart"/>
      <w:r w:rsidRPr="00CF5CA3">
        <w:rPr>
          <w:rFonts w:ascii="Times New Roman" w:eastAsia="Book Antiqua" w:hAnsi="Times New Roman" w:cs="Times New Roman"/>
          <w:color w:val="000000" w:themeColor="text1"/>
          <w:sz w:val="18"/>
          <w:szCs w:val="18"/>
        </w:rPr>
        <w:t>’</w:t>
      </w:r>
      <w:r w:rsidR="00E03765" w:rsidRPr="00CF5CA3">
        <w:rPr>
          <w:rFonts w:ascii="Times New Roman" w:eastAsia="Book Antiqua" w:hAnsi="Times New Roman" w:cs="Times New Roman"/>
          <w:color w:val="000000" w:themeColor="text1"/>
          <w:sz w:val="18"/>
          <w:szCs w:val="18"/>
        </w:rPr>
        <w:t>(</w:t>
      </w:r>
      <w:proofErr w:type="gramEnd"/>
      <w:r w:rsidR="00E03765" w:rsidRPr="00CF5CA3">
        <w:rPr>
          <w:rFonts w:ascii="Times New Roman" w:eastAsia="Book Antiqua" w:hAnsi="Times New Roman" w:cs="Times New Roman"/>
          <w:color w:val="000000" w:themeColor="text1"/>
          <w:sz w:val="18"/>
          <w:szCs w:val="18"/>
        </w:rPr>
        <w:t>2023)</w:t>
      </w:r>
      <w:r w:rsidRPr="00CF5CA3">
        <w:rPr>
          <w:rFonts w:ascii="Times New Roman" w:eastAsia="Book Antiqua" w:hAnsi="Times New Roman" w:cs="Times New Roman"/>
          <w:color w:val="000000" w:themeColor="text1"/>
          <w:sz w:val="18"/>
          <w:szCs w:val="18"/>
        </w:rPr>
        <w:t xml:space="preserve"> 65</w:t>
      </w:r>
      <w:r w:rsidR="00646580" w:rsidRPr="00CF5CA3">
        <w:rPr>
          <w:rFonts w:ascii="Times New Roman" w:eastAsia="Book Antiqua" w:hAnsi="Times New Roman" w:cs="Times New Roman"/>
          <w:color w:val="000000" w:themeColor="text1"/>
          <w:sz w:val="18"/>
          <w:szCs w:val="18"/>
        </w:rPr>
        <w:t xml:space="preserve"> </w:t>
      </w:r>
      <w:r w:rsidRPr="00CF5CA3">
        <w:rPr>
          <w:rFonts w:ascii="Times New Roman" w:eastAsia="Book Antiqua" w:hAnsi="Times New Roman" w:cs="Times New Roman"/>
          <w:iCs/>
          <w:color w:val="000000" w:themeColor="text1"/>
          <w:sz w:val="18"/>
          <w:szCs w:val="18"/>
        </w:rPr>
        <w:t>Government Contractor</w:t>
      </w:r>
      <w:r w:rsidRPr="00CF5CA3">
        <w:rPr>
          <w:rFonts w:ascii="Times New Roman" w:eastAsia="Book Antiqua" w:hAnsi="Times New Roman" w:cs="Times New Roman"/>
          <w:color w:val="000000" w:themeColor="text1"/>
          <w:sz w:val="18"/>
          <w:szCs w:val="18"/>
        </w:rPr>
        <w:t xml:space="preserve"> 63.</w:t>
      </w:r>
      <w:r w:rsidRPr="00CF5CA3">
        <w:rPr>
          <w:rFonts w:ascii="Times New Roman" w:hAnsi="Times New Roman" w:cs="Times New Roman"/>
          <w:color w:val="000000" w:themeColor="text1"/>
          <w:sz w:val="18"/>
          <w:szCs w:val="18"/>
        </w:rPr>
        <w:t xml:space="preserve"> </w:t>
      </w:r>
    </w:p>
  </w:footnote>
  <w:footnote w:id="22">
    <w:p w14:paraId="5E198A50" w14:textId="52860F04" w:rsidR="0060081B" w:rsidRPr="00CF5CA3" w:rsidRDefault="0060081B" w:rsidP="0049245E">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rPr>
        <w:t xml:space="preserve"> </w:t>
      </w:r>
      <w:r w:rsidR="0049245E" w:rsidRPr="00CF5CA3">
        <w:rPr>
          <w:rFonts w:ascii="Times New Roman" w:hAnsi="Times New Roman" w:cs="Times New Roman"/>
          <w:color w:val="000000" w:themeColor="text1"/>
          <w:sz w:val="18"/>
          <w:szCs w:val="18"/>
        </w:rPr>
        <w:t xml:space="preserve">See also </w:t>
      </w:r>
      <w:r w:rsidR="00646580" w:rsidRPr="00CF5CA3">
        <w:rPr>
          <w:rFonts w:ascii="Times New Roman" w:hAnsi="Times New Roman" w:cs="Times New Roman"/>
          <w:color w:val="000000" w:themeColor="text1"/>
          <w:sz w:val="18"/>
          <w:szCs w:val="18"/>
        </w:rPr>
        <w:t>European Commission, ‘</w:t>
      </w:r>
      <w:r w:rsidR="0049245E" w:rsidRPr="00CF5CA3">
        <w:rPr>
          <w:rFonts w:ascii="Times New Roman" w:hAnsi="Times New Roman" w:cs="Times New Roman"/>
          <w:color w:val="000000" w:themeColor="text1"/>
          <w:sz w:val="18"/>
          <w:szCs w:val="18"/>
        </w:rPr>
        <w:t>Communication pursuant to Articles 4(2), 8(1), 15, 17(2) and 25 of Implementing Regulation (EU) 2023/1441 on detailed arrangements for the conduct of proceedings by the Commission pursuant to Regulation (EU) 2022/2560</w:t>
      </w:r>
      <w:r w:rsidR="00646580" w:rsidRPr="00CF5CA3">
        <w:rPr>
          <w:rFonts w:ascii="Times New Roman" w:hAnsi="Times New Roman" w:cs="Times New Roman"/>
          <w:color w:val="000000" w:themeColor="text1"/>
          <w:sz w:val="18"/>
          <w:szCs w:val="18"/>
        </w:rPr>
        <w:t xml:space="preserve"> of the European Parliament and of the Council on foreign subsidies distorting the internal market’</w:t>
      </w:r>
      <w:r w:rsidR="0049245E" w:rsidRPr="00CF5CA3">
        <w:rPr>
          <w:rFonts w:ascii="Times New Roman" w:hAnsi="Times New Roman" w:cs="Times New Roman"/>
          <w:color w:val="000000" w:themeColor="text1"/>
          <w:sz w:val="18"/>
          <w:szCs w:val="18"/>
        </w:rPr>
        <w:t xml:space="preserve"> (2023/C 246/02). </w:t>
      </w:r>
    </w:p>
  </w:footnote>
  <w:footnote w:id="23">
    <w:p w14:paraId="248D4767" w14:textId="70BC1ED7" w:rsidR="00F66B3B" w:rsidRPr="00CF5CA3" w:rsidRDefault="00F66B3B">
      <w:pPr>
        <w:pStyle w:val="Testonotaapidipagina"/>
        <w:rPr>
          <w:rFonts w:ascii="Times New Roman" w:hAnsi="Times New Roman" w:cs="Times New Roman"/>
          <w:color w:val="000000" w:themeColor="text1"/>
          <w:sz w:val="18"/>
          <w:szCs w:val="18"/>
        </w:rPr>
      </w:pPr>
      <w:r w:rsidRPr="00CF5CA3">
        <w:rPr>
          <w:rStyle w:val="Rimandonotaapidipagina"/>
          <w:rFonts w:ascii="Times New Roman" w:hAnsi="Times New Roman" w:cs="Times New Roman"/>
          <w:color w:val="000000" w:themeColor="text1"/>
          <w:sz w:val="18"/>
          <w:szCs w:val="18"/>
        </w:rPr>
        <w:footnoteRef/>
      </w:r>
      <w:r w:rsidRPr="00CF5CA3">
        <w:rPr>
          <w:rFonts w:ascii="Times New Roman" w:hAnsi="Times New Roman" w:cs="Times New Roman"/>
          <w:color w:val="000000" w:themeColor="text1"/>
          <w:sz w:val="18"/>
          <w:szCs w:val="18"/>
        </w:rPr>
        <w:t xml:space="preserve"> See</w:t>
      </w:r>
      <w:r w:rsidRPr="00CF5CA3">
        <w:rPr>
          <w:rFonts w:ascii="Times New Roman" w:eastAsia="Book Antiqua" w:hAnsi="Times New Roman" w:cs="Times New Roman"/>
          <w:color w:val="000000" w:themeColor="text1"/>
          <w:sz w:val="18"/>
          <w:szCs w:val="18"/>
          <w:lang w:val="en-US"/>
        </w:rPr>
        <w:t xml:space="preserve"> </w:t>
      </w:r>
      <w:proofErr w:type="spellStart"/>
      <w:r w:rsidRPr="00CF5CA3">
        <w:rPr>
          <w:rFonts w:ascii="Times New Roman" w:eastAsia="Book Antiqua" w:hAnsi="Times New Roman" w:cs="Times New Roman"/>
          <w:color w:val="000000" w:themeColor="text1"/>
          <w:sz w:val="18"/>
          <w:szCs w:val="18"/>
          <w:lang w:val="en-US"/>
        </w:rPr>
        <w:t>Gattinara</w:t>
      </w:r>
      <w:proofErr w:type="spellEnd"/>
      <w:r w:rsidRPr="00CF5CA3">
        <w:rPr>
          <w:rFonts w:ascii="Times New Roman" w:eastAsia="Book Antiqua" w:hAnsi="Times New Roman" w:cs="Times New Roman"/>
          <w:color w:val="000000" w:themeColor="text1"/>
          <w:sz w:val="18"/>
          <w:szCs w:val="18"/>
          <w:lang w:val="en-US"/>
        </w:rPr>
        <w:t xml:space="preserve"> </w:t>
      </w:r>
      <w:r w:rsidR="00646580" w:rsidRPr="00CF5CA3">
        <w:rPr>
          <w:rFonts w:ascii="Times New Roman" w:eastAsia="Book Antiqua" w:hAnsi="Times New Roman" w:cs="Times New Roman"/>
          <w:color w:val="000000" w:themeColor="text1"/>
          <w:sz w:val="18"/>
          <w:szCs w:val="18"/>
          <w:lang w:val="en-US"/>
        </w:rPr>
        <w:t>and</w:t>
      </w:r>
      <w:r w:rsidRPr="00CF5CA3">
        <w:rPr>
          <w:rFonts w:ascii="Times New Roman" w:eastAsia="Book Antiqua" w:hAnsi="Times New Roman" w:cs="Times New Roman"/>
          <w:color w:val="000000" w:themeColor="text1"/>
          <w:sz w:val="18"/>
          <w:szCs w:val="18"/>
          <w:lang w:val="en-US"/>
        </w:rPr>
        <w:t xml:space="preserve"> Ondrusek</w:t>
      </w:r>
      <w:r w:rsidR="00646580" w:rsidRPr="00CF5CA3">
        <w:rPr>
          <w:rFonts w:ascii="Times New Roman" w:eastAsia="Book Antiqua" w:hAnsi="Times New Roman" w:cs="Times New Roman"/>
          <w:color w:val="000000" w:themeColor="text1"/>
          <w:sz w:val="18"/>
          <w:szCs w:val="18"/>
          <w:lang w:val="en-US"/>
        </w:rPr>
        <w:t xml:space="preserve"> (n 8) </w:t>
      </w:r>
      <w:r w:rsidRPr="00CF5CA3">
        <w:rPr>
          <w:rFonts w:ascii="Times New Roman" w:eastAsia="Book Antiqua" w:hAnsi="Times New Roman" w:cs="Times New Roman"/>
          <w:color w:val="000000" w:themeColor="text1"/>
          <w:sz w:val="18"/>
          <w:szCs w:val="18"/>
          <w:lang w:val="en-US"/>
        </w:rPr>
        <w:t>229 ff.</w:t>
      </w:r>
    </w:p>
  </w:footnote>
  <w:footnote w:id="24">
    <w:p w14:paraId="544391B3" w14:textId="70C6C09A" w:rsidR="00046EE4" w:rsidRPr="00CF5CA3" w:rsidRDefault="00046EE4">
      <w:pPr>
        <w:pStyle w:val="Testonotaapidipagina"/>
        <w:rPr>
          <w:rFonts w:ascii="Times New Roman" w:hAnsi="Times New Roman" w:cs="Times New Roman"/>
          <w:color w:val="000000" w:themeColor="text1"/>
          <w:sz w:val="18"/>
          <w:szCs w:val="18"/>
        </w:rPr>
      </w:pPr>
      <w:r w:rsidRPr="00CF5CA3">
        <w:rPr>
          <w:rStyle w:val="Rimandonotaapidipagina"/>
          <w:rFonts w:ascii="Times New Roman" w:hAnsi="Times New Roman" w:cs="Times New Roman"/>
          <w:color w:val="000000" w:themeColor="text1"/>
          <w:sz w:val="18"/>
          <w:szCs w:val="18"/>
        </w:rPr>
        <w:footnoteRef/>
      </w:r>
      <w:r w:rsidRPr="00CF5CA3">
        <w:rPr>
          <w:rFonts w:ascii="Times New Roman" w:hAnsi="Times New Roman" w:cs="Times New Roman"/>
          <w:color w:val="000000" w:themeColor="text1"/>
          <w:sz w:val="18"/>
          <w:szCs w:val="18"/>
        </w:rPr>
        <w:t xml:space="preserve"> See </w:t>
      </w:r>
      <w:r w:rsidRPr="00CF5CA3">
        <w:rPr>
          <w:rFonts w:ascii="Times New Roman" w:hAnsi="Times New Roman" w:cs="Times New Roman"/>
          <w:color w:val="000000" w:themeColor="text1"/>
          <w:sz w:val="18"/>
          <w:szCs w:val="18"/>
          <w:lang w:val="en-US"/>
        </w:rPr>
        <w:t xml:space="preserve">Weiß </w:t>
      </w:r>
      <w:r w:rsidR="00646580" w:rsidRPr="00CF5CA3">
        <w:rPr>
          <w:rFonts w:ascii="Times New Roman" w:hAnsi="Times New Roman" w:cs="Times New Roman"/>
          <w:color w:val="000000" w:themeColor="text1"/>
          <w:sz w:val="18"/>
          <w:szCs w:val="18"/>
          <w:lang w:val="en-US"/>
        </w:rPr>
        <w:t>and</w:t>
      </w:r>
      <w:r w:rsidRPr="00CF5CA3">
        <w:rPr>
          <w:rFonts w:ascii="Times New Roman" w:hAnsi="Times New Roman" w:cs="Times New Roman"/>
          <w:color w:val="000000" w:themeColor="text1"/>
          <w:sz w:val="18"/>
          <w:szCs w:val="18"/>
          <w:lang w:val="en-US"/>
        </w:rPr>
        <w:t xml:space="preserve"> Furculita</w:t>
      </w:r>
      <w:r w:rsidR="00646580" w:rsidRPr="00CF5CA3">
        <w:rPr>
          <w:rFonts w:ascii="Times New Roman" w:hAnsi="Times New Roman" w:cs="Times New Roman"/>
          <w:color w:val="000000" w:themeColor="text1"/>
          <w:sz w:val="18"/>
          <w:szCs w:val="18"/>
          <w:lang w:val="en-US"/>
        </w:rPr>
        <w:t xml:space="preserve"> (n 2) </w:t>
      </w:r>
      <w:r w:rsidR="004C6A9C" w:rsidRPr="00CF5CA3">
        <w:rPr>
          <w:rFonts w:ascii="Times New Roman" w:hAnsi="Times New Roman" w:cs="Times New Roman"/>
          <w:color w:val="000000" w:themeColor="text1"/>
          <w:sz w:val="18"/>
          <w:szCs w:val="18"/>
          <w:lang w:val="en-US"/>
        </w:rPr>
        <w:t>332 f.</w:t>
      </w:r>
    </w:p>
  </w:footnote>
  <w:footnote w:id="25">
    <w:p w14:paraId="000000B7" w14:textId="64C28BBE"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Commission Implementing Regulation (EU) 2023/1441 on detailed arrangements for the conduct of proceedings by the Commission pursuant to Regulation (EU) 2022/2560 of the European Parliament and of the Council on foreign subsidies distorting the internal market</w:t>
      </w:r>
      <w:r w:rsidR="00646580" w:rsidRPr="00CF5CA3">
        <w:rPr>
          <w:rFonts w:ascii="Times New Roman" w:eastAsia="Book Antiqua" w:hAnsi="Times New Roman" w:cs="Times New Roman"/>
          <w:color w:val="000000" w:themeColor="text1"/>
          <w:sz w:val="18"/>
          <w:szCs w:val="18"/>
        </w:rPr>
        <w:t xml:space="preserve"> [2023] OJ L 177/1</w:t>
      </w:r>
      <w:r w:rsidRPr="00CF5CA3">
        <w:rPr>
          <w:rFonts w:ascii="Times New Roman" w:eastAsia="Book Antiqua" w:hAnsi="Times New Roman" w:cs="Times New Roman"/>
          <w:color w:val="000000" w:themeColor="text1"/>
          <w:sz w:val="18"/>
          <w:szCs w:val="18"/>
        </w:rPr>
        <w:t>.</w:t>
      </w:r>
    </w:p>
  </w:footnote>
  <w:footnote w:id="26">
    <w:p w14:paraId="000000B4" w14:textId="4CD76187" w:rsidR="00706BDF" w:rsidRPr="00CF5CA3" w:rsidRDefault="001F7452" w:rsidP="00C54615">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w:t>
      </w:r>
      <w:r w:rsidR="00646580" w:rsidRPr="00CF5CA3">
        <w:rPr>
          <w:rFonts w:ascii="Times New Roman" w:eastAsia="Book Antiqua" w:hAnsi="Times New Roman" w:cs="Times New Roman"/>
          <w:color w:val="000000" w:themeColor="text1"/>
          <w:sz w:val="18"/>
          <w:szCs w:val="18"/>
        </w:rPr>
        <w:t>Commission launches consultations on guidelines under the Foreign Subsidies Regulation &lt;</w:t>
      </w:r>
      <w:hyperlink r:id="rId3" w:history="1">
        <w:r w:rsidR="00646580" w:rsidRPr="00CF5CA3">
          <w:rPr>
            <w:rStyle w:val="Collegamentoipertestuale"/>
            <w:rFonts w:ascii="Times New Roman" w:eastAsia="Book Antiqua" w:hAnsi="Times New Roman" w:cs="Times New Roman"/>
            <w:color w:val="000000" w:themeColor="text1"/>
            <w:sz w:val="18"/>
            <w:szCs w:val="18"/>
            <w:u w:val="none"/>
          </w:rPr>
          <w:t>https://ec.europa.eu/commission/presscorner/detail/en/ip_25_685</w:t>
        </w:r>
      </w:hyperlink>
      <w:r w:rsidR="00646580" w:rsidRPr="00CF5CA3">
        <w:rPr>
          <w:rFonts w:ascii="Times New Roman" w:eastAsia="Book Antiqua" w:hAnsi="Times New Roman" w:cs="Times New Roman"/>
          <w:color w:val="000000" w:themeColor="text1"/>
          <w:sz w:val="18"/>
          <w:szCs w:val="18"/>
        </w:rPr>
        <w:t>&gt; accessed July 2025.</w:t>
      </w:r>
    </w:p>
  </w:footnote>
  <w:footnote w:id="27">
    <w:p w14:paraId="592B68E9" w14:textId="236A8A8A" w:rsidR="00C54615" w:rsidRPr="00CF5CA3" w:rsidRDefault="00C54615" w:rsidP="002947AF">
      <w:pPr>
        <w:pStyle w:val="Testonotaapidipagina"/>
        <w:jc w:val="both"/>
        <w:rPr>
          <w:rFonts w:ascii="Times New Roman" w:hAnsi="Times New Roman" w:cs="Times New Roman"/>
          <w:color w:val="000000" w:themeColor="text1"/>
          <w:sz w:val="18"/>
          <w:szCs w:val="18"/>
          <w:lang w:val="en-US"/>
        </w:rPr>
      </w:pPr>
      <w:r w:rsidRPr="00CF5CA3">
        <w:rPr>
          <w:rStyle w:val="Rimandonotaapidipagina"/>
          <w:rFonts w:ascii="Times New Roman" w:hAnsi="Times New Roman" w:cs="Times New Roman"/>
          <w:color w:val="000000" w:themeColor="text1"/>
          <w:sz w:val="18"/>
          <w:szCs w:val="18"/>
        </w:rPr>
        <w:footnoteRef/>
      </w:r>
      <w:r w:rsidRPr="00CF5CA3">
        <w:rPr>
          <w:rFonts w:ascii="Times New Roman" w:hAnsi="Times New Roman" w:cs="Times New Roman"/>
          <w:color w:val="000000" w:themeColor="text1"/>
          <w:sz w:val="18"/>
          <w:szCs w:val="18"/>
        </w:rPr>
        <w:t xml:space="preserve"> </w:t>
      </w:r>
      <w:r w:rsidRPr="00CF5CA3">
        <w:rPr>
          <w:rFonts w:ascii="Times New Roman" w:hAnsi="Times New Roman" w:cs="Times New Roman"/>
          <w:color w:val="000000" w:themeColor="text1"/>
          <w:sz w:val="18"/>
          <w:szCs w:val="18"/>
          <w:lang w:val="en-US"/>
        </w:rPr>
        <w:t>Summary notice concerning the initiation of an in-depth investigation in case FSP.100147 pursuant to Articles 10(3)(d) of Regulation (EU)</w:t>
      </w:r>
      <w:r w:rsidR="00E14AB9" w:rsidRPr="00CF5CA3">
        <w:rPr>
          <w:rFonts w:ascii="Times New Roman" w:hAnsi="Times New Roman" w:cs="Times New Roman"/>
          <w:color w:val="000000" w:themeColor="text1"/>
          <w:sz w:val="18"/>
          <w:szCs w:val="18"/>
          <w:lang w:val="en-US"/>
        </w:rPr>
        <w:t xml:space="preserve"> </w:t>
      </w:r>
      <w:r w:rsidRPr="00CF5CA3">
        <w:rPr>
          <w:rFonts w:ascii="Times New Roman" w:hAnsi="Times New Roman" w:cs="Times New Roman"/>
          <w:color w:val="000000" w:themeColor="text1"/>
          <w:sz w:val="18"/>
          <w:szCs w:val="18"/>
          <w:lang w:val="en-US"/>
        </w:rPr>
        <w:t xml:space="preserve">2022/2560 (C/2024/1913) </w:t>
      </w:r>
      <w:r w:rsidR="00646580" w:rsidRPr="00CF5CA3">
        <w:rPr>
          <w:rFonts w:ascii="Times New Roman" w:hAnsi="Times New Roman" w:cs="Times New Roman"/>
          <w:color w:val="000000" w:themeColor="text1"/>
          <w:sz w:val="18"/>
          <w:szCs w:val="18"/>
          <w:lang w:val="en-US"/>
        </w:rPr>
        <w:t>&lt;</w:t>
      </w:r>
      <w:hyperlink r:id="rId4" w:history="1">
        <w:r w:rsidRPr="00CF5CA3">
          <w:rPr>
            <w:rStyle w:val="Collegamentoipertestuale"/>
            <w:rFonts w:ascii="Times New Roman" w:hAnsi="Times New Roman" w:cs="Times New Roman"/>
            <w:color w:val="000000" w:themeColor="text1"/>
            <w:sz w:val="18"/>
            <w:szCs w:val="18"/>
            <w:u w:val="none"/>
            <w:lang w:val="en-US"/>
          </w:rPr>
          <w:t>https://eur-lex.europa.eu/eli/C/2024/1913/oj/eng</w:t>
        </w:r>
      </w:hyperlink>
      <w:r w:rsidRPr="00CF5CA3">
        <w:rPr>
          <w:rFonts w:ascii="Times New Roman" w:hAnsi="Times New Roman" w:cs="Times New Roman"/>
          <w:color w:val="000000" w:themeColor="text1"/>
          <w:sz w:val="18"/>
          <w:szCs w:val="18"/>
          <w:lang w:val="en-US"/>
        </w:rPr>
        <w:t xml:space="preserve"> </w:t>
      </w:r>
      <w:r w:rsidR="00646580" w:rsidRPr="00CF5CA3">
        <w:rPr>
          <w:rFonts w:ascii="Times New Roman" w:hAnsi="Times New Roman" w:cs="Times New Roman"/>
          <w:color w:val="000000" w:themeColor="text1"/>
          <w:sz w:val="18"/>
          <w:szCs w:val="18"/>
          <w:lang w:val="en-US"/>
        </w:rPr>
        <w:t>&gt;  accessed July 2025.</w:t>
      </w:r>
    </w:p>
  </w:footnote>
  <w:footnote w:id="28">
    <w:p w14:paraId="2EBCC2A7" w14:textId="5605943C" w:rsidR="002947AF" w:rsidRPr="00CF5CA3" w:rsidRDefault="002947AF" w:rsidP="00BB72A0">
      <w:pPr>
        <w:pStyle w:val="Testonotaapidipagina"/>
        <w:jc w:val="both"/>
        <w:rPr>
          <w:rFonts w:ascii="Times New Roman" w:hAnsi="Times New Roman" w:cs="Times New Roman"/>
          <w:color w:val="000000" w:themeColor="text1"/>
          <w:sz w:val="18"/>
          <w:szCs w:val="18"/>
        </w:rPr>
      </w:pPr>
      <w:r w:rsidRPr="00CF5CA3">
        <w:rPr>
          <w:rStyle w:val="Rimandonotaapidipagina"/>
          <w:rFonts w:ascii="Times New Roman" w:hAnsi="Times New Roman" w:cs="Times New Roman"/>
          <w:color w:val="000000" w:themeColor="text1"/>
          <w:sz w:val="18"/>
          <w:szCs w:val="18"/>
        </w:rPr>
        <w:footnoteRef/>
      </w:r>
      <w:r w:rsidRPr="00CF5CA3">
        <w:rPr>
          <w:rFonts w:ascii="Times New Roman" w:hAnsi="Times New Roman" w:cs="Times New Roman"/>
          <w:color w:val="000000" w:themeColor="text1"/>
          <w:sz w:val="18"/>
          <w:szCs w:val="18"/>
        </w:rPr>
        <w:t xml:space="preserve"> Summary notices concerning the initiation of an in-depth investigation in Case FSP. 100151, pursuant to Articles 10(3)(d) of Regulation (EU) 2022/2560 (C/2024/2830) and (C/2024/2832) </w:t>
      </w:r>
      <w:r w:rsidR="00646580" w:rsidRPr="00CF5CA3">
        <w:rPr>
          <w:rFonts w:ascii="Times New Roman" w:hAnsi="Times New Roman" w:cs="Times New Roman"/>
          <w:color w:val="000000" w:themeColor="text1"/>
          <w:sz w:val="18"/>
          <w:szCs w:val="18"/>
        </w:rPr>
        <w:t>&lt;</w:t>
      </w:r>
      <w:hyperlink r:id="rId5" w:history="1">
        <w:r w:rsidRPr="00CF5CA3">
          <w:rPr>
            <w:rStyle w:val="Collegamentoipertestuale"/>
            <w:rFonts w:ascii="Times New Roman" w:hAnsi="Times New Roman" w:cs="Times New Roman"/>
            <w:color w:val="000000" w:themeColor="text1"/>
            <w:sz w:val="18"/>
            <w:szCs w:val="18"/>
            <w:u w:val="none"/>
          </w:rPr>
          <w:t>https://eur-lex.europa.eu/legal-content/EN/TXT/PDF/?uri=OJ:C_202402830</w:t>
        </w:r>
      </w:hyperlink>
      <w:r w:rsidR="00646580" w:rsidRPr="00CF5CA3">
        <w:rPr>
          <w:rStyle w:val="Collegamentoipertestuale"/>
          <w:rFonts w:ascii="Times New Roman" w:hAnsi="Times New Roman" w:cs="Times New Roman"/>
          <w:color w:val="000000" w:themeColor="text1"/>
          <w:sz w:val="18"/>
          <w:szCs w:val="18"/>
          <w:u w:val="none"/>
        </w:rPr>
        <w:t>&gt;</w:t>
      </w:r>
      <w:r w:rsidRPr="00CF5CA3">
        <w:rPr>
          <w:rFonts w:ascii="Times New Roman" w:hAnsi="Times New Roman" w:cs="Times New Roman"/>
          <w:color w:val="000000" w:themeColor="text1"/>
          <w:sz w:val="18"/>
          <w:szCs w:val="18"/>
        </w:rPr>
        <w:t xml:space="preserve"> an</w:t>
      </w:r>
      <w:r w:rsidR="00646580" w:rsidRPr="00CF5CA3">
        <w:rPr>
          <w:rFonts w:ascii="Times New Roman" w:hAnsi="Times New Roman" w:cs="Times New Roman"/>
          <w:color w:val="000000" w:themeColor="text1"/>
          <w:sz w:val="18"/>
          <w:szCs w:val="18"/>
        </w:rPr>
        <w:t>d</w:t>
      </w:r>
      <w:r w:rsidRPr="00CF5CA3">
        <w:rPr>
          <w:rFonts w:ascii="Times New Roman" w:hAnsi="Times New Roman" w:cs="Times New Roman"/>
          <w:color w:val="000000" w:themeColor="text1"/>
          <w:sz w:val="18"/>
          <w:szCs w:val="18"/>
        </w:rPr>
        <w:t xml:space="preserve"> </w:t>
      </w:r>
      <w:r w:rsidR="00646580" w:rsidRPr="00CF5CA3">
        <w:rPr>
          <w:rFonts w:ascii="Times New Roman" w:hAnsi="Times New Roman" w:cs="Times New Roman"/>
          <w:color w:val="000000" w:themeColor="text1"/>
          <w:sz w:val="18"/>
          <w:szCs w:val="18"/>
        </w:rPr>
        <w:t>&lt;</w:t>
      </w:r>
      <w:hyperlink r:id="rId6" w:history="1">
        <w:r w:rsidR="00646580" w:rsidRPr="00CF5CA3">
          <w:rPr>
            <w:rStyle w:val="Collegamentoipertestuale"/>
            <w:rFonts w:ascii="Times New Roman" w:hAnsi="Times New Roman" w:cs="Times New Roman"/>
            <w:color w:val="000000" w:themeColor="text1"/>
            <w:sz w:val="18"/>
            <w:szCs w:val="18"/>
            <w:u w:val="none"/>
          </w:rPr>
          <w:t>https://eur-lex.europa.eu/legal-content/EN/TXT/PDF/?uri=OJ:C_202402832</w:t>
        </w:r>
      </w:hyperlink>
      <w:r w:rsidR="00646580" w:rsidRPr="00CF5CA3">
        <w:rPr>
          <w:rFonts w:ascii="Times New Roman" w:hAnsi="Times New Roman" w:cs="Times New Roman"/>
          <w:color w:val="000000" w:themeColor="text1"/>
          <w:sz w:val="18"/>
          <w:szCs w:val="18"/>
        </w:rPr>
        <w:t xml:space="preserve">&gt; accessed July 2025. </w:t>
      </w:r>
    </w:p>
  </w:footnote>
  <w:footnote w:id="29">
    <w:p w14:paraId="355D67A2" w14:textId="44743193" w:rsidR="00BB72A0" w:rsidRPr="00CF5CA3" w:rsidRDefault="00BB72A0" w:rsidP="00BB72A0">
      <w:pPr>
        <w:pStyle w:val="Testonotaapidipagina"/>
        <w:jc w:val="both"/>
        <w:rPr>
          <w:rFonts w:ascii="Times New Roman" w:hAnsi="Times New Roman" w:cs="Times New Roman"/>
          <w:color w:val="000000" w:themeColor="text1"/>
          <w:sz w:val="18"/>
          <w:szCs w:val="18"/>
          <w:lang w:val="en-US"/>
        </w:rPr>
      </w:pPr>
      <w:r w:rsidRPr="00CF5CA3">
        <w:rPr>
          <w:rStyle w:val="Rimandonotaapidipagina"/>
          <w:rFonts w:ascii="Times New Roman" w:hAnsi="Times New Roman" w:cs="Times New Roman"/>
          <w:color w:val="000000" w:themeColor="text1"/>
          <w:sz w:val="18"/>
          <w:szCs w:val="18"/>
        </w:rPr>
        <w:footnoteRef/>
      </w:r>
      <w:r w:rsidRPr="00CF5CA3">
        <w:rPr>
          <w:rFonts w:ascii="Times New Roman" w:hAnsi="Times New Roman" w:cs="Times New Roman"/>
          <w:color w:val="000000" w:themeColor="text1"/>
          <w:sz w:val="18"/>
          <w:szCs w:val="18"/>
        </w:rPr>
        <w:t xml:space="preserve"> </w:t>
      </w:r>
      <w:r w:rsidRPr="00CF5CA3">
        <w:rPr>
          <w:rFonts w:ascii="Times New Roman" w:hAnsi="Times New Roman" w:cs="Times New Roman"/>
          <w:color w:val="000000" w:themeColor="text1"/>
          <w:sz w:val="18"/>
          <w:szCs w:val="18"/>
          <w:lang w:val="en-US"/>
        </w:rPr>
        <w:t xml:space="preserve">Concerning the latter case see </w:t>
      </w:r>
      <w:r w:rsidRPr="00CF5CA3">
        <w:rPr>
          <w:rFonts w:ascii="Times New Roman" w:eastAsia="Book Antiqua" w:hAnsi="Times New Roman" w:cs="Times New Roman"/>
          <w:color w:val="000000" w:themeColor="text1"/>
          <w:sz w:val="18"/>
          <w:szCs w:val="18"/>
        </w:rPr>
        <w:t xml:space="preserve">Case C‑720/24 P(R) </w:t>
      </w:r>
      <w:proofErr w:type="spellStart"/>
      <w:r w:rsidRPr="00CF5CA3">
        <w:rPr>
          <w:rFonts w:ascii="Times New Roman" w:eastAsia="Book Antiqua" w:hAnsi="Times New Roman" w:cs="Times New Roman"/>
          <w:i/>
          <w:color w:val="000000" w:themeColor="text1"/>
          <w:sz w:val="18"/>
          <w:szCs w:val="18"/>
        </w:rPr>
        <w:t>Nuctech</w:t>
      </w:r>
      <w:proofErr w:type="spellEnd"/>
      <w:r w:rsidRPr="00CF5CA3">
        <w:rPr>
          <w:rFonts w:ascii="Times New Roman" w:eastAsia="Book Antiqua" w:hAnsi="Times New Roman" w:cs="Times New Roman"/>
          <w:i/>
          <w:color w:val="000000" w:themeColor="text1"/>
          <w:sz w:val="18"/>
          <w:szCs w:val="18"/>
        </w:rPr>
        <w:t xml:space="preserve"> Warsaw Company Limited</w:t>
      </w:r>
      <w:r w:rsidRPr="00CF5CA3">
        <w:rPr>
          <w:rFonts w:ascii="Times New Roman" w:eastAsia="Book Antiqua" w:hAnsi="Times New Roman" w:cs="Times New Roman"/>
          <w:color w:val="000000" w:themeColor="text1"/>
          <w:sz w:val="18"/>
          <w:szCs w:val="18"/>
        </w:rPr>
        <w:t xml:space="preserve"> ECLI:EU:</w:t>
      </w:r>
      <w:proofErr w:type="gramStart"/>
      <w:r w:rsidRPr="00CF5CA3">
        <w:rPr>
          <w:rFonts w:ascii="Times New Roman" w:eastAsia="Book Antiqua" w:hAnsi="Times New Roman" w:cs="Times New Roman"/>
          <w:color w:val="000000" w:themeColor="text1"/>
          <w:sz w:val="18"/>
          <w:szCs w:val="18"/>
        </w:rPr>
        <w:t>C:2025:205</w:t>
      </w:r>
      <w:proofErr w:type="gramEnd"/>
      <w:r w:rsidRPr="00CF5CA3">
        <w:rPr>
          <w:rFonts w:ascii="Times New Roman" w:eastAsia="Book Antiqua" w:hAnsi="Times New Roman" w:cs="Times New Roman"/>
          <w:color w:val="000000" w:themeColor="text1"/>
          <w:sz w:val="18"/>
          <w:szCs w:val="18"/>
        </w:rPr>
        <w:t xml:space="preserve">; T‑284/24 R </w:t>
      </w:r>
      <w:proofErr w:type="spellStart"/>
      <w:r w:rsidRPr="00CF5CA3">
        <w:rPr>
          <w:rFonts w:ascii="Times New Roman" w:eastAsia="Book Antiqua" w:hAnsi="Times New Roman" w:cs="Times New Roman"/>
          <w:i/>
          <w:color w:val="000000" w:themeColor="text1"/>
          <w:sz w:val="18"/>
          <w:szCs w:val="18"/>
        </w:rPr>
        <w:t>Nuctech</w:t>
      </w:r>
      <w:proofErr w:type="spellEnd"/>
      <w:r w:rsidRPr="00CF5CA3">
        <w:rPr>
          <w:rFonts w:ascii="Times New Roman" w:eastAsia="Book Antiqua" w:hAnsi="Times New Roman" w:cs="Times New Roman"/>
          <w:i/>
          <w:color w:val="000000" w:themeColor="text1"/>
          <w:sz w:val="18"/>
          <w:szCs w:val="18"/>
        </w:rPr>
        <w:t xml:space="preserve"> Warsaw Company Limited and </w:t>
      </w:r>
      <w:proofErr w:type="spellStart"/>
      <w:r w:rsidRPr="00CF5CA3">
        <w:rPr>
          <w:rFonts w:ascii="Times New Roman" w:eastAsia="Book Antiqua" w:hAnsi="Times New Roman" w:cs="Times New Roman"/>
          <w:i/>
          <w:color w:val="000000" w:themeColor="text1"/>
          <w:sz w:val="18"/>
          <w:szCs w:val="18"/>
        </w:rPr>
        <w:t>Nuctech</w:t>
      </w:r>
      <w:proofErr w:type="spellEnd"/>
      <w:r w:rsidRPr="00CF5CA3">
        <w:rPr>
          <w:rFonts w:ascii="Times New Roman" w:eastAsia="Book Antiqua" w:hAnsi="Times New Roman" w:cs="Times New Roman"/>
          <w:i/>
          <w:color w:val="000000" w:themeColor="text1"/>
          <w:sz w:val="18"/>
          <w:szCs w:val="18"/>
        </w:rPr>
        <w:t xml:space="preserve"> Netherlands</w:t>
      </w:r>
      <w:r w:rsidRPr="00CF5CA3">
        <w:rPr>
          <w:rFonts w:ascii="Times New Roman" w:eastAsia="Book Antiqua" w:hAnsi="Times New Roman" w:cs="Times New Roman"/>
          <w:color w:val="000000" w:themeColor="text1"/>
          <w:sz w:val="18"/>
          <w:szCs w:val="18"/>
        </w:rPr>
        <w:t xml:space="preserve"> v </w:t>
      </w:r>
      <w:r w:rsidRPr="00CF5CA3">
        <w:rPr>
          <w:rFonts w:ascii="Times New Roman" w:eastAsia="Book Antiqua" w:hAnsi="Times New Roman" w:cs="Times New Roman"/>
          <w:i/>
          <w:color w:val="000000" w:themeColor="text1"/>
          <w:sz w:val="18"/>
          <w:szCs w:val="18"/>
        </w:rPr>
        <w:t>Commission</w:t>
      </w:r>
      <w:r w:rsidR="00646580" w:rsidRPr="00CF5CA3">
        <w:rPr>
          <w:rFonts w:ascii="Times New Roman" w:eastAsia="Book Antiqua" w:hAnsi="Times New Roman" w:cs="Times New Roman"/>
          <w:color w:val="000000" w:themeColor="text1"/>
          <w:sz w:val="18"/>
          <w:szCs w:val="18"/>
        </w:rPr>
        <w:t xml:space="preserve"> </w:t>
      </w:r>
      <w:proofErr w:type="gramStart"/>
      <w:r w:rsidRPr="00CF5CA3">
        <w:rPr>
          <w:rFonts w:ascii="Times New Roman" w:eastAsia="Book Antiqua" w:hAnsi="Times New Roman" w:cs="Times New Roman"/>
          <w:color w:val="000000" w:themeColor="text1"/>
          <w:sz w:val="18"/>
          <w:szCs w:val="18"/>
        </w:rPr>
        <w:t>EU:T</w:t>
      </w:r>
      <w:proofErr w:type="gramEnd"/>
      <w:r w:rsidRPr="00CF5CA3">
        <w:rPr>
          <w:rFonts w:ascii="Times New Roman" w:eastAsia="Book Antiqua" w:hAnsi="Times New Roman" w:cs="Times New Roman"/>
          <w:color w:val="000000" w:themeColor="text1"/>
          <w:sz w:val="18"/>
          <w:szCs w:val="18"/>
        </w:rPr>
        <w:t>:2024:564.</w:t>
      </w:r>
    </w:p>
  </w:footnote>
  <w:footnote w:id="30">
    <w:p w14:paraId="793E78CD" w14:textId="06150818" w:rsidR="009B30C1" w:rsidRPr="009B30C1" w:rsidRDefault="009B30C1">
      <w:pPr>
        <w:pStyle w:val="Testonotaapidipagina"/>
        <w:rPr>
          <w:rFonts w:ascii="Times New Roman" w:hAnsi="Times New Roman" w:cs="Times New Roman"/>
          <w:sz w:val="18"/>
          <w:szCs w:val="18"/>
        </w:rPr>
      </w:pPr>
      <w:r w:rsidRPr="009B30C1">
        <w:rPr>
          <w:rStyle w:val="Rimandonotaapidipagina"/>
          <w:rFonts w:ascii="Times New Roman" w:hAnsi="Times New Roman" w:cs="Times New Roman"/>
          <w:sz w:val="18"/>
          <w:szCs w:val="18"/>
        </w:rPr>
        <w:footnoteRef/>
      </w:r>
      <w:r w:rsidR="00CF5A1B">
        <w:rPr>
          <w:rFonts w:ascii="Times New Roman" w:hAnsi="Times New Roman" w:cs="Times New Roman"/>
          <w:sz w:val="18"/>
          <w:szCs w:val="18"/>
        </w:rPr>
        <w:t xml:space="preserve"> ˂</w:t>
      </w:r>
      <w:r w:rsidRPr="009B30C1">
        <w:rPr>
          <w:rFonts w:ascii="Times New Roman" w:hAnsi="Times New Roman" w:cs="Times New Roman"/>
          <w:sz w:val="18"/>
          <w:szCs w:val="18"/>
        </w:rPr>
        <w:t xml:space="preserve"> </w:t>
      </w:r>
      <w:hyperlink r:id="rId7" w:history="1">
        <w:r w:rsidRPr="009B30C1">
          <w:rPr>
            <w:rStyle w:val="Collegamentoipertestuale"/>
            <w:rFonts w:ascii="Times New Roman" w:hAnsi="Times New Roman" w:cs="Times New Roman"/>
            <w:sz w:val="18"/>
            <w:szCs w:val="18"/>
          </w:rPr>
          <w:t>https://ec.europa.eu/commission/presscorner/detail/en/ip_25_1954</w:t>
        </w:r>
      </w:hyperlink>
      <w:r w:rsidRPr="009B30C1">
        <w:rPr>
          <w:rFonts w:ascii="Times New Roman" w:hAnsi="Times New Roman" w:cs="Times New Roman"/>
          <w:sz w:val="18"/>
          <w:szCs w:val="18"/>
        </w:rPr>
        <w:t xml:space="preserve"> </w:t>
      </w:r>
      <w:r w:rsidR="00CF5A1B" w:rsidRPr="00CF5CA3">
        <w:rPr>
          <w:rFonts w:ascii="Times New Roman" w:hAnsi="Times New Roman" w:cs="Times New Roman"/>
          <w:color w:val="000000" w:themeColor="text1"/>
          <w:sz w:val="18"/>
          <w:szCs w:val="18"/>
        </w:rPr>
        <w:t xml:space="preserve">&gt; accessed </w:t>
      </w:r>
      <w:r w:rsidR="00CF5A1B">
        <w:rPr>
          <w:rFonts w:ascii="Times New Roman" w:hAnsi="Times New Roman" w:cs="Times New Roman"/>
          <w:color w:val="000000" w:themeColor="text1"/>
          <w:sz w:val="18"/>
          <w:szCs w:val="18"/>
        </w:rPr>
        <w:t>September</w:t>
      </w:r>
      <w:r w:rsidR="00CF5A1B" w:rsidRPr="00CF5CA3">
        <w:rPr>
          <w:rFonts w:ascii="Times New Roman" w:hAnsi="Times New Roman" w:cs="Times New Roman"/>
          <w:color w:val="000000" w:themeColor="text1"/>
          <w:sz w:val="18"/>
          <w:szCs w:val="18"/>
        </w:rPr>
        <w:t xml:space="preserve"> 2025</w:t>
      </w:r>
      <w:r w:rsidR="00CF5A1B">
        <w:rPr>
          <w:rFonts w:ascii="Times New Roman" w:hAnsi="Times New Roman" w:cs="Times New Roman"/>
          <w:color w:val="000000" w:themeColor="text1"/>
          <w:sz w:val="18"/>
          <w:szCs w:val="18"/>
        </w:rPr>
        <w:t>.</w:t>
      </w:r>
    </w:p>
  </w:footnote>
  <w:footnote w:id="31">
    <w:p w14:paraId="000000A4" w14:textId="08CE8891" w:rsidR="00706BDF" w:rsidRPr="00CF5CA3" w:rsidRDefault="009B30C1" w:rsidP="00AA37E7">
      <w:pPr>
        <w:spacing w:after="0" w:line="240" w:lineRule="auto"/>
        <w:jc w:val="both"/>
        <w:rPr>
          <w:rFonts w:ascii="Times New Roman" w:eastAsia="Book Antiqua" w:hAnsi="Times New Roman" w:cs="Times New Roman"/>
          <w:color w:val="000000" w:themeColor="text1"/>
          <w:sz w:val="18"/>
          <w:szCs w:val="18"/>
          <w:lang w:val="en-US"/>
        </w:rPr>
      </w:pPr>
      <w:r>
        <w:rPr>
          <w:rStyle w:val="Rimandonotaapidipagina"/>
          <w:sz w:val="20"/>
          <w:szCs w:val="20"/>
        </w:rPr>
        <w:footnoteRef/>
      </w:r>
      <w:r w:rsidR="00646580" w:rsidRPr="00CF5CA3">
        <w:rPr>
          <w:rFonts w:ascii="Times New Roman" w:eastAsia="Book Antiqua" w:hAnsi="Times New Roman" w:cs="Times New Roman"/>
          <w:color w:val="000000" w:themeColor="text1"/>
          <w:sz w:val="18"/>
          <w:szCs w:val="18"/>
          <w:lang w:val="en-US"/>
        </w:rPr>
        <w:t xml:space="preserve"> </w:t>
      </w:r>
      <w:r w:rsidR="00646580" w:rsidRPr="00CF5CA3">
        <w:rPr>
          <w:rFonts w:ascii="Times New Roman" w:eastAsia="Book Antiqua" w:hAnsi="Times New Roman" w:cs="Times New Roman"/>
          <w:color w:val="000000" w:themeColor="text1"/>
          <w:sz w:val="18"/>
          <w:szCs w:val="18"/>
        </w:rPr>
        <w:t>European Commission, Communication from the Commission to</w:t>
      </w:r>
      <w:r w:rsidR="00E03765" w:rsidRPr="00CF5CA3">
        <w:rPr>
          <w:rFonts w:ascii="Times New Roman" w:eastAsia="Book Antiqua" w:hAnsi="Times New Roman" w:cs="Times New Roman"/>
          <w:color w:val="000000" w:themeColor="text1"/>
          <w:sz w:val="18"/>
          <w:szCs w:val="18"/>
        </w:rPr>
        <w:t xml:space="preserve"> t</w:t>
      </w:r>
      <w:r w:rsidR="00646580" w:rsidRPr="00CF5CA3">
        <w:rPr>
          <w:rFonts w:ascii="Times New Roman" w:eastAsia="Book Antiqua" w:hAnsi="Times New Roman" w:cs="Times New Roman"/>
          <w:color w:val="000000" w:themeColor="text1"/>
          <w:sz w:val="18"/>
          <w:szCs w:val="18"/>
        </w:rPr>
        <w:t xml:space="preserve">he European Parliament, the European Council, the Council, </w:t>
      </w:r>
      <w:r w:rsidR="00E03765" w:rsidRPr="00CF5CA3">
        <w:rPr>
          <w:rFonts w:ascii="Times New Roman" w:eastAsia="Book Antiqua" w:hAnsi="Times New Roman" w:cs="Times New Roman"/>
          <w:color w:val="000000" w:themeColor="text1"/>
          <w:sz w:val="18"/>
          <w:szCs w:val="18"/>
        </w:rPr>
        <w:t>t</w:t>
      </w:r>
      <w:r w:rsidR="00646580" w:rsidRPr="00CF5CA3">
        <w:rPr>
          <w:rFonts w:ascii="Times New Roman" w:eastAsia="Book Antiqua" w:hAnsi="Times New Roman" w:cs="Times New Roman"/>
          <w:color w:val="000000" w:themeColor="text1"/>
          <w:sz w:val="18"/>
          <w:szCs w:val="18"/>
        </w:rPr>
        <w:t>he European Economic and Social Committee and the Committee of</w:t>
      </w:r>
      <w:r w:rsidR="00E03765" w:rsidRPr="00CF5CA3">
        <w:rPr>
          <w:rFonts w:ascii="Times New Roman" w:eastAsia="Book Antiqua" w:hAnsi="Times New Roman" w:cs="Times New Roman"/>
          <w:color w:val="000000" w:themeColor="text1"/>
          <w:sz w:val="18"/>
          <w:szCs w:val="18"/>
        </w:rPr>
        <w:t xml:space="preserve"> t</w:t>
      </w:r>
      <w:r w:rsidR="00646580" w:rsidRPr="00CF5CA3">
        <w:rPr>
          <w:rFonts w:ascii="Times New Roman" w:eastAsia="Book Antiqua" w:hAnsi="Times New Roman" w:cs="Times New Roman"/>
          <w:color w:val="000000" w:themeColor="text1"/>
          <w:sz w:val="18"/>
          <w:szCs w:val="18"/>
        </w:rPr>
        <w:t xml:space="preserve">he Regions Green Deal Industrial Plan for the Net-Zero </w:t>
      </w:r>
      <w:proofErr w:type="gramStart"/>
      <w:r w:rsidR="00646580" w:rsidRPr="00CF5CA3">
        <w:rPr>
          <w:rFonts w:ascii="Times New Roman" w:eastAsia="Book Antiqua" w:hAnsi="Times New Roman" w:cs="Times New Roman"/>
          <w:color w:val="000000" w:themeColor="text1"/>
          <w:sz w:val="18"/>
          <w:szCs w:val="18"/>
        </w:rPr>
        <w:t>Age‘</w:t>
      </w:r>
      <w:r w:rsidR="001F7452" w:rsidRPr="00CF5CA3">
        <w:rPr>
          <w:rFonts w:ascii="Times New Roman" w:eastAsia="Book Antiqua" w:hAnsi="Times New Roman" w:cs="Times New Roman"/>
          <w:color w:val="000000" w:themeColor="text1"/>
          <w:sz w:val="18"/>
          <w:szCs w:val="18"/>
        </w:rPr>
        <w:t xml:space="preserve"> </w:t>
      </w:r>
      <w:r w:rsidR="001F7452" w:rsidRPr="00CF5CA3">
        <w:rPr>
          <w:rFonts w:ascii="Times New Roman" w:eastAsia="Book Antiqua" w:hAnsi="Times New Roman" w:cs="Times New Roman"/>
          <w:color w:val="000000" w:themeColor="text1"/>
          <w:sz w:val="18"/>
          <w:szCs w:val="18"/>
          <w:highlight w:val="white"/>
        </w:rPr>
        <w:t>COM</w:t>
      </w:r>
      <w:proofErr w:type="gramEnd"/>
      <w:r w:rsidR="001F7452" w:rsidRPr="00CF5CA3">
        <w:rPr>
          <w:rFonts w:ascii="Times New Roman" w:eastAsia="Book Antiqua" w:hAnsi="Times New Roman" w:cs="Times New Roman"/>
          <w:color w:val="000000" w:themeColor="text1"/>
          <w:sz w:val="18"/>
          <w:szCs w:val="18"/>
          <w:highlight w:val="white"/>
        </w:rPr>
        <w:t>(2023) 62 final.</w:t>
      </w:r>
    </w:p>
  </w:footnote>
  <w:footnote w:id="32">
    <w:p w14:paraId="000000A5" w14:textId="1D8C6698"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lang w:val="de-DE"/>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lang w:val="de-DE"/>
        </w:rPr>
        <w:t xml:space="preserve"> M</w:t>
      </w:r>
      <w:r w:rsidR="00646580" w:rsidRPr="00CF5CA3">
        <w:rPr>
          <w:rFonts w:ascii="Times New Roman" w:eastAsia="Book Antiqua" w:hAnsi="Times New Roman" w:cs="Times New Roman"/>
          <w:color w:val="000000" w:themeColor="text1"/>
          <w:sz w:val="18"/>
          <w:szCs w:val="18"/>
          <w:lang w:val="de-DE"/>
        </w:rPr>
        <w:t xml:space="preserve">ichael </w:t>
      </w:r>
      <w:r w:rsidRPr="00CF5CA3">
        <w:rPr>
          <w:rFonts w:ascii="Times New Roman" w:eastAsia="Book Antiqua" w:hAnsi="Times New Roman" w:cs="Times New Roman"/>
          <w:color w:val="000000" w:themeColor="text1"/>
          <w:sz w:val="18"/>
          <w:szCs w:val="18"/>
          <w:lang w:val="de-DE"/>
        </w:rPr>
        <w:t xml:space="preserve">Fruhmann </w:t>
      </w:r>
      <w:r w:rsidR="00646580" w:rsidRPr="00CF5CA3">
        <w:rPr>
          <w:rFonts w:ascii="Times New Roman" w:eastAsia="Book Antiqua" w:hAnsi="Times New Roman" w:cs="Times New Roman"/>
          <w:color w:val="000000" w:themeColor="text1"/>
          <w:sz w:val="18"/>
          <w:szCs w:val="18"/>
          <w:lang w:val="de-DE"/>
        </w:rPr>
        <w:t>and</w:t>
      </w:r>
      <w:r w:rsidRPr="00CF5CA3">
        <w:rPr>
          <w:rFonts w:ascii="Times New Roman" w:eastAsia="Book Antiqua" w:hAnsi="Times New Roman" w:cs="Times New Roman"/>
          <w:color w:val="000000" w:themeColor="text1"/>
          <w:sz w:val="18"/>
          <w:szCs w:val="18"/>
          <w:lang w:val="de-DE"/>
        </w:rPr>
        <w:t xml:space="preserve"> J</w:t>
      </w:r>
      <w:r w:rsidR="00646580" w:rsidRPr="00CF5CA3">
        <w:rPr>
          <w:rFonts w:ascii="Times New Roman" w:eastAsia="Book Antiqua" w:hAnsi="Times New Roman" w:cs="Times New Roman"/>
          <w:color w:val="000000" w:themeColor="text1"/>
          <w:sz w:val="18"/>
          <w:szCs w:val="18"/>
          <w:lang w:val="de-DE"/>
        </w:rPr>
        <w:t>ulia</w:t>
      </w:r>
      <w:r w:rsidRPr="00CF5CA3">
        <w:rPr>
          <w:rFonts w:ascii="Times New Roman" w:eastAsia="Book Antiqua" w:hAnsi="Times New Roman" w:cs="Times New Roman"/>
          <w:color w:val="000000" w:themeColor="text1"/>
          <w:sz w:val="18"/>
          <w:szCs w:val="18"/>
          <w:lang w:val="de-DE"/>
        </w:rPr>
        <w:t xml:space="preserve"> Meszaros, ‘Der neue Net-Zero Industry Act (NZIA)’ </w:t>
      </w:r>
      <w:r w:rsidR="00646580" w:rsidRPr="00CF5CA3">
        <w:rPr>
          <w:rFonts w:ascii="Times New Roman" w:eastAsia="Book Antiqua" w:hAnsi="Times New Roman" w:cs="Times New Roman"/>
          <w:color w:val="000000" w:themeColor="text1"/>
          <w:sz w:val="18"/>
          <w:szCs w:val="18"/>
          <w:lang w:val="de-DE"/>
        </w:rPr>
        <w:t xml:space="preserve">(2024) 7 </w:t>
      </w:r>
      <w:r w:rsidRPr="00CF5CA3">
        <w:rPr>
          <w:rFonts w:ascii="Times New Roman" w:eastAsia="Book Antiqua" w:hAnsi="Times New Roman" w:cs="Times New Roman"/>
          <w:i/>
          <w:color w:val="000000" w:themeColor="text1"/>
          <w:sz w:val="18"/>
          <w:szCs w:val="18"/>
          <w:lang w:val="de-DE"/>
        </w:rPr>
        <w:t xml:space="preserve">ZVB </w:t>
      </w:r>
      <w:r w:rsidR="009B56B6" w:rsidRPr="00CF5CA3">
        <w:rPr>
          <w:rFonts w:ascii="Times New Roman" w:eastAsia="Book Antiqua" w:hAnsi="Times New Roman" w:cs="Times New Roman"/>
          <w:i/>
          <w:color w:val="000000" w:themeColor="text1"/>
          <w:sz w:val="18"/>
          <w:szCs w:val="18"/>
          <w:lang w:val="de-DE"/>
        </w:rPr>
        <w:t>–</w:t>
      </w:r>
      <w:r w:rsidRPr="00CF5CA3">
        <w:rPr>
          <w:rFonts w:ascii="Times New Roman" w:eastAsia="Book Antiqua" w:hAnsi="Times New Roman" w:cs="Times New Roman"/>
          <w:i/>
          <w:color w:val="000000" w:themeColor="text1"/>
          <w:sz w:val="18"/>
          <w:szCs w:val="18"/>
          <w:lang w:val="de-DE"/>
        </w:rPr>
        <w:t xml:space="preserve"> Zeitschrif</w:t>
      </w:r>
      <w:r w:rsidR="009B56B6" w:rsidRPr="00CF5CA3">
        <w:rPr>
          <w:rFonts w:ascii="Times New Roman" w:eastAsia="Book Antiqua" w:hAnsi="Times New Roman" w:cs="Times New Roman"/>
          <w:i/>
          <w:color w:val="000000" w:themeColor="text1"/>
          <w:sz w:val="18"/>
          <w:szCs w:val="18"/>
          <w:lang w:val="de-DE"/>
        </w:rPr>
        <w:t xml:space="preserve">t für </w:t>
      </w:r>
      <w:r w:rsidRPr="00CF5CA3">
        <w:rPr>
          <w:rFonts w:ascii="Times New Roman" w:eastAsia="Book Antiqua" w:hAnsi="Times New Roman" w:cs="Times New Roman"/>
          <w:i/>
          <w:color w:val="000000" w:themeColor="text1"/>
          <w:sz w:val="18"/>
          <w:szCs w:val="18"/>
          <w:lang w:val="de-DE"/>
        </w:rPr>
        <w:t>Vergaberecht und Bauvertragsrecht</w:t>
      </w:r>
      <w:r w:rsidRPr="00CF5CA3">
        <w:rPr>
          <w:rFonts w:ascii="Times New Roman" w:eastAsia="Book Antiqua" w:hAnsi="Times New Roman" w:cs="Times New Roman"/>
          <w:color w:val="000000" w:themeColor="text1"/>
          <w:sz w:val="18"/>
          <w:szCs w:val="18"/>
          <w:lang w:val="de-DE"/>
        </w:rPr>
        <w:t xml:space="preserve"> 296</w:t>
      </w:r>
      <w:r w:rsidR="00646580" w:rsidRPr="00CF5CA3">
        <w:rPr>
          <w:rFonts w:ascii="Times New Roman" w:eastAsia="Book Antiqua" w:hAnsi="Times New Roman" w:cs="Times New Roman"/>
          <w:color w:val="000000" w:themeColor="text1"/>
          <w:sz w:val="18"/>
          <w:szCs w:val="18"/>
          <w:lang w:val="de-DE"/>
        </w:rPr>
        <w:t xml:space="preserve">, </w:t>
      </w:r>
      <w:r w:rsidRPr="00CF5CA3">
        <w:rPr>
          <w:rFonts w:ascii="Times New Roman" w:eastAsia="Book Antiqua" w:hAnsi="Times New Roman" w:cs="Times New Roman"/>
          <w:color w:val="000000" w:themeColor="text1"/>
          <w:sz w:val="18"/>
          <w:szCs w:val="18"/>
          <w:lang w:val="de-DE"/>
        </w:rPr>
        <w:t>296.</w:t>
      </w:r>
    </w:p>
  </w:footnote>
  <w:footnote w:id="33">
    <w:p w14:paraId="0000005E" w14:textId="77777777"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lang w:val="en-US"/>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lang w:val="en-US"/>
        </w:rPr>
        <w:t xml:space="preserve"> Recital 16.</w:t>
      </w:r>
    </w:p>
  </w:footnote>
  <w:footnote w:id="34">
    <w:p w14:paraId="000000A6" w14:textId="27621062" w:rsidR="00706BDF" w:rsidRPr="00CF5CA3" w:rsidRDefault="001F7452" w:rsidP="00AA37E7">
      <w:pPr>
        <w:spacing w:after="0" w:line="240" w:lineRule="auto"/>
        <w:jc w:val="both"/>
        <w:rPr>
          <w:rFonts w:ascii="Times New Roman" w:hAnsi="Times New Roman" w:cs="Times New Roman"/>
          <w:color w:val="000000" w:themeColor="text1"/>
          <w:sz w:val="18"/>
          <w:szCs w:val="18"/>
          <w:lang w:val="en-US"/>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lang w:val="en-US"/>
        </w:rPr>
        <w:t xml:space="preserve"> </w:t>
      </w:r>
      <w:r w:rsidRPr="00CF5CA3">
        <w:rPr>
          <w:rFonts w:ascii="Times New Roman" w:eastAsia="Book Antiqua" w:hAnsi="Times New Roman" w:cs="Times New Roman"/>
          <w:color w:val="000000" w:themeColor="text1"/>
          <w:sz w:val="18"/>
          <w:szCs w:val="18"/>
          <w:lang w:val="en-US"/>
        </w:rPr>
        <w:t xml:space="preserve">Fruhmann </w:t>
      </w:r>
      <w:r w:rsidR="00646580" w:rsidRPr="00CF5CA3">
        <w:rPr>
          <w:rFonts w:ascii="Times New Roman" w:eastAsia="Book Antiqua" w:hAnsi="Times New Roman" w:cs="Times New Roman"/>
          <w:color w:val="000000" w:themeColor="text1"/>
          <w:sz w:val="18"/>
          <w:szCs w:val="18"/>
          <w:lang w:val="en-US"/>
        </w:rPr>
        <w:t>and</w:t>
      </w:r>
      <w:r w:rsidRPr="00CF5CA3">
        <w:rPr>
          <w:rFonts w:ascii="Times New Roman" w:eastAsia="Book Antiqua" w:hAnsi="Times New Roman" w:cs="Times New Roman"/>
          <w:color w:val="000000" w:themeColor="text1"/>
          <w:sz w:val="18"/>
          <w:szCs w:val="18"/>
          <w:lang w:val="en-US"/>
        </w:rPr>
        <w:t xml:space="preserve"> Meszaros</w:t>
      </w:r>
      <w:r w:rsidR="00646580" w:rsidRPr="00CF5CA3">
        <w:rPr>
          <w:rFonts w:ascii="Times New Roman" w:eastAsia="Book Antiqua" w:hAnsi="Times New Roman" w:cs="Times New Roman"/>
          <w:color w:val="000000" w:themeColor="text1"/>
          <w:sz w:val="18"/>
          <w:szCs w:val="18"/>
          <w:lang w:val="en-US"/>
        </w:rPr>
        <w:t xml:space="preserve"> (n 31) </w:t>
      </w:r>
      <w:r w:rsidRPr="00CF5CA3">
        <w:rPr>
          <w:rFonts w:ascii="Times New Roman" w:eastAsia="Book Antiqua" w:hAnsi="Times New Roman" w:cs="Times New Roman"/>
          <w:color w:val="000000" w:themeColor="text1"/>
          <w:sz w:val="18"/>
          <w:szCs w:val="18"/>
          <w:lang w:val="en-US"/>
        </w:rPr>
        <w:t>298 ff.</w:t>
      </w:r>
    </w:p>
  </w:footnote>
  <w:footnote w:id="35">
    <w:p w14:paraId="0000005F" w14:textId="77777777"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rPr>
        <w:t xml:space="preserve"> </w:t>
      </w:r>
      <w:r w:rsidRPr="00CF5CA3">
        <w:rPr>
          <w:rFonts w:ascii="Times New Roman" w:eastAsia="Times New Roman" w:hAnsi="Times New Roman" w:cs="Times New Roman"/>
          <w:color w:val="000000" w:themeColor="text1"/>
          <w:sz w:val="18"/>
          <w:szCs w:val="18"/>
        </w:rPr>
        <w:t>See also Recital 57.</w:t>
      </w:r>
    </w:p>
  </w:footnote>
  <w:footnote w:id="36">
    <w:p w14:paraId="00000061" w14:textId="77777777"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As Recital 58 indicates, this is “in order to ensure that the mechanism is complied with”.</w:t>
      </w:r>
    </w:p>
  </w:footnote>
  <w:footnote w:id="37">
    <w:p w14:paraId="00000060" w14:textId="77777777"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rPr>
        <w:t xml:space="preserve"> </w:t>
      </w:r>
      <w:r w:rsidRPr="00CF5CA3">
        <w:rPr>
          <w:rFonts w:ascii="Times New Roman" w:eastAsia="Times New Roman" w:hAnsi="Times New Roman" w:cs="Times New Roman"/>
          <w:color w:val="000000" w:themeColor="text1"/>
          <w:sz w:val="18"/>
          <w:szCs w:val="18"/>
        </w:rPr>
        <w:t>See also Recital 57.</w:t>
      </w:r>
    </w:p>
  </w:footnote>
  <w:footnote w:id="38">
    <w:p w14:paraId="000000A7" w14:textId="01CEEBDA" w:rsidR="00706BDF" w:rsidRPr="00CF5CA3" w:rsidRDefault="001F7452" w:rsidP="00AA37E7">
      <w:pPr>
        <w:spacing w:after="0" w:line="240" w:lineRule="auto"/>
        <w:jc w:val="both"/>
        <w:rPr>
          <w:rFonts w:ascii="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See further Fruhmann </w:t>
      </w:r>
      <w:r w:rsidR="00646580" w:rsidRPr="00CF5CA3">
        <w:rPr>
          <w:rFonts w:ascii="Times New Roman" w:eastAsia="Book Antiqua" w:hAnsi="Times New Roman" w:cs="Times New Roman"/>
          <w:color w:val="000000" w:themeColor="text1"/>
          <w:sz w:val="18"/>
          <w:szCs w:val="18"/>
        </w:rPr>
        <w:t xml:space="preserve">and </w:t>
      </w:r>
      <w:r w:rsidRPr="00CF5CA3">
        <w:rPr>
          <w:rFonts w:ascii="Times New Roman" w:eastAsia="Book Antiqua" w:hAnsi="Times New Roman" w:cs="Times New Roman"/>
          <w:color w:val="000000" w:themeColor="text1"/>
          <w:sz w:val="18"/>
          <w:szCs w:val="18"/>
        </w:rPr>
        <w:t>Meszaros</w:t>
      </w:r>
      <w:r w:rsidR="00646580" w:rsidRPr="00CF5CA3">
        <w:rPr>
          <w:rFonts w:ascii="Times New Roman" w:eastAsia="Book Antiqua" w:hAnsi="Times New Roman" w:cs="Times New Roman"/>
          <w:color w:val="000000" w:themeColor="text1"/>
          <w:sz w:val="18"/>
          <w:szCs w:val="18"/>
        </w:rPr>
        <w:t xml:space="preserve"> (n 31)</w:t>
      </w:r>
      <w:r w:rsidRPr="00CF5CA3">
        <w:rPr>
          <w:rFonts w:ascii="Times New Roman" w:eastAsia="Book Antiqua" w:hAnsi="Times New Roman" w:cs="Times New Roman"/>
          <w:color w:val="000000" w:themeColor="text1"/>
          <w:sz w:val="18"/>
          <w:szCs w:val="18"/>
        </w:rPr>
        <w:t xml:space="preserve"> 304.</w:t>
      </w:r>
    </w:p>
  </w:footnote>
  <w:footnote w:id="39">
    <w:p w14:paraId="049F08DE" w14:textId="290C2EC0" w:rsidR="00145761" w:rsidRPr="00CF5CA3" w:rsidRDefault="00145761">
      <w:pPr>
        <w:pStyle w:val="Testonotaapidipagina"/>
        <w:rPr>
          <w:rFonts w:ascii="Times New Roman" w:hAnsi="Times New Roman" w:cs="Times New Roman"/>
          <w:b/>
          <w:bCs/>
          <w:color w:val="000000" w:themeColor="text1"/>
          <w:sz w:val="18"/>
          <w:szCs w:val="18"/>
          <w:lang w:val="en-US"/>
        </w:rPr>
      </w:pPr>
      <w:r w:rsidRPr="00CF5CA3">
        <w:rPr>
          <w:rStyle w:val="Rimandonotaapidipagina"/>
          <w:rFonts w:ascii="Times New Roman" w:hAnsi="Times New Roman" w:cs="Times New Roman"/>
          <w:color w:val="000000" w:themeColor="text1"/>
          <w:sz w:val="18"/>
          <w:szCs w:val="18"/>
        </w:rPr>
        <w:footnoteRef/>
      </w:r>
      <w:r w:rsidRPr="00CF5CA3">
        <w:rPr>
          <w:rFonts w:ascii="Times New Roman" w:hAnsi="Times New Roman" w:cs="Times New Roman"/>
          <w:color w:val="000000" w:themeColor="text1"/>
          <w:sz w:val="18"/>
          <w:szCs w:val="18"/>
        </w:rPr>
        <w:t xml:space="preserve"> </w:t>
      </w:r>
      <w:r w:rsidRPr="00CF5CA3">
        <w:rPr>
          <w:rFonts w:ascii="Times New Roman" w:hAnsi="Times New Roman" w:cs="Times New Roman"/>
          <w:color w:val="000000" w:themeColor="text1"/>
          <w:sz w:val="18"/>
          <w:szCs w:val="18"/>
          <w:lang w:val="en-US"/>
        </w:rPr>
        <w:t xml:space="preserve">See Weiß </w:t>
      </w:r>
      <w:r w:rsidR="00646580" w:rsidRPr="00CF5CA3">
        <w:rPr>
          <w:rFonts w:ascii="Times New Roman" w:hAnsi="Times New Roman" w:cs="Times New Roman"/>
          <w:color w:val="000000" w:themeColor="text1"/>
          <w:sz w:val="18"/>
          <w:szCs w:val="18"/>
          <w:lang w:val="en-US"/>
        </w:rPr>
        <w:t>and</w:t>
      </w:r>
      <w:r w:rsidRPr="00CF5CA3">
        <w:rPr>
          <w:rFonts w:ascii="Times New Roman" w:hAnsi="Times New Roman" w:cs="Times New Roman"/>
          <w:color w:val="000000" w:themeColor="text1"/>
          <w:sz w:val="18"/>
          <w:szCs w:val="18"/>
          <w:lang w:val="en-US"/>
        </w:rPr>
        <w:t xml:space="preserve"> Furculita</w:t>
      </w:r>
      <w:r w:rsidR="00646580" w:rsidRPr="00CF5CA3">
        <w:rPr>
          <w:rFonts w:ascii="Times New Roman" w:hAnsi="Times New Roman" w:cs="Times New Roman"/>
          <w:color w:val="000000" w:themeColor="text1"/>
          <w:sz w:val="18"/>
          <w:szCs w:val="18"/>
          <w:lang w:val="en-US"/>
        </w:rPr>
        <w:t xml:space="preserve"> (n 2) </w:t>
      </w:r>
      <w:r w:rsidRPr="00CF5CA3">
        <w:rPr>
          <w:rFonts w:ascii="Times New Roman" w:hAnsi="Times New Roman" w:cs="Times New Roman"/>
          <w:color w:val="000000" w:themeColor="text1"/>
          <w:sz w:val="18"/>
          <w:szCs w:val="18"/>
          <w:lang w:val="en-US"/>
        </w:rPr>
        <w:t>287 ff.</w:t>
      </w:r>
    </w:p>
  </w:footnote>
  <w:footnote w:id="40">
    <w:p w14:paraId="00000074" w14:textId="0FE80549"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w:t>
      </w:r>
      <w:r w:rsidR="00646580" w:rsidRPr="00CF5CA3">
        <w:rPr>
          <w:rFonts w:ascii="Times New Roman" w:eastAsia="Book Antiqua" w:hAnsi="Times New Roman" w:cs="Times New Roman"/>
          <w:color w:val="000000" w:themeColor="text1"/>
          <w:sz w:val="18"/>
          <w:szCs w:val="18"/>
        </w:rPr>
        <w:t xml:space="preserve">European Commission, ‘Proposal for a Regulation of the European Parliament and of the Council on the access of third-country goods and services to the Union’s internal market in public procurement and procedures supporting negotiations on access of Union goods and services to the public procurement markets of third countries’ </w:t>
      </w:r>
      <w:proofErr w:type="gramStart"/>
      <w:r w:rsidRPr="00CF5CA3">
        <w:rPr>
          <w:rFonts w:ascii="Times New Roman" w:eastAsia="Book Antiqua" w:hAnsi="Times New Roman" w:cs="Times New Roman"/>
          <w:color w:val="000000" w:themeColor="text1"/>
          <w:sz w:val="18"/>
          <w:szCs w:val="18"/>
        </w:rPr>
        <w:t>COM(</w:t>
      </w:r>
      <w:proofErr w:type="gramEnd"/>
      <w:r w:rsidRPr="00CF5CA3">
        <w:rPr>
          <w:rFonts w:ascii="Times New Roman" w:eastAsia="Book Antiqua" w:hAnsi="Times New Roman" w:cs="Times New Roman"/>
          <w:color w:val="000000" w:themeColor="text1"/>
          <w:sz w:val="18"/>
          <w:szCs w:val="18"/>
        </w:rPr>
        <w:t>2012) 124 final.</w:t>
      </w:r>
    </w:p>
  </w:footnote>
  <w:footnote w:id="41">
    <w:p w14:paraId="00000073" w14:textId="173BDFF5"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w:t>
      </w:r>
      <w:r w:rsidR="00646580" w:rsidRPr="00CF5CA3">
        <w:rPr>
          <w:rFonts w:ascii="Times New Roman" w:eastAsia="Book Antiqua" w:hAnsi="Times New Roman" w:cs="Times New Roman"/>
          <w:color w:val="000000" w:themeColor="text1"/>
          <w:sz w:val="18"/>
          <w:szCs w:val="18"/>
        </w:rPr>
        <w:t xml:space="preserve">European Commission, ‘Amended proposal for a Regulation of the European Parliament and of the Council on the access of third-country goods and services to the Union’s internal market in public procurement and procedures supporting negotiations on access of Union goods and services to the public procurement markets of third countries’ </w:t>
      </w:r>
      <w:proofErr w:type="gramStart"/>
      <w:r w:rsidRPr="00CF5CA3">
        <w:rPr>
          <w:rFonts w:ascii="Times New Roman" w:eastAsia="Book Antiqua" w:hAnsi="Times New Roman" w:cs="Times New Roman"/>
          <w:color w:val="000000" w:themeColor="text1"/>
          <w:sz w:val="18"/>
          <w:szCs w:val="18"/>
        </w:rPr>
        <w:t>COM(</w:t>
      </w:r>
      <w:proofErr w:type="gramEnd"/>
      <w:r w:rsidRPr="00CF5CA3">
        <w:rPr>
          <w:rFonts w:ascii="Times New Roman" w:eastAsia="Book Antiqua" w:hAnsi="Times New Roman" w:cs="Times New Roman"/>
          <w:color w:val="000000" w:themeColor="text1"/>
          <w:sz w:val="18"/>
          <w:szCs w:val="18"/>
        </w:rPr>
        <w:t>2016) 34 final.</w:t>
      </w:r>
    </w:p>
  </w:footnote>
  <w:footnote w:id="42">
    <w:p w14:paraId="00000075" w14:textId="635CAF0C"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w:t>
      </w:r>
      <w:r w:rsidR="00646580" w:rsidRPr="00CF5CA3">
        <w:rPr>
          <w:rFonts w:ascii="Times New Roman" w:eastAsia="Times New Roman" w:hAnsi="Times New Roman" w:cs="Times New Roman"/>
          <w:color w:val="000000" w:themeColor="text1"/>
          <w:sz w:val="18"/>
          <w:szCs w:val="18"/>
        </w:rPr>
        <w:t>European Council, ‘</w:t>
      </w:r>
      <w:r w:rsidRPr="00CF5CA3">
        <w:rPr>
          <w:rFonts w:ascii="Times New Roman" w:eastAsia="Times New Roman" w:hAnsi="Times New Roman" w:cs="Times New Roman"/>
          <w:color w:val="000000" w:themeColor="text1"/>
          <w:sz w:val="18"/>
          <w:szCs w:val="18"/>
        </w:rPr>
        <w:t xml:space="preserve">European Council meeting </w:t>
      </w:r>
      <w:r w:rsidR="00646580" w:rsidRPr="00CF5CA3">
        <w:rPr>
          <w:rFonts w:ascii="Times New Roman" w:eastAsia="Times New Roman" w:hAnsi="Times New Roman" w:cs="Times New Roman"/>
          <w:color w:val="000000" w:themeColor="text1"/>
          <w:sz w:val="18"/>
          <w:szCs w:val="18"/>
        </w:rPr>
        <w:t>(</w:t>
      </w:r>
      <w:r w:rsidRPr="00CF5CA3">
        <w:rPr>
          <w:rFonts w:ascii="Times New Roman" w:eastAsia="Times New Roman" w:hAnsi="Times New Roman" w:cs="Times New Roman"/>
          <w:color w:val="000000" w:themeColor="text1"/>
          <w:sz w:val="18"/>
          <w:szCs w:val="18"/>
        </w:rPr>
        <w:t>21 and 22 March 2019</w:t>
      </w:r>
      <w:r w:rsidR="00646580" w:rsidRPr="00CF5CA3">
        <w:rPr>
          <w:rFonts w:ascii="Times New Roman" w:eastAsia="Times New Roman" w:hAnsi="Times New Roman" w:cs="Times New Roman"/>
          <w:color w:val="000000" w:themeColor="text1"/>
          <w:sz w:val="18"/>
          <w:szCs w:val="18"/>
        </w:rPr>
        <w:t>)’</w:t>
      </w:r>
      <w:r w:rsidRPr="00CF5CA3">
        <w:rPr>
          <w:rFonts w:ascii="Times New Roman" w:eastAsia="Times New Roman" w:hAnsi="Times New Roman" w:cs="Times New Roman"/>
          <w:color w:val="000000" w:themeColor="text1"/>
          <w:sz w:val="18"/>
          <w:szCs w:val="18"/>
        </w:rPr>
        <w:t xml:space="preserve"> EUCO 1/19</w:t>
      </w:r>
      <w:r w:rsidR="00997E81" w:rsidRPr="00CF5CA3">
        <w:rPr>
          <w:rFonts w:ascii="Times New Roman" w:eastAsia="Times New Roman" w:hAnsi="Times New Roman" w:cs="Times New Roman"/>
          <w:color w:val="000000" w:themeColor="text1"/>
          <w:sz w:val="18"/>
          <w:szCs w:val="18"/>
        </w:rPr>
        <w:t>; see also</w:t>
      </w:r>
      <w:r w:rsidR="00646580" w:rsidRPr="00CF5CA3">
        <w:rPr>
          <w:rFonts w:ascii="Times New Roman" w:eastAsia="Times New Roman" w:hAnsi="Times New Roman" w:cs="Times New Roman"/>
          <w:color w:val="000000" w:themeColor="text1"/>
          <w:sz w:val="18"/>
          <w:szCs w:val="18"/>
        </w:rPr>
        <w:t xml:space="preserve"> European Commission, ‘Joint Communication to the European Parliament, the European Council and the Council EU-China A strategic outlook’</w:t>
      </w:r>
      <w:r w:rsidR="00997E81" w:rsidRPr="00CF5CA3">
        <w:rPr>
          <w:rFonts w:ascii="Times New Roman" w:eastAsia="Times New Roman" w:hAnsi="Times New Roman" w:cs="Times New Roman"/>
          <w:color w:val="000000" w:themeColor="text1"/>
          <w:sz w:val="18"/>
          <w:szCs w:val="18"/>
        </w:rPr>
        <w:t xml:space="preserve"> </w:t>
      </w:r>
      <w:proofErr w:type="gramStart"/>
      <w:r w:rsidR="00997E81" w:rsidRPr="00CF5CA3">
        <w:rPr>
          <w:rFonts w:ascii="Times New Roman" w:eastAsia="Times New Roman" w:hAnsi="Times New Roman" w:cs="Times New Roman"/>
          <w:color w:val="000000" w:themeColor="text1"/>
          <w:sz w:val="18"/>
          <w:szCs w:val="18"/>
        </w:rPr>
        <w:t>JOIN(</w:t>
      </w:r>
      <w:proofErr w:type="gramEnd"/>
      <w:r w:rsidR="00997E81" w:rsidRPr="00CF5CA3">
        <w:rPr>
          <w:rFonts w:ascii="Times New Roman" w:eastAsia="Times New Roman" w:hAnsi="Times New Roman" w:cs="Times New Roman"/>
          <w:color w:val="000000" w:themeColor="text1"/>
          <w:sz w:val="18"/>
          <w:szCs w:val="18"/>
        </w:rPr>
        <w:t>2019) 5 final.</w:t>
      </w:r>
    </w:p>
  </w:footnote>
  <w:footnote w:id="43">
    <w:p w14:paraId="00000079" w14:textId="248AE3C1" w:rsidR="00706BDF" w:rsidRPr="00CF5CA3" w:rsidRDefault="001F7452" w:rsidP="00AA37E7">
      <w:pPr>
        <w:spacing w:after="0" w:line="240" w:lineRule="auto"/>
        <w:jc w:val="both"/>
        <w:rPr>
          <w:rFonts w:ascii="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00997E81" w:rsidRPr="00CF5CA3">
        <w:rPr>
          <w:rFonts w:ascii="Times New Roman" w:eastAsia="Times New Roman" w:hAnsi="Times New Roman" w:cs="Times New Roman"/>
          <w:color w:val="000000" w:themeColor="text1"/>
          <w:sz w:val="18"/>
          <w:szCs w:val="18"/>
        </w:rPr>
        <w:t xml:space="preserve"> </w:t>
      </w:r>
      <w:r w:rsidR="00646580" w:rsidRPr="00CF5CA3">
        <w:rPr>
          <w:rFonts w:ascii="Times New Roman" w:eastAsia="Times New Roman" w:hAnsi="Times New Roman" w:cs="Times New Roman"/>
          <w:color w:val="000000" w:themeColor="text1"/>
          <w:sz w:val="18"/>
          <w:szCs w:val="18"/>
        </w:rPr>
        <w:t xml:space="preserve">European Commission, ‘Communication from the Commission </w:t>
      </w:r>
      <w:proofErr w:type="gramStart"/>
      <w:r w:rsidR="00646580" w:rsidRPr="00CF5CA3">
        <w:rPr>
          <w:rFonts w:ascii="Times New Roman" w:eastAsia="Times New Roman" w:hAnsi="Times New Roman" w:cs="Times New Roman"/>
          <w:color w:val="000000" w:themeColor="text1"/>
          <w:sz w:val="18"/>
          <w:szCs w:val="18"/>
        </w:rPr>
        <w:t>A</w:t>
      </w:r>
      <w:proofErr w:type="gramEnd"/>
      <w:r w:rsidR="00646580" w:rsidRPr="00CF5CA3">
        <w:rPr>
          <w:rFonts w:ascii="Times New Roman" w:eastAsia="Times New Roman" w:hAnsi="Times New Roman" w:cs="Times New Roman"/>
          <w:color w:val="000000" w:themeColor="text1"/>
          <w:sz w:val="18"/>
          <w:szCs w:val="18"/>
        </w:rPr>
        <w:t xml:space="preserve"> New Industrial Strategy for Europe’ </w:t>
      </w:r>
      <w:proofErr w:type="gramStart"/>
      <w:r w:rsidR="00997E81" w:rsidRPr="00CF5CA3">
        <w:rPr>
          <w:rFonts w:ascii="Times New Roman" w:eastAsia="Times New Roman" w:hAnsi="Times New Roman" w:cs="Times New Roman"/>
          <w:color w:val="000000" w:themeColor="text1"/>
          <w:sz w:val="18"/>
          <w:szCs w:val="18"/>
        </w:rPr>
        <w:t>COM(</w:t>
      </w:r>
      <w:proofErr w:type="gramEnd"/>
      <w:r w:rsidR="00997E81" w:rsidRPr="00CF5CA3">
        <w:rPr>
          <w:rFonts w:ascii="Times New Roman" w:eastAsia="Times New Roman" w:hAnsi="Times New Roman" w:cs="Times New Roman"/>
          <w:color w:val="000000" w:themeColor="text1"/>
          <w:sz w:val="18"/>
          <w:szCs w:val="18"/>
        </w:rPr>
        <w:t>2020) 102 final.</w:t>
      </w:r>
    </w:p>
  </w:footnote>
  <w:footnote w:id="44">
    <w:p w14:paraId="00000078" w14:textId="77777777"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 1.</w:t>
      </w:r>
    </w:p>
  </w:footnote>
  <w:footnote w:id="45">
    <w:p w14:paraId="00000077" w14:textId="77777777"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 3.2.</w:t>
      </w:r>
    </w:p>
  </w:footnote>
  <w:footnote w:id="46">
    <w:p w14:paraId="0000009B" w14:textId="6F0B72DF" w:rsidR="00706BDF" w:rsidRPr="00CF5CA3" w:rsidRDefault="001F7452" w:rsidP="00AA37E7">
      <w:pPr>
        <w:spacing w:after="0" w:line="240" w:lineRule="auto"/>
        <w:jc w:val="both"/>
        <w:rPr>
          <w:rFonts w:ascii="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rPr>
        <w:t xml:space="preserve"> </w:t>
      </w:r>
      <w:proofErr w:type="spellStart"/>
      <w:r w:rsidRPr="00CF5CA3">
        <w:rPr>
          <w:rFonts w:ascii="Times New Roman" w:eastAsia="Book Antiqua" w:hAnsi="Times New Roman" w:cs="Times New Roman"/>
          <w:color w:val="000000" w:themeColor="text1"/>
          <w:sz w:val="18"/>
          <w:szCs w:val="18"/>
        </w:rPr>
        <w:t>Lalliot</w:t>
      </w:r>
      <w:proofErr w:type="spellEnd"/>
      <w:r w:rsidRPr="00CF5CA3">
        <w:rPr>
          <w:rFonts w:ascii="Times New Roman" w:eastAsia="Book Antiqua" w:hAnsi="Times New Roman" w:cs="Times New Roman"/>
          <w:color w:val="000000" w:themeColor="text1"/>
          <w:sz w:val="18"/>
          <w:szCs w:val="18"/>
        </w:rPr>
        <w:t xml:space="preserve"> </w:t>
      </w:r>
      <w:r w:rsidR="00646580" w:rsidRPr="00CF5CA3">
        <w:rPr>
          <w:rFonts w:ascii="Times New Roman" w:eastAsia="Book Antiqua" w:hAnsi="Times New Roman" w:cs="Times New Roman"/>
          <w:color w:val="000000" w:themeColor="text1"/>
          <w:sz w:val="18"/>
          <w:szCs w:val="18"/>
        </w:rPr>
        <w:t>and</w:t>
      </w:r>
      <w:r w:rsidRPr="00CF5CA3">
        <w:rPr>
          <w:rFonts w:ascii="Times New Roman" w:eastAsia="Book Antiqua" w:hAnsi="Times New Roman" w:cs="Times New Roman"/>
          <w:color w:val="000000" w:themeColor="text1"/>
          <w:sz w:val="18"/>
          <w:szCs w:val="18"/>
        </w:rPr>
        <w:t xml:space="preserve"> </w:t>
      </w:r>
      <w:proofErr w:type="spellStart"/>
      <w:r w:rsidRPr="00CF5CA3">
        <w:rPr>
          <w:rFonts w:ascii="Times New Roman" w:eastAsia="Book Antiqua" w:hAnsi="Times New Roman" w:cs="Times New Roman"/>
          <w:color w:val="000000" w:themeColor="text1"/>
          <w:sz w:val="18"/>
          <w:szCs w:val="18"/>
        </w:rPr>
        <w:t>Yukins</w:t>
      </w:r>
      <w:proofErr w:type="spellEnd"/>
      <w:r w:rsidRPr="00CF5CA3">
        <w:rPr>
          <w:rFonts w:ascii="Times New Roman" w:eastAsia="Book Antiqua" w:hAnsi="Times New Roman" w:cs="Times New Roman"/>
          <w:color w:val="000000" w:themeColor="text1"/>
          <w:sz w:val="18"/>
          <w:szCs w:val="18"/>
        </w:rPr>
        <w:t xml:space="preserve"> </w:t>
      </w:r>
      <w:r w:rsidR="00646580" w:rsidRPr="00CF5CA3">
        <w:rPr>
          <w:rFonts w:ascii="Times New Roman" w:eastAsia="Book Antiqua" w:hAnsi="Times New Roman" w:cs="Times New Roman"/>
          <w:color w:val="000000" w:themeColor="text1"/>
          <w:sz w:val="18"/>
          <w:szCs w:val="18"/>
        </w:rPr>
        <w:t>(n 2)</w:t>
      </w:r>
      <w:r w:rsidRPr="00CF5CA3">
        <w:rPr>
          <w:rFonts w:ascii="Times New Roman" w:eastAsia="Book Antiqua" w:hAnsi="Times New Roman" w:cs="Times New Roman"/>
          <w:color w:val="000000" w:themeColor="text1"/>
          <w:sz w:val="18"/>
          <w:szCs w:val="18"/>
        </w:rPr>
        <w:t xml:space="preserve"> 8.</w:t>
      </w:r>
    </w:p>
  </w:footnote>
  <w:footnote w:id="47">
    <w:p w14:paraId="0000007E" w14:textId="2B70EFC0" w:rsidR="00706BDF" w:rsidRPr="00CF5CA3" w:rsidRDefault="001F7452" w:rsidP="00AA37E7">
      <w:pPr>
        <w:spacing w:after="0" w:line="240" w:lineRule="auto"/>
        <w:jc w:val="both"/>
        <w:rPr>
          <w:rFonts w:ascii="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rPr>
        <w:t xml:space="preserve"> </w:t>
      </w:r>
      <w:r w:rsidR="00E03765" w:rsidRPr="00CF5CA3">
        <w:rPr>
          <w:rFonts w:ascii="Times New Roman" w:eastAsia="Times New Roman" w:hAnsi="Times New Roman" w:cs="Times New Roman"/>
          <w:color w:val="000000" w:themeColor="text1"/>
          <w:sz w:val="18"/>
          <w:szCs w:val="18"/>
        </w:rPr>
        <w:t xml:space="preserve">Recital 14 </w:t>
      </w:r>
      <w:r w:rsidRPr="00CF5CA3">
        <w:rPr>
          <w:rFonts w:ascii="Times New Roman" w:eastAsia="Times New Roman" w:hAnsi="Times New Roman" w:cs="Times New Roman"/>
          <w:color w:val="000000" w:themeColor="text1"/>
          <w:sz w:val="18"/>
          <w:szCs w:val="18"/>
        </w:rPr>
        <w:t>Regulation (EU) 2022/1031</w:t>
      </w:r>
      <w:r w:rsidR="00E03765" w:rsidRPr="00CF5CA3">
        <w:rPr>
          <w:rFonts w:ascii="Times New Roman" w:eastAsia="Times New Roman" w:hAnsi="Times New Roman" w:cs="Times New Roman"/>
          <w:color w:val="000000" w:themeColor="text1"/>
          <w:sz w:val="18"/>
          <w:szCs w:val="18"/>
        </w:rPr>
        <w:t xml:space="preserve"> (IPI).</w:t>
      </w:r>
    </w:p>
  </w:footnote>
  <w:footnote w:id="48">
    <w:p w14:paraId="0000007F" w14:textId="06EFA02A" w:rsidR="00706BDF" w:rsidRPr="00324304" w:rsidRDefault="001F7452" w:rsidP="00AA37E7">
      <w:pPr>
        <w:spacing w:after="0" w:line="240" w:lineRule="auto"/>
        <w:jc w:val="both"/>
        <w:rPr>
          <w:rFonts w:ascii="Times New Roman" w:hAnsi="Times New Roman" w:cs="Times New Roman"/>
          <w:color w:val="000000" w:themeColor="text1"/>
          <w:sz w:val="18"/>
          <w:szCs w:val="18"/>
          <w:lang w:val="en-US"/>
        </w:rPr>
      </w:pPr>
      <w:r w:rsidRPr="00CF5CA3">
        <w:rPr>
          <w:rFonts w:ascii="Times New Roman" w:hAnsi="Times New Roman" w:cs="Times New Roman"/>
          <w:color w:val="000000" w:themeColor="text1"/>
          <w:sz w:val="18"/>
          <w:szCs w:val="18"/>
          <w:vertAlign w:val="superscript"/>
        </w:rPr>
        <w:footnoteRef/>
      </w:r>
      <w:r w:rsidRPr="00324304">
        <w:rPr>
          <w:rFonts w:ascii="Times New Roman" w:hAnsi="Times New Roman" w:cs="Times New Roman"/>
          <w:color w:val="000000" w:themeColor="text1"/>
          <w:sz w:val="18"/>
          <w:szCs w:val="18"/>
          <w:lang w:val="en-US"/>
        </w:rPr>
        <w:t xml:space="preserve"> </w:t>
      </w:r>
      <w:r w:rsidR="00E03765" w:rsidRPr="00324304">
        <w:rPr>
          <w:rFonts w:ascii="Times New Roman" w:eastAsia="Times New Roman" w:hAnsi="Times New Roman" w:cs="Times New Roman"/>
          <w:color w:val="000000" w:themeColor="text1"/>
          <w:sz w:val="18"/>
          <w:szCs w:val="18"/>
          <w:lang w:val="en-US"/>
        </w:rPr>
        <w:t>ibid</w:t>
      </w:r>
      <w:r w:rsidRPr="00324304">
        <w:rPr>
          <w:rFonts w:ascii="Times New Roman" w:eastAsia="Times New Roman" w:hAnsi="Times New Roman" w:cs="Times New Roman"/>
          <w:color w:val="000000" w:themeColor="text1"/>
          <w:sz w:val="18"/>
          <w:szCs w:val="18"/>
          <w:lang w:val="en-US"/>
        </w:rPr>
        <w:t xml:space="preserve"> Recitals 17 ff.</w:t>
      </w:r>
    </w:p>
  </w:footnote>
  <w:footnote w:id="49">
    <w:p w14:paraId="00000083" w14:textId="1BB5E077" w:rsidR="00706BDF" w:rsidRPr="00324304" w:rsidRDefault="001F7452" w:rsidP="00AA37E7">
      <w:pPr>
        <w:spacing w:after="0" w:line="240" w:lineRule="auto"/>
        <w:jc w:val="both"/>
        <w:rPr>
          <w:rFonts w:ascii="Times New Roman" w:hAnsi="Times New Roman" w:cs="Times New Roman"/>
          <w:color w:val="000000" w:themeColor="text1"/>
          <w:sz w:val="18"/>
          <w:szCs w:val="18"/>
          <w:lang w:val="en-US"/>
        </w:rPr>
      </w:pPr>
      <w:r w:rsidRPr="00CF5CA3">
        <w:rPr>
          <w:rFonts w:ascii="Times New Roman" w:hAnsi="Times New Roman" w:cs="Times New Roman"/>
          <w:color w:val="000000" w:themeColor="text1"/>
          <w:sz w:val="18"/>
          <w:szCs w:val="18"/>
          <w:vertAlign w:val="superscript"/>
        </w:rPr>
        <w:footnoteRef/>
      </w:r>
      <w:r w:rsidRPr="00324304">
        <w:rPr>
          <w:rFonts w:ascii="Times New Roman" w:hAnsi="Times New Roman" w:cs="Times New Roman"/>
          <w:color w:val="000000" w:themeColor="text1"/>
          <w:sz w:val="18"/>
          <w:szCs w:val="18"/>
          <w:lang w:val="en-US"/>
        </w:rPr>
        <w:t xml:space="preserve"> </w:t>
      </w:r>
      <w:r w:rsidR="00E03765" w:rsidRPr="00324304">
        <w:rPr>
          <w:rFonts w:ascii="Times New Roman" w:eastAsia="Times New Roman" w:hAnsi="Times New Roman" w:cs="Times New Roman"/>
          <w:color w:val="000000" w:themeColor="text1"/>
          <w:sz w:val="18"/>
          <w:szCs w:val="18"/>
          <w:lang w:val="en-US"/>
        </w:rPr>
        <w:t>ibid</w:t>
      </w:r>
      <w:r w:rsidRPr="00324304">
        <w:rPr>
          <w:rFonts w:ascii="Times New Roman" w:eastAsia="Times New Roman" w:hAnsi="Times New Roman" w:cs="Times New Roman"/>
          <w:color w:val="000000" w:themeColor="text1"/>
          <w:sz w:val="18"/>
          <w:szCs w:val="18"/>
          <w:lang w:val="en-US"/>
        </w:rPr>
        <w:t xml:space="preserve"> Recital 20.</w:t>
      </w:r>
    </w:p>
  </w:footnote>
  <w:footnote w:id="50">
    <w:p w14:paraId="0000008F" w14:textId="00ED9400"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w:t>
      </w:r>
      <w:r w:rsidR="00646580" w:rsidRPr="00CF5CA3">
        <w:rPr>
          <w:rFonts w:ascii="Times New Roman" w:eastAsia="Times New Roman" w:hAnsi="Times New Roman" w:cs="Times New Roman"/>
          <w:color w:val="000000" w:themeColor="text1"/>
          <w:sz w:val="18"/>
          <w:szCs w:val="18"/>
        </w:rPr>
        <w:t>European Commission, ‘</w:t>
      </w:r>
      <w:r w:rsidRPr="00CF5CA3">
        <w:rPr>
          <w:rFonts w:ascii="Times New Roman" w:eastAsia="Times New Roman" w:hAnsi="Times New Roman" w:cs="Times New Roman"/>
          <w:iCs/>
          <w:color w:val="000000" w:themeColor="text1"/>
          <w:sz w:val="18"/>
          <w:szCs w:val="18"/>
        </w:rPr>
        <w:t>Report from the Commission pursuant to Article 5(4) of Regulation (EU) 2022/1031 on the investigation under the International Procurement Instrument concerning measures and practices of the People's Republic of China in the public procurement market for medical devices</w:t>
      </w:r>
      <w:r w:rsidR="00646580" w:rsidRPr="00CF5CA3">
        <w:rPr>
          <w:rFonts w:ascii="Times New Roman" w:eastAsia="Times New Roman" w:hAnsi="Times New Roman" w:cs="Times New Roman"/>
          <w:color w:val="000000" w:themeColor="text1"/>
          <w:sz w:val="18"/>
          <w:szCs w:val="18"/>
        </w:rPr>
        <w:t>’</w:t>
      </w:r>
      <w:r w:rsidRPr="00CF5CA3">
        <w:rPr>
          <w:rFonts w:ascii="Times New Roman" w:eastAsia="Times New Roman" w:hAnsi="Times New Roman" w:cs="Times New Roman"/>
          <w:color w:val="000000" w:themeColor="text1"/>
          <w:sz w:val="18"/>
          <w:szCs w:val="18"/>
        </w:rPr>
        <w:t xml:space="preserve"> COM(2025)</w:t>
      </w:r>
      <w:r w:rsidR="00E03765" w:rsidRPr="00CF5CA3">
        <w:rPr>
          <w:rFonts w:ascii="Times New Roman" w:eastAsia="Times New Roman" w:hAnsi="Times New Roman" w:cs="Times New Roman"/>
          <w:color w:val="000000" w:themeColor="text1"/>
          <w:sz w:val="18"/>
          <w:szCs w:val="18"/>
        </w:rPr>
        <w:t xml:space="preserve"> </w:t>
      </w:r>
      <w:r w:rsidRPr="00CF5CA3">
        <w:rPr>
          <w:rFonts w:ascii="Times New Roman" w:eastAsia="Times New Roman" w:hAnsi="Times New Roman" w:cs="Times New Roman"/>
          <w:color w:val="000000" w:themeColor="text1"/>
          <w:sz w:val="18"/>
          <w:szCs w:val="18"/>
        </w:rPr>
        <w:t>5; see also for more information on the evidence gathered</w:t>
      </w:r>
      <w:r w:rsidR="00646580" w:rsidRPr="00CF5CA3">
        <w:rPr>
          <w:rFonts w:ascii="Times New Roman" w:eastAsia="Times New Roman" w:hAnsi="Times New Roman" w:cs="Times New Roman"/>
          <w:color w:val="000000" w:themeColor="text1"/>
          <w:sz w:val="18"/>
          <w:szCs w:val="18"/>
        </w:rPr>
        <w:t xml:space="preserve"> European Commission, </w:t>
      </w:r>
      <w:r w:rsidRPr="00CF5CA3">
        <w:rPr>
          <w:rFonts w:ascii="Times New Roman" w:eastAsia="Times New Roman" w:hAnsi="Times New Roman" w:cs="Times New Roman"/>
          <w:color w:val="000000" w:themeColor="text1"/>
          <w:sz w:val="18"/>
          <w:szCs w:val="18"/>
        </w:rPr>
        <w:t xml:space="preserve"> </w:t>
      </w:r>
      <w:r w:rsidR="00646580" w:rsidRPr="00CF5CA3">
        <w:rPr>
          <w:rFonts w:ascii="Times New Roman" w:eastAsia="Times New Roman" w:hAnsi="Times New Roman" w:cs="Times New Roman"/>
          <w:color w:val="000000" w:themeColor="text1"/>
          <w:sz w:val="18"/>
          <w:szCs w:val="18"/>
        </w:rPr>
        <w:t>‘</w:t>
      </w:r>
      <w:r w:rsidRPr="00CF5CA3">
        <w:rPr>
          <w:rFonts w:ascii="Times New Roman" w:eastAsia="Times New Roman" w:hAnsi="Times New Roman" w:cs="Times New Roman"/>
          <w:color w:val="000000" w:themeColor="text1"/>
          <w:sz w:val="18"/>
          <w:szCs w:val="18"/>
        </w:rPr>
        <w:t xml:space="preserve">Commission Staff Working Document </w:t>
      </w:r>
      <w:r w:rsidRPr="00CF5CA3">
        <w:rPr>
          <w:rFonts w:ascii="Times New Roman" w:eastAsia="Times New Roman" w:hAnsi="Times New Roman" w:cs="Times New Roman"/>
          <w:iCs/>
          <w:color w:val="000000" w:themeColor="text1"/>
          <w:sz w:val="18"/>
          <w:szCs w:val="18"/>
        </w:rPr>
        <w:t xml:space="preserve">Factual findings of the IPI investigation on the procurement market for medical devices in the People’s Republic of China Accompanying the document Report from the Commission </w:t>
      </w:r>
      <w:r w:rsidR="00646580" w:rsidRPr="00CF5CA3">
        <w:rPr>
          <w:rFonts w:ascii="Times New Roman" w:eastAsia="Times New Roman" w:hAnsi="Times New Roman" w:cs="Times New Roman"/>
          <w:iCs/>
          <w:color w:val="000000" w:themeColor="text1"/>
          <w:sz w:val="18"/>
          <w:szCs w:val="18"/>
        </w:rPr>
        <w:t xml:space="preserve">pursuant to Article 5(4) of Regulation (EU) 2022/1031 on the investigations under the International Procurement Instrument concerning measures and practices of the People’s Republic of China in the public procurement market for medical devices’ </w:t>
      </w:r>
      <w:r w:rsidRPr="00CF5CA3">
        <w:rPr>
          <w:rFonts w:ascii="Times New Roman" w:eastAsia="Times New Roman" w:hAnsi="Times New Roman" w:cs="Times New Roman"/>
          <w:color w:val="000000" w:themeColor="text1"/>
          <w:sz w:val="18"/>
          <w:szCs w:val="18"/>
        </w:rPr>
        <w:t>SWD(2025)2.</w:t>
      </w:r>
    </w:p>
  </w:footnote>
  <w:footnote w:id="51">
    <w:p w14:paraId="00000095" w14:textId="77680379"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See </w:t>
      </w:r>
      <w:r w:rsidR="00646580" w:rsidRPr="00CF5CA3">
        <w:rPr>
          <w:rFonts w:ascii="Times New Roman" w:eastAsia="Book Antiqua" w:hAnsi="Times New Roman" w:cs="Times New Roman"/>
          <w:color w:val="000000" w:themeColor="text1"/>
          <w:sz w:val="18"/>
          <w:szCs w:val="18"/>
        </w:rPr>
        <w:t>Bowsher</w:t>
      </w:r>
      <w:r w:rsidRPr="00CF5CA3">
        <w:rPr>
          <w:rFonts w:ascii="Times New Roman" w:eastAsia="Book Antiqua" w:hAnsi="Times New Roman" w:cs="Times New Roman"/>
          <w:color w:val="000000" w:themeColor="text1"/>
          <w:sz w:val="18"/>
          <w:szCs w:val="18"/>
        </w:rPr>
        <w:t xml:space="preserve"> </w:t>
      </w:r>
      <w:r w:rsidR="00646580" w:rsidRPr="00CF5CA3">
        <w:rPr>
          <w:rFonts w:ascii="Times New Roman" w:eastAsia="Book Antiqua" w:hAnsi="Times New Roman" w:cs="Times New Roman"/>
          <w:color w:val="000000" w:themeColor="text1"/>
          <w:sz w:val="18"/>
          <w:szCs w:val="18"/>
        </w:rPr>
        <w:t>(n 13)</w:t>
      </w:r>
      <w:r w:rsidRPr="00CF5CA3">
        <w:rPr>
          <w:rFonts w:ascii="Times New Roman" w:eastAsia="Book Antiqua" w:hAnsi="Times New Roman" w:cs="Times New Roman"/>
          <w:color w:val="000000" w:themeColor="text1"/>
          <w:sz w:val="18"/>
          <w:szCs w:val="18"/>
        </w:rPr>
        <w:t xml:space="preserve"> 64.</w:t>
      </w:r>
    </w:p>
  </w:footnote>
  <w:footnote w:id="52">
    <w:p w14:paraId="00000084" w14:textId="7A946070" w:rsidR="00706BDF" w:rsidRPr="00CF5CA3" w:rsidRDefault="001F7452" w:rsidP="00AA37E7">
      <w:pPr>
        <w:spacing w:after="0" w:line="240" w:lineRule="auto"/>
        <w:jc w:val="both"/>
        <w:rPr>
          <w:rFonts w:ascii="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rPr>
        <w:t xml:space="preserve"> Article 10 of </w:t>
      </w:r>
      <w:r w:rsidRPr="00CF5CA3">
        <w:rPr>
          <w:rFonts w:ascii="Times New Roman" w:eastAsia="Times New Roman" w:hAnsi="Times New Roman" w:cs="Times New Roman"/>
          <w:color w:val="000000" w:themeColor="text1"/>
          <w:sz w:val="18"/>
          <w:szCs w:val="18"/>
        </w:rPr>
        <w:t>Regulation (EU) 2022/1031</w:t>
      </w:r>
      <w:r w:rsidR="00E03765" w:rsidRPr="00CF5CA3">
        <w:rPr>
          <w:rFonts w:ascii="Times New Roman" w:eastAsia="Times New Roman" w:hAnsi="Times New Roman" w:cs="Times New Roman"/>
          <w:color w:val="000000" w:themeColor="text1"/>
          <w:sz w:val="18"/>
          <w:szCs w:val="18"/>
        </w:rPr>
        <w:t xml:space="preserve"> (IPI)</w:t>
      </w:r>
      <w:r w:rsidRPr="00CF5CA3">
        <w:rPr>
          <w:rFonts w:ascii="Times New Roman" w:eastAsia="Times New Roman" w:hAnsi="Times New Roman" w:cs="Times New Roman"/>
          <w:color w:val="000000" w:themeColor="text1"/>
          <w:sz w:val="18"/>
          <w:szCs w:val="18"/>
        </w:rPr>
        <w:t>; see also Recital 27.</w:t>
      </w:r>
    </w:p>
  </w:footnote>
  <w:footnote w:id="53">
    <w:p w14:paraId="00000081" w14:textId="1EBBF069" w:rsidR="00706BDF" w:rsidRPr="00CF5CA3" w:rsidRDefault="001F7452" w:rsidP="00AA37E7">
      <w:pPr>
        <w:spacing w:after="0" w:line="240" w:lineRule="auto"/>
        <w:jc w:val="both"/>
        <w:rPr>
          <w:rFonts w:ascii="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rPr>
        <w:t xml:space="preserve"> </w:t>
      </w:r>
      <w:r w:rsidR="00E03765" w:rsidRPr="00CF5CA3">
        <w:rPr>
          <w:rFonts w:ascii="Times New Roman" w:eastAsia="Times New Roman" w:hAnsi="Times New Roman" w:cs="Times New Roman"/>
          <w:color w:val="000000" w:themeColor="text1"/>
          <w:sz w:val="18"/>
          <w:szCs w:val="18"/>
        </w:rPr>
        <w:t>ibid</w:t>
      </w:r>
      <w:r w:rsidRPr="00CF5CA3">
        <w:rPr>
          <w:rFonts w:ascii="Times New Roman" w:eastAsia="Times New Roman" w:hAnsi="Times New Roman" w:cs="Times New Roman"/>
          <w:color w:val="000000" w:themeColor="text1"/>
          <w:sz w:val="18"/>
          <w:szCs w:val="18"/>
        </w:rPr>
        <w:t xml:space="preserve"> Recital 23.</w:t>
      </w:r>
    </w:p>
  </w:footnote>
  <w:footnote w:id="54">
    <w:p w14:paraId="0000007D" w14:textId="39E4D5D8" w:rsidR="00706BDF" w:rsidRPr="00CF5CA3" w:rsidRDefault="001F7452" w:rsidP="00AA37E7">
      <w:pPr>
        <w:spacing w:after="0" w:line="240" w:lineRule="auto"/>
        <w:jc w:val="both"/>
        <w:rPr>
          <w:rFonts w:ascii="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rPr>
        <w:t xml:space="preserve"> </w:t>
      </w:r>
      <w:r w:rsidR="00E03765" w:rsidRPr="00CF5CA3">
        <w:rPr>
          <w:rFonts w:ascii="Times New Roman" w:eastAsia="Times New Roman" w:hAnsi="Times New Roman" w:cs="Times New Roman"/>
          <w:color w:val="000000" w:themeColor="text1"/>
          <w:sz w:val="18"/>
          <w:szCs w:val="18"/>
        </w:rPr>
        <w:t>ibid</w:t>
      </w:r>
      <w:r w:rsidRPr="00CF5CA3">
        <w:rPr>
          <w:rFonts w:ascii="Times New Roman" w:eastAsia="Times New Roman" w:hAnsi="Times New Roman" w:cs="Times New Roman"/>
          <w:color w:val="000000" w:themeColor="text1"/>
          <w:sz w:val="18"/>
          <w:szCs w:val="18"/>
        </w:rPr>
        <w:t xml:space="preserve"> Recitals 11 ff</w:t>
      </w:r>
      <w:r w:rsidR="00FB2148" w:rsidRPr="00CF5CA3">
        <w:rPr>
          <w:rFonts w:ascii="Times New Roman" w:eastAsia="Times New Roman" w:hAnsi="Times New Roman" w:cs="Times New Roman"/>
          <w:color w:val="000000" w:themeColor="text1"/>
          <w:sz w:val="18"/>
          <w:szCs w:val="18"/>
        </w:rPr>
        <w:t xml:space="preserve">; see </w:t>
      </w:r>
      <w:proofErr w:type="spellStart"/>
      <w:r w:rsidR="00FB2148" w:rsidRPr="00CF5CA3">
        <w:rPr>
          <w:rFonts w:ascii="Times New Roman" w:eastAsia="Book Antiqua" w:hAnsi="Times New Roman" w:cs="Times New Roman"/>
          <w:color w:val="000000" w:themeColor="text1"/>
          <w:sz w:val="18"/>
          <w:szCs w:val="18"/>
        </w:rPr>
        <w:t>Gattinara</w:t>
      </w:r>
      <w:proofErr w:type="spellEnd"/>
      <w:r w:rsidR="00646580" w:rsidRPr="00CF5CA3">
        <w:rPr>
          <w:rFonts w:ascii="Times New Roman" w:eastAsia="Book Antiqua" w:hAnsi="Times New Roman" w:cs="Times New Roman"/>
          <w:color w:val="000000" w:themeColor="text1"/>
          <w:sz w:val="18"/>
          <w:szCs w:val="18"/>
        </w:rPr>
        <w:t xml:space="preserve"> and</w:t>
      </w:r>
      <w:r w:rsidR="00FB2148" w:rsidRPr="00CF5CA3">
        <w:rPr>
          <w:rFonts w:ascii="Times New Roman" w:eastAsia="Book Antiqua" w:hAnsi="Times New Roman" w:cs="Times New Roman"/>
          <w:color w:val="000000" w:themeColor="text1"/>
          <w:sz w:val="18"/>
          <w:szCs w:val="18"/>
        </w:rPr>
        <w:t xml:space="preserve"> Ondrusek</w:t>
      </w:r>
      <w:r w:rsidR="00646580" w:rsidRPr="00CF5CA3">
        <w:rPr>
          <w:rFonts w:ascii="Times New Roman" w:eastAsia="Book Antiqua" w:hAnsi="Times New Roman" w:cs="Times New Roman"/>
          <w:color w:val="000000" w:themeColor="text1"/>
          <w:sz w:val="18"/>
          <w:szCs w:val="18"/>
        </w:rPr>
        <w:t xml:space="preserve"> (n 8)</w:t>
      </w:r>
      <w:r w:rsidR="00FB2148" w:rsidRPr="00CF5CA3">
        <w:rPr>
          <w:rFonts w:ascii="Times New Roman" w:eastAsia="Book Antiqua" w:hAnsi="Times New Roman" w:cs="Times New Roman"/>
          <w:color w:val="000000" w:themeColor="text1"/>
          <w:sz w:val="18"/>
          <w:szCs w:val="18"/>
        </w:rPr>
        <w:t xml:space="preserve"> 220</w:t>
      </w:r>
      <w:r w:rsidRPr="00CF5CA3">
        <w:rPr>
          <w:rFonts w:ascii="Times New Roman" w:eastAsia="Times New Roman" w:hAnsi="Times New Roman" w:cs="Times New Roman"/>
          <w:color w:val="000000" w:themeColor="text1"/>
          <w:sz w:val="18"/>
          <w:szCs w:val="18"/>
        </w:rPr>
        <w:t>.</w:t>
      </w:r>
    </w:p>
  </w:footnote>
  <w:footnote w:id="55">
    <w:p w14:paraId="00000086" w14:textId="45C2B3D3" w:rsidR="00706BDF" w:rsidRPr="00CF5CA3" w:rsidRDefault="001F7452" w:rsidP="00AA37E7">
      <w:pPr>
        <w:spacing w:after="0" w:line="240" w:lineRule="auto"/>
        <w:jc w:val="both"/>
        <w:rPr>
          <w:rFonts w:ascii="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w:t>
      </w:r>
      <w:r w:rsidR="00E03765" w:rsidRPr="00CF5CA3">
        <w:rPr>
          <w:rFonts w:ascii="Times New Roman" w:eastAsia="Book Antiqua" w:hAnsi="Times New Roman" w:cs="Times New Roman"/>
          <w:color w:val="000000" w:themeColor="text1"/>
          <w:sz w:val="18"/>
          <w:szCs w:val="18"/>
        </w:rPr>
        <w:t xml:space="preserve">ibid </w:t>
      </w:r>
      <w:r w:rsidRPr="00CF5CA3">
        <w:rPr>
          <w:rFonts w:ascii="Times New Roman" w:eastAsia="Book Antiqua" w:hAnsi="Times New Roman" w:cs="Times New Roman"/>
          <w:color w:val="000000" w:themeColor="text1"/>
          <w:sz w:val="18"/>
          <w:szCs w:val="18"/>
        </w:rPr>
        <w:t>Art</w:t>
      </w:r>
      <w:r w:rsidR="00E03765" w:rsidRPr="00CF5CA3">
        <w:rPr>
          <w:rFonts w:ascii="Times New Roman" w:eastAsia="Book Antiqua" w:hAnsi="Times New Roman" w:cs="Times New Roman"/>
          <w:color w:val="000000" w:themeColor="text1"/>
          <w:sz w:val="18"/>
          <w:szCs w:val="18"/>
        </w:rPr>
        <w:t>icle</w:t>
      </w:r>
      <w:r w:rsidRPr="00CF5CA3">
        <w:rPr>
          <w:rFonts w:ascii="Times New Roman" w:eastAsia="Book Antiqua" w:hAnsi="Times New Roman" w:cs="Times New Roman"/>
          <w:color w:val="000000" w:themeColor="text1"/>
          <w:sz w:val="18"/>
          <w:szCs w:val="18"/>
        </w:rPr>
        <w:t xml:space="preserve"> 2(2)</w:t>
      </w:r>
      <w:r w:rsidR="00E03765" w:rsidRPr="00CF5CA3">
        <w:rPr>
          <w:rFonts w:ascii="Times New Roman" w:eastAsia="Book Antiqua" w:hAnsi="Times New Roman" w:cs="Times New Roman"/>
          <w:color w:val="000000" w:themeColor="text1"/>
          <w:sz w:val="18"/>
          <w:szCs w:val="18"/>
        </w:rPr>
        <w:t xml:space="preserve">. </w:t>
      </w:r>
    </w:p>
  </w:footnote>
  <w:footnote w:id="56">
    <w:p w14:paraId="00000087" w14:textId="684CD9BD"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w:t>
      </w:r>
      <w:r w:rsidR="00E03765" w:rsidRPr="00CF5CA3">
        <w:rPr>
          <w:rFonts w:ascii="Times New Roman" w:eastAsia="Book Antiqua" w:hAnsi="Times New Roman" w:cs="Times New Roman"/>
          <w:color w:val="000000" w:themeColor="text1"/>
          <w:sz w:val="18"/>
          <w:szCs w:val="18"/>
        </w:rPr>
        <w:t>ibid</w:t>
      </w:r>
      <w:r w:rsidRPr="00CF5CA3">
        <w:rPr>
          <w:rFonts w:ascii="Times New Roman" w:eastAsia="Book Antiqua" w:hAnsi="Times New Roman" w:cs="Times New Roman"/>
          <w:color w:val="000000" w:themeColor="text1"/>
          <w:sz w:val="18"/>
          <w:szCs w:val="18"/>
        </w:rPr>
        <w:t xml:space="preserve"> Recital 13.</w:t>
      </w:r>
    </w:p>
  </w:footnote>
  <w:footnote w:id="57">
    <w:p w14:paraId="0000008C" w14:textId="00FB14A5"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w:t>
      </w:r>
      <w:r w:rsidR="00646580" w:rsidRPr="00CF5CA3">
        <w:rPr>
          <w:rFonts w:ascii="Times New Roman" w:eastAsia="Times New Roman" w:hAnsi="Times New Roman" w:cs="Times New Roman"/>
          <w:color w:val="000000" w:themeColor="text1"/>
          <w:sz w:val="18"/>
          <w:szCs w:val="18"/>
        </w:rPr>
        <w:t xml:space="preserve">European Commission C/2019/5494 (n 9) </w:t>
      </w:r>
      <w:r w:rsidRPr="00CF5CA3">
        <w:rPr>
          <w:rFonts w:ascii="Times New Roman" w:eastAsia="Times New Roman" w:hAnsi="Times New Roman" w:cs="Times New Roman"/>
          <w:color w:val="000000" w:themeColor="text1"/>
          <w:sz w:val="18"/>
          <w:szCs w:val="18"/>
        </w:rPr>
        <w:t>8 ff.</w:t>
      </w:r>
    </w:p>
  </w:footnote>
  <w:footnote w:id="58">
    <w:p w14:paraId="63886B4B" w14:textId="29590995" w:rsidR="00CD18CE" w:rsidRPr="00CF5CA3" w:rsidRDefault="00CD18CE">
      <w:pPr>
        <w:pStyle w:val="Testonotaapidipagina"/>
        <w:rPr>
          <w:rFonts w:ascii="Times New Roman" w:hAnsi="Times New Roman" w:cs="Times New Roman"/>
          <w:color w:val="000000" w:themeColor="text1"/>
          <w:sz w:val="18"/>
          <w:szCs w:val="18"/>
          <w:lang w:val="en-US"/>
        </w:rPr>
      </w:pPr>
      <w:r w:rsidRPr="00CF5CA3">
        <w:rPr>
          <w:rStyle w:val="Rimandonotaapidipagina"/>
          <w:rFonts w:ascii="Times New Roman" w:hAnsi="Times New Roman" w:cs="Times New Roman"/>
          <w:color w:val="000000" w:themeColor="text1"/>
          <w:sz w:val="18"/>
          <w:szCs w:val="18"/>
        </w:rPr>
        <w:footnoteRef/>
      </w:r>
      <w:r w:rsidRPr="00CF5CA3">
        <w:rPr>
          <w:rFonts w:ascii="Times New Roman" w:hAnsi="Times New Roman" w:cs="Times New Roman"/>
          <w:color w:val="000000" w:themeColor="text1"/>
          <w:sz w:val="18"/>
          <w:szCs w:val="18"/>
          <w:lang w:val="en-US"/>
        </w:rPr>
        <w:t xml:space="preserve"> </w:t>
      </w:r>
      <w:r w:rsidR="00646580" w:rsidRPr="00CF5CA3">
        <w:rPr>
          <w:rFonts w:ascii="Times New Roman" w:hAnsi="Times New Roman" w:cs="Times New Roman"/>
          <w:color w:val="000000" w:themeColor="text1"/>
          <w:sz w:val="18"/>
          <w:szCs w:val="18"/>
          <w:shd w:val="clear" w:color="auto" w:fill="FFFFFF"/>
        </w:rPr>
        <w:t xml:space="preserve">Commission Implementing Regulation (EU) 2025/1197 of 19 June 2025 imposing an International Procurement Instrument measure restricting the access of economic operators and medical devices originating in the People’s Republic of China to the European Union public procurement market for medical devices pursuant to Regulation (EU) 2022/1031 of the European Parliament and of the Council </w:t>
      </w:r>
      <w:r w:rsidRPr="00CF5CA3">
        <w:rPr>
          <w:rFonts w:ascii="Times New Roman" w:hAnsi="Times New Roman" w:cs="Times New Roman"/>
          <w:color w:val="000000" w:themeColor="text1"/>
          <w:sz w:val="18"/>
          <w:szCs w:val="18"/>
          <w:lang w:val="en-US"/>
        </w:rPr>
        <w:t>2025/1197</w:t>
      </w:r>
      <w:r w:rsidR="00646580" w:rsidRPr="00CF5CA3">
        <w:rPr>
          <w:rFonts w:ascii="Times New Roman" w:hAnsi="Times New Roman" w:cs="Times New Roman"/>
          <w:color w:val="000000" w:themeColor="text1"/>
          <w:sz w:val="18"/>
          <w:szCs w:val="18"/>
          <w:lang w:val="en-US"/>
        </w:rPr>
        <w:t xml:space="preserve"> [2025] OJ L 2025/1197.</w:t>
      </w:r>
    </w:p>
  </w:footnote>
  <w:footnote w:id="59">
    <w:p w14:paraId="6880F73F" w14:textId="4540D6A2" w:rsidR="00324304" w:rsidRPr="00324304" w:rsidRDefault="00324304" w:rsidP="00324304">
      <w:pPr>
        <w:pStyle w:val="Testonotaapidipagina"/>
        <w:rPr>
          <w:rFonts w:ascii="Times New Roman" w:hAnsi="Times New Roman" w:cs="Times New Roman"/>
          <w:sz w:val="18"/>
          <w:szCs w:val="18"/>
          <w:lang w:val="en-US"/>
        </w:rPr>
      </w:pPr>
      <w:r w:rsidRPr="00324304">
        <w:rPr>
          <w:rStyle w:val="Rimandonotaapidipagina"/>
          <w:rFonts w:ascii="Times New Roman" w:hAnsi="Times New Roman" w:cs="Times New Roman"/>
          <w:sz w:val="18"/>
          <w:szCs w:val="18"/>
        </w:rPr>
        <w:footnoteRef/>
      </w:r>
      <w:r w:rsidRPr="00324304">
        <w:rPr>
          <w:rFonts w:ascii="Times New Roman" w:hAnsi="Times New Roman" w:cs="Times New Roman"/>
          <w:sz w:val="18"/>
          <w:szCs w:val="18"/>
        </w:rPr>
        <w:t xml:space="preserve"> </w:t>
      </w:r>
      <w:r w:rsidRPr="00324304">
        <w:rPr>
          <w:rFonts w:ascii="Times New Roman" w:hAnsi="Times New Roman" w:cs="Times New Roman"/>
          <w:i/>
          <w:iCs/>
          <w:sz w:val="18"/>
          <w:szCs w:val="18"/>
        </w:rPr>
        <w:t xml:space="preserve">Report </w:t>
      </w:r>
      <w:r w:rsidRPr="00324304">
        <w:rPr>
          <w:rFonts w:ascii="Times New Roman" w:hAnsi="Times New Roman" w:cs="Times New Roman"/>
          <w:i/>
          <w:iCs/>
          <w:sz w:val="18"/>
          <w:szCs w:val="18"/>
        </w:rPr>
        <w:t>pursuant to Article 13 of Regulation (EU) 2022/1031 on the application of this</w:t>
      </w:r>
      <w:r w:rsidRPr="00324304">
        <w:rPr>
          <w:rFonts w:ascii="Times New Roman" w:hAnsi="Times New Roman" w:cs="Times New Roman"/>
          <w:i/>
          <w:iCs/>
          <w:sz w:val="18"/>
          <w:szCs w:val="18"/>
        </w:rPr>
        <w:t xml:space="preserve"> </w:t>
      </w:r>
      <w:r w:rsidRPr="00324304">
        <w:rPr>
          <w:rFonts w:ascii="Times New Roman" w:hAnsi="Times New Roman" w:cs="Times New Roman"/>
          <w:i/>
          <w:iCs/>
          <w:sz w:val="18"/>
          <w:szCs w:val="18"/>
        </w:rPr>
        <w:t>Regulation and on the progress made in international negotiations, regarding access for</w:t>
      </w:r>
      <w:r w:rsidRPr="00324304">
        <w:rPr>
          <w:rFonts w:ascii="Times New Roman" w:hAnsi="Times New Roman" w:cs="Times New Roman"/>
          <w:i/>
          <w:iCs/>
          <w:sz w:val="18"/>
          <w:szCs w:val="18"/>
        </w:rPr>
        <w:t xml:space="preserve"> </w:t>
      </w:r>
      <w:r w:rsidRPr="00324304">
        <w:rPr>
          <w:rFonts w:ascii="Times New Roman" w:hAnsi="Times New Roman" w:cs="Times New Roman"/>
          <w:i/>
          <w:iCs/>
          <w:sz w:val="18"/>
          <w:szCs w:val="18"/>
        </w:rPr>
        <w:t>Union economic operators to the public procurement or concession markets of third</w:t>
      </w:r>
      <w:r w:rsidRPr="00324304">
        <w:rPr>
          <w:rFonts w:ascii="Times New Roman" w:hAnsi="Times New Roman" w:cs="Times New Roman"/>
          <w:i/>
          <w:iCs/>
          <w:sz w:val="18"/>
          <w:szCs w:val="18"/>
        </w:rPr>
        <w:t xml:space="preserve"> </w:t>
      </w:r>
      <w:r w:rsidRPr="00324304">
        <w:rPr>
          <w:rFonts w:ascii="Times New Roman" w:hAnsi="Times New Roman" w:cs="Times New Roman"/>
          <w:i/>
          <w:iCs/>
          <w:sz w:val="18"/>
          <w:szCs w:val="18"/>
        </w:rPr>
        <w:t>countries, undertaken under this Regulation</w:t>
      </w:r>
      <w:r w:rsidRPr="00324304">
        <w:rPr>
          <w:rFonts w:ascii="Times New Roman" w:hAnsi="Times New Roman" w:cs="Times New Roman"/>
          <w:sz w:val="18"/>
          <w:szCs w:val="18"/>
        </w:rPr>
        <w:t xml:space="preserve"> (</w:t>
      </w:r>
      <w:proofErr w:type="gramStart"/>
      <w:r w:rsidRPr="00324304">
        <w:rPr>
          <w:rFonts w:ascii="Times New Roman" w:hAnsi="Times New Roman" w:cs="Times New Roman"/>
          <w:sz w:val="18"/>
          <w:szCs w:val="18"/>
        </w:rPr>
        <w:t>COM(</w:t>
      </w:r>
      <w:proofErr w:type="gramEnd"/>
      <w:r w:rsidRPr="00324304">
        <w:rPr>
          <w:rFonts w:ascii="Times New Roman" w:hAnsi="Times New Roman" w:cs="Times New Roman"/>
          <w:sz w:val="18"/>
          <w:szCs w:val="18"/>
        </w:rPr>
        <w:t>2025) 430 final</w:t>
      </w:r>
      <w:r w:rsidRPr="00324304">
        <w:rPr>
          <w:rFonts w:ascii="Times New Roman" w:hAnsi="Times New Roman" w:cs="Times New Roman"/>
          <w:sz w:val="18"/>
          <w:szCs w:val="18"/>
        </w:rPr>
        <w:t>).</w:t>
      </w:r>
    </w:p>
  </w:footnote>
  <w:footnote w:id="60">
    <w:p w14:paraId="00000062" w14:textId="12BA521D"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lang w:val="en-US"/>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lang w:val="en-US"/>
        </w:rPr>
        <w:t xml:space="preserve"> </w:t>
      </w:r>
      <w:r w:rsidRPr="00CF5CA3">
        <w:rPr>
          <w:rFonts w:ascii="Times New Roman" w:eastAsia="Times New Roman" w:hAnsi="Times New Roman" w:cs="Times New Roman"/>
          <w:color w:val="000000" w:themeColor="text1"/>
          <w:sz w:val="18"/>
          <w:szCs w:val="18"/>
          <w:lang w:val="en-US"/>
        </w:rPr>
        <w:t>A</w:t>
      </w:r>
      <w:r w:rsidR="00E921E5" w:rsidRPr="00CF5CA3">
        <w:rPr>
          <w:rFonts w:ascii="Times New Roman" w:eastAsia="Times New Roman" w:hAnsi="Times New Roman" w:cs="Times New Roman"/>
          <w:color w:val="000000" w:themeColor="text1"/>
          <w:sz w:val="18"/>
          <w:szCs w:val="18"/>
          <w:lang w:val="en-US"/>
        </w:rPr>
        <w:t>nnamaria</w:t>
      </w:r>
      <w:r w:rsidRPr="00CF5CA3">
        <w:rPr>
          <w:rFonts w:ascii="Times New Roman" w:eastAsia="Times New Roman" w:hAnsi="Times New Roman" w:cs="Times New Roman"/>
          <w:color w:val="000000" w:themeColor="text1"/>
          <w:sz w:val="18"/>
          <w:szCs w:val="18"/>
          <w:lang w:val="en-US"/>
        </w:rPr>
        <w:t xml:space="preserve">. La Chimia, </w:t>
      </w:r>
      <w:r w:rsidR="00E921E5" w:rsidRPr="00CF5CA3">
        <w:rPr>
          <w:rFonts w:ascii="Times New Roman" w:eastAsia="Times New Roman" w:hAnsi="Times New Roman" w:cs="Times New Roman"/>
          <w:color w:val="000000" w:themeColor="text1"/>
          <w:sz w:val="18"/>
          <w:szCs w:val="18"/>
          <w:lang w:val="en-US"/>
        </w:rPr>
        <w:t>‘Comment to Article 25’</w:t>
      </w:r>
      <w:r w:rsidR="00E921E5" w:rsidRPr="00CF5CA3">
        <w:rPr>
          <w:rFonts w:ascii="Times New Roman" w:eastAsia="Times New Roman" w:hAnsi="Times New Roman" w:cs="Times New Roman"/>
          <w:color w:val="000000" w:themeColor="text1"/>
          <w:sz w:val="18"/>
          <w:szCs w:val="18"/>
        </w:rPr>
        <w:t xml:space="preserve"> in Roberto Caranta &amp; Albert Sanchez Graells (eds), </w:t>
      </w:r>
      <w:r w:rsidR="00E921E5" w:rsidRPr="00CF5CA3">
        <w:rPr>
          <w:rFonts w:ascii="Times New Roman" w:eastAsia="Times New Roman" w:hAnsi="Times New Roman" w:cs="Times New Roman"/>
          <w:i/>
          <w:color w:val="000000" w:themeColor="text1"/>
          <w:sz w:val="18"/>
          <w:szCs w:val="18"/>
        </w:rPr>
        <w:t>European Public Procurement Commentary to Directive 2014/24/EU</w:t>
      </w:r>
      <w:r w:rsidR="00E921E5" w:rsidRPr="00CF5CA3">
        <w:rPr>
          <w:rFonts w:ascii="Times New Roman" w:eastAsia="Times New Roman" w:hAnsi="Times New Roman" w:cs="Times New Roman"/>
          <w:color w:val="000000" w:themeColor="text1"/>
          <w:sz w:val="18"/>
          <w:szCs w:val="18"/>
        </w:rPr>
        <w:t xml:space="preserve"> (Hart 2021) </w:t>
      </w:r>
      <w:r w:rsidRPr="00CF5CA3">
        <w:rPr>
          <w:rFonts w:ascii="Times New Roman" w:eastAsia="Times New Roman" w:hAnsi="Times New Roman" w:cs="Times New Roman"/>
          <w:color w:val="000000" w:themeColor="text1"/>
          <w:sz w:val="18"/>
          <w:szCs w:val="18"/>
          <w:lang w:val="en-US"/>
        </w:rPr>
        <w:t>at 275.</w:t>
      </w:r>
    </w:p>
  </w:footnote>
  <w:footnote w:id="61">
    <w:p w14:paraId="00000063" w14:textId="5DFEA3D9" w:rsidR="00706BDF" w:rsidRPr="00CF5CA3" w:rsidRDefault="001F7452" w:rsidP="00AA37E7">
      <w:pPr>
        <w:spacing w:after="0" w:line="240" w:lineRule="auto"/>
        <w:jc w:val="both"/>
        <w:rPr>
          <w:rFonts w:ascii="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Case C‑652/22</w:t>
      </w:r>
      <w:r w:rsidR="00646580" w:rsidRPr="00CF5CA3">
        <w:rPr>
          <w:rFonts w:ascii="Times New Roman" w:eastAsia="Book Antiqua" w:hAnsi="Times New Roman" w:cs="Times New Roman"/>
          <w:color w:val="000000" w:themeColor="text1"/>
          <w:sz w:val="18"/>
          <w:szCs w:val="18"/>
        </w:rPr>
        <w:t xml:space="preserve"> </w:t>
      </w:r>
      <w:r w:rsidRPr="00CF5CA3">
        <w:rPr>
          <w:rFonts w:ascii="Times New Roman" w:eastAsia="Book Antiqua" w:hAnsi="Times New Roman" w:cs="Times New Roman"/>
          <w:i/>
          <w:color w:val="000000" w:themeColor="text1"/>
          <w:sz w:val="18"/>
          <w:szCs w:val="18"/>
        </w:rPr>
        <w:t xml:space="preserve">Kolin </w:t>
      </w:r>
      <w:proofErr w:type="spellStart"/>
      <w:r w:rsidRPr="00CF5CA3">
        <w:rPr>
          <w:rFonts w:ascii="Times New Roman" w:eastAsia="Book Antiqua" w:hAnsi="Times New Roman" w:cs="Times New Roman"/>
          <w:i/>
          <w:color w:val="000000" w:themeColor="text1"/>
          <w:sz w:val="18"/>
          <w:szCs w:val="18"/>
        </w:rPr>
        <w:t>Inşaat</w:t>
      </w:r>
      <w:proofErr w:type="spellEnd"/>
      <w:r w:rsidRPr="00CF5CA3">
        <w:rPr>
          <w:rFonts w:ascii="Times New Roman" w:eastAsia="Book Antiqua" w:hAnsi="Times New Roman" w:cs="Times New Roman"/>
          <w:i/>
          <w:color w:val="000000" w:themeColor="text1"/>
          <w:sz w:val="18"/>
          <w:szCs w:val="18"/>
        </w:rPr>
        <w:t xml:space="preserve"> </w:t>
      </w:r>
      <w:proofErr w:type="spellStart"/>
      <w:r w:rsidRPr="00CF5CA3">
        <w:rPr>
          <w:rFonts w:ascii="Times New Roman" w:eastAsia="Book Antiqua" w:hAnsi="Times New Roman" w:cs="Times New Roman"/>
          <w:i/>
          <w:color w:val="000000" w:themeColor="text1"/>
          <w:sz w:val="18"/>
          <w:szCs w:val="18"/>
        </w:rPr>
        <w:t>Turizm</w:t>
      </w:r>
      <w:proofErr w:type="spellEnd"/>
      <w:r w:rsidRPr="00CF5CA3">
        <w:rPr>
          <w:rFonts w:ascii="Times New Roman" w:eastAsia="Book Antiqua" w:hAnsi="Times New Roman" w:cs="Times New Roman"/>
          <w:i/>
          <w:color w:val="000000" w:themeColor="text1"/>
          <w:sz w:val="18"/>
          <w:szCs w:val="18"/>
        </w:rPr>
        <w:t xml:space="preserve"> Sanayi </w:t>
      </w:r>
      <w:proofErr w:type="spellStart"/>
      <w:r w:rsidRPr="00CF5CA3">
        <w:rPr>
          <w:rFonts w:ascii="Times New Roman" w:eastAsia="Book Antiqua" w:hAnsi="Times New Roman" w:cs="Times New Roman"/>
          <w:i/>
          <w:color w:val="000000" w:themeColor="text1"/>
          <w:sz w:val="18"/>
          <w:szCs w:val="18"/>
        </w:rPr>
        <w:t>ve</w:t>
      </w:r>
      <w:proofErr w:type="spellEnd"/>
      <w:r w:rsidRPr="00CF5CA3">
        <w:rPr>
          <w:rFonts w:ascii="Times New Roman" w:eastAsia="Book Antiqua" w:hAnsi="Times New Roman" w:cs="Times New Roman"/>
          <w:i/>
          <w:color w:val="000000" w:themeColor="text1"/>
          <w:sz w:val="18"/>
          <w:szCs w:val="18"/>
        </w:rPr>
        <w:t xml:space="preserve"> Ticaret AȘ</w:t>
      </w:r>
      <w:r w:rsidRPr="00CF5CA3">
        <w:rPr>
          <w:rFonts w:ascii="Times New Roman" w:eastAsia="Book Antiqua" w:hAnsi="Times New Roman" w:cs="Times New Roman"/>
          <w:color w:val="000000" w:themeColor="text1"/>
          <w:sz w:val="18"/>
          <w:szCs w:val="18"/>
        </w:rPr>
        <w:t xml:space="preserve"> ECLI:EU:</w:t>
      </w:r>
      <w:proofErr w:type="gramStart"/>
      <w:r w:rsidRPr="00CF5CA3">
        <w:rPr>
          <w:rFonts w:ascii="Times New Roman" w:eastAsia="Book Antiqua" w:hAnsi="Times New Roman" w:cs="Times New Roman"/>
          <w:color w:val="000000" w:themeColor="text1"/>
          <w:sz w:val="18"/>
          <w:szCs w:val="18"/>
        </w:rPr>
        <w:t>C:2024:910</w:t>
      </w:r>
      <w:proofErr w:type="gramEnd"/>
      <w:r w:rsidRPr="00CF5CA3">
        <w:rPr>
          <w:rFonts w:ascii="Times New Roman" w:eastAsia="Book Antiqua" w:hAnsi="Times New Roman" w:cs="Times New Roman"/>
          <w:color w:val="000000" w:themeColor="text1"/>
          <w:sz w:val="18"/>
          <w:szCs w:val="18"/>
        </w:rPr>
        <w:t>.</w:t>
      </w:r>
    </w:p>
  </w:footnote>
  <w:footnote w:id="62">
    <w:p w14:paraId="000000AF" w14:textId="1E8D1CA6"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Case C-266/22 </w:t>
      </w:r>
      <w:r w:rsidRPr="00CF5CA3">
        <w:rPr>
          <w:rFonts w:ascii="Times New Roman" w:eastAsia="Book Antiqua" w:hAnsi="Times New Roman" w:cs="Times New Roman"/>
          <w:i/>
          <w:color w:val="000000" w:themeColor="text1"/>
          <w:sz w:val="18"/>
          <w:szCs w:val="18"/>
        </w:rPr>
        <w:t>CRRC Qingdao Sifang</w:t>
      </w:r>
      <w:r w:rsidRPr="00CF5CA3">
        <w:rPr>
          <w:rFonts w:ascii="Times New Roman" w:eastAsia="Book Antiqua" w:hAnsi="Times New Roman" w:cs="Times New Roman"/>
          <w:color w:val="000000" w:themeColor="text1"/>
          <w:sz w:val="18"/>
          <w:szCs w:val="18"/>
        </w:rPr>
        <w:t xml:space="preserve"> ECLI:EU:</w:t>
      </w:r>
      <w:proofErr w:type="gramStart"/>
      <w:r w:rsidRPr="00CF5CA3">
        <w:rPr>
          <w:rFonts w:ascii="Times New Roman" w:eastAsia="Book Antiqua" w:hAnsi="Times New Roman" w:cs="Times New Roman"/>
          <w:color w:val="000000" w:themeColor="text1"/>
          <w:sz w:val="18"/>
          <w:szCs w:val="18"/>
        </w:rPr>
        <w:t>C:2025:178</w:t>
      </w:r>
      <w:proofErr w:type="gramEnd"/>
      <w:r w:rsidRPr="00CF5CA3">
        <w:rPr>
          <w:rFonts w:ascii="Times New Roman" w:eastAsia="Book Antiqua" w:hAnsi="Times New Roman" w:cs="Times New Roman"/>
          <w:color w:val="000000" w:themeColor="text1"/>
          <w:sz w:val="18"/>
          <w:szCs w:val="18"/>
        </w:rPr>
        <w:t>.</w:t>
      </w:r>
    </w:p>
  </w:footnote>
  <w:footnote w:id="63">
    <w:p w14:paraId="00000064" w14:textId="515F3FE9" w:rsidR="00706BDF" w:rsidRPr="00CF5CA3" w:rsidRDefault="001F7452" w:rsidP="00AA37E7">
      <w:pPr>
        <w:spacing w:after="0" w:line="240" w:lineRule="auto"/>
        <w:jc w:val="both"/>
        <w:rPr>
          <w:rFonts w:ascii="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rPr>
        <w:t xml:space="preserve"> </w:t>
      </w:r>
      <w:r w:rsidRPr="00CF5CA3">
        <w:rPr>
          <w:rFonts w:ascii="Times New Roman" w:eastAsia="Book Antiqua" w:hAnsi="Times New Roman" w:cs="Times New Roman"/>
          <w:color w:val="000000" w:themeColor="text1"/>
          <w:sz w:val="18"/>
          <w:szCs w:val="18"/>
        </w:rPr>
        <w:t>Case C‑652/22</w:t>
      </w:r>
      <w:r w:rsidR="00646580" w:rsidRPr="00CF5CA3">
        <w:rPr>
          <w:rFonts w:ascii="Times New Roman" w:eastAsia="Book Antiqua" w:hAnsi="Times New Roman" w:cs="Times New Roman"/>
          <w:color w:val="000000" w:themeColor="text1"/>
          <w:sz w:val="18"/>
          <w:szCs w:val="18"/>
        </w:rPr>
        <w:t xml:space="preserve"> </w:t>
      </w:r>
      <w:r w:rsidR="00646580" w:rsidRPr="00CF5CA3">
        <w:rPr>
          <w:rFonts w:ascii="Times New Roman" w:eastAsia="Book Antiqua" w:hAnsi="Times New Roman" w:cs="Times New Roman"/>
          <w:i/>
          <w:iCs/>
          <w:color w:val="000000" w:themeColor="text1"/>
          <w:sz w:val="18"/>
          <w:szCs w:val="18"/>
        </w:rPr>
        <w:t>Kolin</w:t>
      </w:r>
      <w:r w:rsidR="00646580" w:rsidRPr="00CF5CA3">
        <w:rPr>
          <w:rFonts w:ascii="Times New Roman" w:eastAsia="Book Antiqua" w:hAnsi="Times New Roman" w:cs="Times New Roman"/>
          <w:color w:val="000000" w:themeColor="text1"/>
          <w:sz w:val="18"/>
          <w:szCs w:val="18"/>
        </w:rPr>
        <w:t xml:space="preserve"> (n 59) </w:t>
      </w:r>
      <w:r w:rsidRPr="00CF5CA3">
        <w:rPr>
          <w:rFonts w:ascii="Times New Roman" w:eastAsia="Book Antiqua" w:hAnsi="Times New Roman" w:cs="Times New Roman"/>
          <w:color w:val="000000" w:themeColor="text1"/>
          <w:sz w:val="18"/>
          <w:szCs w:val="18"/>
        </w:rPr>
        <w:t>p</w:t>
      </w:r>
      <w:r w:rsidRPr="00CF5CA3">
        <w:rPr>
          <w:rFonts w:ascii="Times New Roman" w:eastAsia="Times New Roman" w:hAnsi="Times New Roman" w:cs="Times New Roman"/>
          <w:color w:val="000000" w:themeColor="text1"/>
          <w:sz w:val="18"/>
          <w:szCs w:val="18"/>
        </w:rPr>
        <w:t>ara 43, referring to Recital 27 of the Directive.</w:t>
      </w:r>
    </w:p>
  </w:footnote>
  <w:footnote w:id="64">
    <w:p w14:paraId="00000065" w14:textId="2269A0A6"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w:t>
      </w:r>
      <w:r w:rsidR="00E03765" w:rsidRPr="00CF5CA3">
        <w:rPr>
          <w:rFonts w:ascii="Times New Roman" w:eastAsia="Times New Roman" w:hAnsi="Times New Roman" w:cs="Times New Roman"/>
          <w:color w:val="000000" w:themeColor="text1"/>
          <w:sz w:val="18"/>
          <w:szCs w:val="18"/>
        </w:rPr>
        <w:t>i</w:t>
      </w:r>
      <w:r w:rsidR="00646580" w:rsidRPr="00CF5CA3">
        <w:rPr>
          <w:rFonts w:ascii="Times New Roman" w:eastAsia="Times New Roman" w:hAnsi="Times New Roman" w:cs="Times New Roman"/>
          <w:color w:val="000000" w:themeColor="text1"/>
          <w:sz w:val="18"/>
          <w:szCs w:val="18"/>
        </w:rPr>
        <w:t>bid p</w:t>
      </w:r>
      <w:r w:rsidRPr="00CF5CA3">
        <w:rPr>
          <w:rFonts w:ascii="Times New Roman" w:eastAsia="Times New Roman" w:hAnsi="Times New Roman" w:cs="Times New Roman"/>
          <w:color w:val="000000" w:themeColor="text1"/>
          <w:sz w:val="18"/>
          <w:szCs w:val="18"/>
        </w:rPr>
        <w:t>ara</w:t>
      </w:r>
      <w:r w:rsidR="00646580" w:rsidRPr="00CF5CA3">
        <w:rPr>
          <w:rFonts w:ascii="Times New Roman" w:eastAsia="Times New Roman" w:hAnsi="Times New Roman" w:cs="Times New Roman"/>
          <w:color w:val="000000" w:themeColor="text1"/>
          <w:sz w:val="18"/>
          <w:szCs w:val="18"/>
        </w:rPr>
        <w:t>s</w:t>
      </w:r>
      <w:r w:rsidRPr="00CF5CA3">
        <w:rPr>
          <w:rFonts w:ascii="Times New Roman" w:eastAsia="Times New Roman" w:hAnsi="Times New Roman" w:cs="Times New Roman"/>
          <w:color w:val="000000" w:themeColor="text1"/>
          <w:sz w:val="18"/>
          <w:szCs w:val="18"/>
        </w:rPr>
        <w:t xml:space="preserve"> 46 and 47; see also </w:t>
      </w:r>
      <w:r w:rsidRPr="00CF5CA3">
        <w:rPr>
          <w:rFonts w:ascii="Times New Roman" w:eastAsia="Book Antiqua" w:hAnsi="Times New Roman" w:cs="Times New Roman"/>
          <w:color w:val="000000" w:themeColor="text1"/>
          <w:sz w:val="18"/>
          <w:szCs w:val="18"/>
        </w:rPr>
        <w:t>Case C-266/22</w:t>
      </w:r>
      <w:r w:rsidRPr="00CF5CA3">
        <w:rPr>
          <w:rFonts w:ascii="Times New Roman" w:eastAsia="Book Antiqua" w:hAnsi="Times New Roman" w:cs="Times New Roman"/>
          <w:i/>
          <w:color w:val="000000" w:themeColor="text1"/>
          <w:sz w:val="18"/>
          <w:szCs w:val="18"/>
        </w:rPr>
        <w:t xml:space="preserve"> Qingdao</w:t>
      </w:r>
      <w:r w:rsidR="00646580" w:rsidRPr="00CF5CA3">
        <w:rPr>
          <w:rFonts w:ascii="Times New Roman" w:eastAsia="Book Antiqua" w:hAnsi="Times New Roman" w:cs="Times New Roman"/>
          <w:i/>
          <w:color w:val="000000" w:themeColor="text1"/>
          <w:sz w:val="18"/>
          <w:szCs w:val="18"/>
        </w:rPr>
        <w:t xml:space="preserve"> </w:t>
      </w:r>
      <w:r w:rsidR="00646580" w:rsidRPr="00CF5CA3">
        <w:rPr>
          <w:rFonts w:ascii="Times New Roman" w:eastAsia="Book Antiqua" w:hAnsi="Times New Roman" w:cs="Times New Roman"/>
          <w:iCs/>
          <w:color w:val="000000" w:themeColor="text1"/>
          <w:sz w:val="18"/>
          <w:szCs w:val="18"/>
        </w:rPr>
        <w:t>(n 60)</w:t>
      </w:r>
      <w:r w:rsidRPr="00CF5CA3">
        <w:rPr>
          <w:rFonts w:ascii="Times New Roman" w:eastAsia="Book Antiqua" w:hAnsi="Times New Roman" w:cs="Times New Roman"/>
          <w:i/>
          <w:color w:val="000000" w:themeColor="text1"/>
          <w:sz w:val="18"/>
          <w:szCs w:val="18"/>
        </w:rPr>
        <w:t xml:space="preserve"> </w:t>
      </w:r>
      <w:r w:rsidR="00646580" w:rsidRPr="00CF5CA3">
        <w:rPr>
          <w:rFonts w:ascii="Times New Roman" w:eastAsia="Book Antiqua" w:hAnsi="Times New Roman" w:cs="Times New Roman"/>
          <w:iCs/>
          <w:color w:val="000000" w:themeColor="text1"/>
          <w:sz w:val="18"/>
          <w:szCs w:val="18"/>
        </w:rPr>
        <w:t>para</w:t>
      </w:r>
      <w:r w:rsidRPr="00CF5CA3">
        <w:rPr>
          <w:rFonts w:ascii="Times New Roman" w:eastAsia="Book Antiqua" w:hAnsi="Times New Roman" w:cs="Times New Roman"/>
          <w:iCs/>
          <w:color w:val="000000" w:themeColor="text1"/>
          <w:sz w:val="18"/>
          <w:szCs w:val="18"/>
        </w:rPr>
        <w:t xml:space="preserve"> </w:t>
      </w:r>
      <w:r w:rsidRPr="00CF5CA3">
        <w:rPr>
          <w:rFonts w:ascii="Times New Roman" w:eastAsia="Book Antiqua" w:hAnsi="Times New Roman" w:cs="Times New Roman"/>
          <w:color w:val="000000" w:themeColor="text1"/>
          <w:sz w:val="18"/>
          <w:szCs w:val="18"/>
        </w:rPr>
        <w:t>58</w:t>
      </w:r>
      <w:r w:rsidRPr="00CF5CA3">
        <w:rPr>
          <w:rFonts w:ascii="Times New Roman" w:eastAsia="Times New Roman" w:hAnsi="Times New Roman" w:cs="Times New Roman"/>
          <w:color w:val="000000" w:themeColor="text1"/>
          <w:sz w:val="18"/>
          <w:szCs w:val="18"/>
        </w:rPr>
        <w:t>.</w:t>
      </w:r>
    </w:p>
  </w:footnote>
  <w:footnote w:id="65">
    <w:p w14:paraId="00000091" w14:textId="09C8863A"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The link between the two is stressed by C</w:t>
      </w:r>
      <w:r w:rsidR="00646580" w:rsidRPr="00CF5CA3">
        <w:rPr>
          <w:rFonts w:ascii="Times New Roman" w:eastAsia="Book Antiqua" w:hAnsi="Times New Roman" w:cs="Times New Roman"/>
          <w:color w:val="000000" w:themeColor="text1"/>
          <w:sz w:val="18"/>
          <w:szCs w:val="18"/>
        </w:rPr>
        <w:t>hristopher</w:t>
      </w:r>
      <w:r w:rsidRPr="00CF5CA3">
        <w:rPr>
          <w:rFonts w:ascii="Times New Roman" w:eastAsia="Book Antiqua" w:hAnsi="Times New Roman" w:cs="Times New Roman"/>
          <w:color w:val="000000" w:themeColor="text1"/>
          <w:sz w:val="18"/>
          <w:szCs w:val="18"/>
        </w:rPr>
        <w:t xml:space="preserve"> Bovis, ‘Editorial’ </w:t>
      </w:r>
      <w:r w:rsidR="00646580" w:rsidRPr="00CF5CA3">
        <w:rPr>
          <w:rFonts w:ascii="Times New Roman" w:eastAsia="Book Antiqua" w:hAnsi="Times New Roman" w:cs="Times New Roman"/>
          <w:color w:val="000000" w:themeColor="text1"/>
          <w:sz w:val="18"/>
          <w:szCs w:val="18"/>
        </w:rPr>
        <w:t>(2024) 4</w:t>
      </w:r>
      <w:r w:rsidR="00646580" w:rsidRPr="00CF5CA3">
        <w:rPr>
          <w:rFonts w:ascii="Times New Roman" w:eastAsia="Book Antiqua" w:hAnsi="Times New Roman" w:cs="Times New Roman"/>
          <w:iCs/>
          <w:color w:val="000000" w:themeColor="text1"/>
          <w:sz w:val="18"/>
          <w:szCs w:val="18"/>
        </w:rPr>
        <w:t xml:space="preserve"> </w:t>
      </w:r>
      <w:r w:rsidRPr="00CF5CA3">
        <w:rPr>
          <w:rFonts w:ascii="Times New Roman" w:eastAsia="Book Antiqua" w:hAnsi="Times New Roman" w:cs="Times New Roman"/>
          <w:iCs/>
          <w:color w:val="000000" w:themeColor="text1"/>
          <w:sz w:val="18"/>
          <w:szCs w:val="18"/>
        </w:rPr>
        <w:t xml:space="preserve">EPPPL </w:t>
      </w:r>
      <w:r w:rsidRPr="00CF5CA3">
        <w:rPr>
          <w:rFonts w:ascii="Times New Roman" w:eastAsia="Book Antiqua" w:hAnsi="Times New Roman" w:cs="Times New Roman"/>
          <w:color w:val="000000" w:themeColor="text1"/>
          <w:sz w:val="18"/>
          <w:szCs w:val="18"/>
        </w:rPr>
        <w:t>229.</w:t>
      </w:r>
    </w:p>
  </w:footnote>
  <w:footnote w:id="66">
    <w:p w14:paraId="00000066" w14:textId="782A3F2E"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w:t>
      </w:r>
      <w:r w:rsidR="00646580" w:rsidRPr="00CF5CA3">
        <w:rPr>
          <w:rFonts w:ascii="Times New Roman" w:eastAsia="Book Antiqua" w:hAnsi="Times New Roman" w:cs="Times New Roman"/>
          <w:color w:val="000000" w:themeColor="text1"/>
          <w:sz w:val="18"/>
          <w:szCs w:val="18"/>
        </w:rPr>
        <w:t xml:space="preserve">Case C‑652/22 </w:t>
      </w:r>
      <w:r w:rsidR="00646580" w:rsidRPr="00CF5CA3">
        <w:rPr>
          <w:rFonts w:ascii="Times New Roman" w:eastAsia="Book Antiqua" w:hAnsi="Times New Roman" w:cs="Times New Roman"/>
          <w:i/>
          <w:iCs/>
          <w:color w:val="000000" w:themeColor="text1"/>
          <w:sz w:val="18"/>
          <w:szCs w:val="18"/>
        </w:rPr>
        <w:t xml:space="preserve">Kolin </w:t>
      </w:r>
      <w:r w:rsidR="00646580" w:rsidRPr="00CF5CA3">
        <w:rPr>
          <w:rFonts w:ascii="Times New Roman" w:eastAsia="Book Antiqua" w:hAnsi="Times New Roman" w:cs="Times New Roman"/>
          <w:color w:val="000000" w:themeColor="text1"/>
          <w:sz w:val="18"/>
          <w:szCs w:val="18"/>
        </w:rPr>
        <w:t xml:space="preserve">(n 59) para </w:t>
      </w:r>
      <w:r w:rsidRPr="00CF5CA3">
        <w:rPr>
          <w:rFonts w:ascii="Times New Roman" w:eastAsia="Times New Roman" w:hAnsi="Times New Roman" w:cs="Times New Roman"/>
          <w:color w:val="000000" w:themeColor="text1"/>
          <w:sz w:val="18"/>
          <w:szCs w:val="18"/>
        </w:rPr>
        <w:t>49</w:t>
      </w:r>
      <w:r w:rsidR="004D3267" w:rsidRPr="00CF5CA3">
        <w:rPr>
          <w:rFonts w:ascii="Times New Roman" w:eastAsia="Times New Roman" w:hAnsi="Times New Roman" w:cs="Times New Roman"/>
          <w:color w:val="000000" w:themeColor="text1"/>
          <w:sz w:val="18"/>
          <w:szCs w:val="18"/>
        </w:rPr>
        <w:t>; see</w:t>
      </w:r>
      <w:r w:rsidR="004D3267" w:rsidRPr="00CF5CA3">
        <w:rPr>
          <w:rFonts w:ascii="Times New Roman" w:eastAsia="Book Antiqua" w:hAnsi="Times New Roman" w:cs="Times New Roman"/>
          <w:color w:val="000000" w:themeColor="text1"/>
          <w:sz w:val="18"/>
          <w:szCs w:val="18"/>
        </w:rPr>
        <w:t xml:space="preserve"> Bovis</w:t>
      </w:r>
      <w:r w:rsidR="00646580" w:rsidRPr="00CF5CA3">
        <w:rPr>
          <w:rFonts w:ascii="Times New Roman" w:eastAsia="Book Antiqua" w:hAnsi="Times New Roman" w:cs="Times New Roman"/>
          <w:color w:val="000000" w:themeColor="text1"/>
          <w:sz w:val="18"/>
          <w:szCs w:val="18"/>
        </w:rPr>
        <w:t xml:space="preserve"> (n 63)</w:t>
      </w:r>
      <w:r w:rsidR="004D3267" w:rsidRPr="00CF5CA3">
        <w:rPr>
          <w:rFonts w:ascii="Times New Roman" w:eastAsia="Book Antiqua" w:hAnsi="Times New Roman" w:cs="Times New Roman"/>
          <w:color w:val="000000" w:themeColor="text1"/>
          <w:sz w:val="18"/>
          <w:szCs w:val="18"/>
        </w:rPr>
        <w:t>,</w:t>
      </w:r>
      <w:r w:rsidR="00646580" w:rsidRPr="00CF5CA3">
        <w:rPr>
          <w:rFonts w:ascii="Times New Roman" w:eastAsia="Book Antiqua" w:hAnsi="Times New Roman" w:cs="Times New Roman"/>
          <w:color w:val="000000" w:themeColor="text1"/>
          <w:sz w:val="18"/>
          <w:szCs w:val="18"/>
        </w:rPr>
        <w:t xml:space="preserve"> </w:t>
      </w:r>
      <w:r w:rsidR="004D3267" w:rsidRPr="00CF5CA3">
        <w:rPr>
          <w:rFonts w:ascii="Times New Roman" w:eastAsia="Book Antiqua" w:hAnsi="Times New Roman" w:cs="Times New Roman"/>
          <w:color w:val="000000" w:themeColor="text1"/>
          <w:sz w:val="18"/>
          <w:szCs w:val="18"/>
        </w:rPr>
        <w:t>230</w:t>
      </w:r>
      <w:r w:rsidRPr="00CF5CA3">
        <w:rPr>
          <w:rFonts w:ascii="Times New Roman" w:eastAsia="Times New Roman" w:hAnsi="Times New Roman" w:cs="Times New Roman"/>
          <w:color w:val="000000" w:themeColor="text1"/>
          <w:sz w:val="18"/>
          <w:szCs w:val="18"/>
        </w:rPr>
        <w:t>.</w:t>
      </w:r>
    </w:p>
  </w:footnote>
  <w:footnote w:id="67">
    <w:p w14:paraId="5906CEC3" w14:textId="5E1A8F78" w:rsidR="00D55BB6" w:rsidRPr="00CF5CA3" w:rsidRDefault="00D55BB6">
      <w:pPr>
        <w:pStyle w:val="Testonotaapidipagina"/>
        <w:rPr>
          <w:rFonts w:ascii="Times New Roman" w:hAnsi="Times New Roman" w:cs="Times New Roman"/>
          <w:color w:val="000000" w:themeColor="text1"/>
          <w:sz w:val="18"/>
          <w:szCs w:val="18"/>
          <w:lang w:val="en-US"/>
        </w:rPr>
      </w:pPr>
      <w:r w:rsidRPr="00CF5CA3">
        <w:rPr>
          <w:rStyle w:val="Rimandonotaapidipagina"/>
          <w:rFonts w:ascii="Times New Roman" w:hAnsi="Times New Roman" w:cs="Times New Roman"/>
          <w:color w:val="000000" w:themeColor="text1"/>
          <w:sz w:val="18"/>
          <w:szCs w:val="18"/>
        </w:rPr>
        <w:footnoteRef/>
      </w:r>
      <w:r w:rsidRPr="00CF5CA3">
        <w:rPr>
          <w:rFonts w:ascii="Times New Roman" w:hAnsi="Times New Roman" w:cs="Times New Roman"/>
          <w:color w:val="000000" w:themeColor="text1"/>
          <w:sz w:val="18"/>
          <w:szCs w:val="18"/>
        </w:rPr>
        <w:t xml:space="preserve"> </w:t>
      </w:r>
      <w:r w:rsidRPr="00CF5CA3">
        <w:rPr>
          <w:rFonts w:ascii="Times New Roman" w:hAnsi="Times New Roman" w:cs="Times New Roman"/>
          <w:color w:val="000000" w:themeColor="text1"/>
          <w:sz w:val="18"/>
          <w:szCs w:val="18"/>
          <w:lang w:val="en-US"/>
        </w:rPr>
        <w:t xml:space="preserve">Opinion 2/15 </w:t>
      </w:r>
      <w:r w:rsidRPr="00CF5CA3">
        <w:rPr>
          <w:rFonts w:ascii="Times New Roman" w:hAnsi="Times New Roman" w:cs="Times New Roman"/>
          <w:i/>
          <w:iCs/>
          <w:color w:val="000000" w:themeColor="text1"/>
          <w:sz w:val="18"/>
          <w:szCs w:val="18"/>
          <w:lang w:val="en-US"/>
        </w:rPr>
        <w:t>(EU-Singapore Free Trade Agreement)</w:t>
      </w:r>
      <w:r w:rsidRPr="00CF5CA3">
        <w:rPr>
          <w:rFonts w:ascii="Times New Roman" w:hAnsi="Times New Roman" w:cs="Times New Roman"/>
          <w:color w:val="000000" w:themeColor="text1"/>
          <w:sz w:val="18"/>
          <w:szCs w:val="18"/>
          <w:lang w:val="en-US"/>
        </w:rPr>
        <w:t xml:space="preserve"> ECLI:EU:</w:t>
      </w:r>
      <w:proofErr w:type="gramStart"/>
      <w:r w:rsidRPr="00CF5CA3">
        <w:rPr>
          <w:rFonts w:ascii="Times New Roman" w:hAnsi="Times New Roman" w:cs="Times New Roman"/>
          <w:color w:val="000000" w:themeColor="text1"/>
          <w:sz w:val="18"/>
          <w:szCs w:val="18"/>
          <w:lang w:val="en-US"/>
        </w:rPr>
        <w:t>C:2017:376</w:t>
      </w:r>
      <w:proofErr w:type="gramEnd"/>
      <w:r w:rsidRPr="00CF5CA3">
        <w:rPr>
          <w:rFonts w:ascii="Times New Roman" w:hAnsi="Times New Roman" w:cs="Times New Roman"/>
          <w:color w:val="000000" w:themeColor="text1"/>
          <w:sz w:val="18"/>
          <w:szCs w:val="18"/>
          <w:lang w:val="en-US"/>
        </w:rPr>
        <w:t>.</w:t>
      </w:r>
    </w:p>
  </w:footnote>
  <w:footnote w:id="68">
    <w:p w14:paraId="00000068" w14:textId="5C07C871" w:rsidR="00706BDF" w:rsidRPr="00324304" w:rsidRDefault="001F7452" w:rsidP="00AA37E7">
      <w:pPr>
        <w:spacing w:after="0" w:line="240" w:lineRule="auto"/>
        <w:jc w:val="both"/>
        <w:rPr>
          <w:rFonts w:ascii="Times New Roman" w:eastAsia="Times New Roman" w:hAnsi="Times New Roman" w:cs="Times New Roman"/>
          <w:color w:val="000000" w:themeColor="text1"/>
          <w:sz w:val="18"/>
          <w:szCs w:val="18"/>
          <w:lang w:val="es-ES"/>
        </w:rPr>
      </w:pPr>
      <w:r w:rsidRPr="00CF5CA3">
        <w:rPr>
          <w:rFonts w:ascii="Times New Roman" w:hAnsi="Times New Roman" w:cs="Times New Roman"/>
          <w:color w:val="000000" w:themeColor="text1"/>
          <w:sz w:val="18"/>
          <w:szCs w:val="18"/>
          <w:vertAlign w:val="superscript"/>
        </w:rPr>
        <w:footnoteRef/>
      </w:r>
      <w:r w:rsidRPr="00324304">
        <w:rPr>
          <w:rFonts w:ascii="Times New Roman" w:eastAsia="Times New Roman" w:hAnsi="Times New Roman" w:cs="Times New Roman"/>
          <w:color w:val="000000" w:themeColor="text1"/>
          <w:sz w:val="18"/>
          <w:szCs w:val="18"/>
          <w:lang w:val="es-ES"/>
        </w:rPr>
        <w:t xml:space="preserve"> </w:t>
      </w:r>
      <w:proofErr w:type="spellStart"/>
      <w:r w:rsidR="00646580" w:rsidRPr="00324304">
        <w:rPr>
          <w:rFonts w:ascii="Times New Roman" w:eastAsia="Times New Roman" w:hAnsi="Times New Roman" w:cs="Times New Roman"/>
          <w:color w:val="000000" w:themeColor="text1"/>
          <w:sz w:val="18"/>
          <w:szCs w:val="18"/>
          <w:lang w:val="es-ES"/>
        </w:rPr>
        <w:t>ibid</w:t>
      </w:r>
      <w:proofErr w:type="spellEnd"/>
      <w:r w:rsidR="00646580" w:rsidRPr="00324304">
        <w:rPr>
          <w:rFonts w:ascii="Times New Roman" w:eastAsia="Times New Roman" w:hAnsi="Times New Roman" w:cs="Times New Roman"/>
          <w:color w:val="000000" w:themeColor="text1"/>
          <w:sz w:val="18"/>
          <w:szCs w:val="18"/>
          <w:lang w:val="es-ES"/>
        </w:rPr>
        <w:t xml:space="preserve"> para</w:t>
      </w:r>
      <w:r w:rsidRPr="00324304">
        <w:rPr>
          <w:rFonts w:ascii="Times New Roman" w:eastAsia="Times New Roman" w:hAnsi="Times New Roman" w:cs="Times New Roman"/>
          <w:color w:val="000000" w:themeColor="text1"/>
          <w:sz w:val="18"/>
          <w:szCs w:val="18"/>
          <w:lang w:val="es-ES"/>
        </w:rPr>
        <w:t xml:space="preserve"> 57.</w:t>
      </w:r>
    </w:p>
  </w:footnote>
  <w:footnote w:id="69">
    <w:p w14:paraId="00000069" w14:textId="1B49376C" w:rsidR="00706BDF" w:rsidRPr="00324304" w:rsidRDefault="001F7452" w:rsidP="00AA37E7">
      <w:pPr>
        <w:spacing w:after="0" w:line="240" w:lineRule="auto"/>
        <w:jc w:val="both"/>
        <w:rPr>
          <w:rFonts w:ascii="Times New Roman" w:hAnsi="Times New Roman" w:cs="Times New Roman"/>
          <w:color w:val="000000" w:themeColor="text1"/>
          <w:sz w:val="18"/>
          <w:szCs w:val="18"/>
          <w:lang w:val="es-ES"/>
        </w:rPr>
      </w:pPr>
      <w:r w:rsidRPr="00CF5CA3">
        <w:rPr>
          <w:rFonts w:ascii="Times New Roman" w:hAnsi="Times New Roman" w:cs="Times New Roman"/>
          <w:color w:val="000000" w:themeColor="text1"/>
          <w:sz w:val="18"/>
          <w:szCs w:val="18"/>
          <w:vertAlign w:val="superscript"/>
        </w:rPr>
        <w:footnoteRef/>
      </w:r>
      <w:r w:rsidRPr="00324304">
        <w:rPr>
          <w:rFonts w:ascii="Times New Roman" w:hAnsi="Times New Roman" w:cs="Times New Roman"/>
          <w:color w:val="000000" w:themeColor="text1"/>
          <w:sz w:val="18"/>
          <w:szCs w:val="18"/>
          <w:lang w:val="es-ES"/>
        </w:rPr>
        <w:t xml:space="preserve"> </w:t>
      </w:r>
      <w:proofErr w:type="spellStart"/>
      <w:r w:rsidR="00646580" w:rsidRPr="00324304">
        <w:rPr>
          <w:rFonts w:ascii="Times New Roman" w:eastAsia="Times New Roman" w:hAnsi="Times New Roman" w:cs="Times New Roman"/>
          <w:color w:val="000000" w:themeColor="text1"/>
          <w:sz w:val="18"/>
          <w:szCs w:val="18"/>
          <w:lang w:val="es-ES"/>
        </w:rPr>
        <w:t>ibid</w:t>
      </w:r>
      <w:proofErr w:type="spellEnd"/>
      <w:r w:rsidR="00646580" w:rsidRPr="00324304">
        <w:rPr>
          <w:rFonts w:ascii="Times New Roman" w:eastAsia="Times New Roman" w:hAnsi="Times New Roman" w:cs="Times New Roman"/>
          <w:color w:val="000000" w:themeColor="text1"/>
          <w:sz w:val="18"/>
          <w:szCs w:val="18"/>
          <w:lang w:val="es-ES"/>
        </w:rPr>
        <w:t xml:space="preserve"> para</w:t>
      </w:r>
      <w:r w:rsidRPr="00324304">
        <w:rPr>
          <w:rFonts w:ascii="Times New Roman" w:eastAsia="Times New Roman" w:hAnsi="Times New Roman" w:cs="Times New Roman"/>
          <w:color w:val="000000" w:themeColor="text1"/>
          <w:sz w:val="18"/>
          <w:szCs w:val="18"/>
          <w:lang w:val="es-ES"/>
        </w:rPr>
        <w:t xml:space="preserve"> 59.</w:t>
      </w:r>
    </w:p>
  </w:footnote>
  <w:footnote w:id="70">
    <w:p w14:paraId="000000B0" w14:textId="7ECAFCB0" w:rsidR="00706BDF" w:rsidRPr="00324304" w:rsidRDefault="001F7452" w:rsidP="00AA37E7">
      <w:pPr>
        <w:spacing w:after="0" w:line="240" w:lineRule="auto"/>
        <w:jc w:val="both"/>
        <w:rPr>
          <w:rFonts w:ascii="Times New Roman" w:hAnsi="Times New Roman" w:cs="Times New Roman"/>
          <w:color w:val="000000" w:themeColor="text1"/>
          <w:sz w:val="18"/>
          <w:szCs w:val="18"/>
          <w:lang w:val="es-ES"/>
        </w:rPr>
      </w:pPr>
      <w:r w:rsidRPr="00CF5CA3">
        <w:rPr>
          <w:rFonts w:ascii="Times New Roman" w:hAnsi="Times New Roman" w:cs="Times New Roman"/>
          <w:color w:val="000000" w:themeColor="text1"/>
          <w:sz w:val="18"/>
          <w:szCs w:val="18"/>
          <w:vertAlign w:val="superscript"/>
        </w:rPr>
        <w:footnoteRef/>
      </w:r>
      <w:r w:rsidRPr="00324304">
        <w:rPr>
          <w:rFonts w:ascii="Times New Roman" w:hAnsi="Times New Roman" w:cs="Times New Roman"/>
          <w:color w:val="000000" w:themeColor="text1"/>
          <w:sz w:val="18"/>
          <w:szCs w:val="18"/>
          <w:lang w:val="es-ES"/>
        </w:rPr>
        <w:t xml:space="preserve"> </w:t>
      </w:r>
      <w:r w:rsidRPr="00324304">
        <w:rPr>
          <w:rFonts w:ascii="Times New Roman" w:eastAsia="Book Antiqua" w:hAnsi="Times New Roman" w:cs="Times New Roman"/>
          <w:color w:val="000000" w:themeColor="text1"/>
          <w:sz w:val="18"/>
          <w:szCs w:val="18"/>
          <w:lang w:val="es-ES"/>
        </w:rPr>
        <w:t xml:space="preserve">Case C-266/22 </w:t>
      </w:r>
      <w:r w:rsidRPr="00324304">
        <w:rPr>
          <w:rFonts w:ascii="Times New Roman" w:eastAsia="Book Antiqua" w:hAnsi="Times New Roman" w:cs="Times New Roman"/>
          <w:i/>
          <w:color w:val="000000" w:themeColor="text1"/>
          <w:sz w:val="18"/>
          <w:szCs w:val="18"/>
          <w:lang w:val="es-ES"/>
        </w:rPr>
        <w:t xml:space="preserve">Qingdao </w:t>
      </w:r>
      <w:r w:rsidR="00646580" w:rsidRPr="00324304">
        <w:rPr>
          <w:rFonts w:ascii="Times New Roman" w:eastAsia="Book Antiqua" w:hAnsi="Times New Roman" w:cs="Times New Roman"/>
          <w:iCs/>
          <w:color w:val="000000" w:themeColor="text1"/>
          <w:sz w:val="18"/>
          <w:szCs w:val="18"/>
          <w:lang w:val="es-ES"/>
        </w:rPr>
        <w:t xml:space="preserve">(n 60) </w:t>
      </w:r>
      <w:r w:rsidRPr="00324304">
        <w:rPr>
          <w:rFonts w:ascii="Times New Roman" w:eastAsia="Book Antiqua" w:hAnsi="Times New Roman" w:cs="Times New Roman"/>
          <w:color w:val="000000" w:themeColor="text1"/>
          <w:sz w:val="18"/>
          <w:szCs w:val="18"/>
          <w:lang w:val="es-ES"/>
        </w:rPr>
        <w:t>para</w:t>
      </w:r>
      <w:r w:rsidR="00646580" w:rsidRPr="00324304">
        <w:rPr>
          <w:rFonts w:ascii="Times New Roman" w:eastAsia="Book Antiqua" w:hAnsi="Times New Roman" w:cs="Times New Roman"/>
          <w:color w:val="000000" w:themeColor="text1"/>
          <w:sz w:val="18"/>
          <w:szCs w:val="18"/>
          <w:lang w:val="es-ES"/>
        </w:rPr>
        <w:t>s</w:t>
      </w:r>
      <w:r w:rsidRPr="00324304">
        <w:rPr>
          <w:rFonts w:ascii="Times New Roman" w:eastAsia="Book Antiqua" w:hAnsi="Times New Roman" w:cs="Times New Roman"/>
          <w:color w:val="000000" w:themeColor="text1"/>
          <w:sz w:val="18"/>
          <w:szCs w:val="18"/>
          <w:lang w:val="es-ES"/>
        </w:rPr>
        <w:t xml:space="preserve"> 62 and 64.</w:t>
      </w:r>
    </w:p>
  </w:footnote>
  <w:footnote w:id="71">
    <w:p w14:paraId="00000093" w14:textId="2C0E30BC"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Bovis</w:t>
      </w:r>
      <w:r w:rsidR="00646580" w:rsidRPr="00CF5CA3">
        <w:rPr>
          <w:rFonts w:ascii="Times New Roman" w:eastAsia="Book Antiqua" w:hAnsi="Times New Roman" w:cs="Times New Roman"/>
          <w:color w:val="000000" w:themeColor="text1"/>
          <w:sz w:val="18"/>
          <w:szCs w:val="18"/>
        </w:rPr>
        <w:t xml:space="preserve"> (n 63) </w:t>
      </w:r>
      <w:r w:rsidRPr="00CF5CA3">
        <w:rPr>
          <w:rFonts w:ascii="Times New Roman" w:eastAsia="Book Antiqua" w:hAnsi="Times New Roman" w:cs="Times New Roman"/>
          <w:color w:val="000000" w:themeColor="text1"/>
          <w:sz w:val="18"/>
          <w:szCs w:val="18"/>
        </w:rPr>
        <w:t>230.</w:t>
      </w:r>
    </w:p>
  </w:footnote>
  <w:footnote w:id="72">
    <w:p w14:paraId="0000006A" w14:textId="57FC21AA"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w:t>
      </w:r>
      <w:r w:rsidRPr="00CF5CA3">
        <w:rPr>
          <w:rFonts w:ascii="Times New Roman" w:eastAsia="Book Antiqua" w:hAnsi="Times New Roman" w:cs="Times New Roman"/>
          <w:color w:val="000000" w:themeColor="text1"/>
          <w:sz w:val="18"/>
          <w:szCs w:val="18"/>
        </w:rPr>
        <w:t xml:space="preserve">Case C‑652/22 </w:t>
      </w:r>
      <w:r w:rsidRPr="00CF5CA3">
        <w:rPr>
          <w:rFonts w:ascii="Times New Roman" w:eastAsia="Book Antiqua" w:hAnsi="Times New Roman" w:cs="Times New Roman"/>
          <w:i/>
          <w:color w:val="000000" w:themeColor="text1"/>
          <w:sz w:val="18"/>
          <w:szCs w:val="18"/>
        </w:rPr>
        <w:t xml:space="preserve">Kolin </w:t>
      </w:r>
      <w:r w:rsidR="00646580" w:rsidRPr="00CF5CA3">
        <w:rPr>
          <w:rFonts w:ascii="Times New Roman" w:eastAsia="Book Antiqua" w:hAnsi="Times New Roman" w:cs="Times New Roman"/>
          <w:iCs/>
          <w:color w:val="000000" w:themeColor="text1"/>
          <w:sz w:val="18"/>
          <w:szCs w:val="18"/>
        </w:rPr>
        <w:t>(n 59)</w:t>
      </w:r>
      <w:r w:rsidR="00646580" w:rsidRPr="00CF5CA3">
        <w:rPr>
          <w:rFonts w:ascii="Times New Roman" w:eastAsia="Book Antiqua" w:hAnsi="Times New Roman" w:cs="Times New Roman"/>
          <w:i/>
          <w:color w:val="000000" w:themeColor="text1"/>
          <w:sz w:val="18"/>
          <w:szCs w:val="18"/>
        </w:rPr>
        <w:t xml:space="preserve"> </w:t>
      </w:r>
      <w:r w:rsidRPr="00CF5CA3">
        <w:rPr>
          <w:rFonts w:ascii="Times New Roman" w:eastAsia="Book Antiqua" w:hAnsi="Times New Roman" w:cs="Times New Roman"/>
          <w:color w:val="000000" w:themeColor="text1"/>
          <w:sz w:val="18"/>
          <w:szCs w:val="18"/>
        </w:rPr>
        <w:t>p</w:t>
      </w:r>
      <w:r w:rsidRPr="00CF5CA3">
        <w:rPr>
          <w:rFonts w:ascii="Times New Roman" w:eastAsia="Times New Roman" w:hAnsi="Times New Roman" w:cs="Times New Roman"/>
          <w:color w:val="000000" w:themeColor="text1"/>
          <w:sz w:val="18"/>
          <w:szCs w:val="18"/>
        </w:rPr>
        <w:t xml:space="preserve">ara 63; see also </w:t>
      </w:r>
      <w:r w:rsidRPr="00CF5CA3">
        <w:rPr>
          <w:rFonts w:ascii="Times New Roman" w:eastAsia="Book Antiqua" w:hAnsi="Times New Roman" w:cs="Times New Roman"/>
          <w:color w:val="000000" w:themeColor="text1"/>
          <w:sz w:val="18"/>
          <w:szCs w:val="18"/>
        </w:rPr>
        <w:t>Case C-266/22</w:t>
      </w:r>
      <w:r w:rsidRPr="00CF5CA3">
        <w:rPr>
          <w:rFonts w:ascii="Times New Roman" w:eastAsia="Book Antiqua" w:hAnsi="Times New Roman" w:cs="Times New Roman"/>
          <w:i/>
          <w:color w:val="000000" w:themeColor="text1"/>
          <w:sz w:val="18"/>
          <w:szCs w:val="18"/>
        </w:rPr>
        <w:t xml:space="preserve"> Qingdao</w:t>
      </w:r>
      <w:r w:rsidR="00646580" w:rsidRPr="00CF5CA3">
        <w:rPr>
          <w:rFonts w:ascii="Times New Roman" w:eastAsia="Book Antiqua" w:hAnsi="Times New Roman" w:cs="Times New Roman"/>
          <w:i/>
          <w:color w:val="000000" w:themeColor="text1"/>
          <w:sz w:val="18"/>
          <w:szCs w:val="18"/>
        </w:rPr>
        <w:t xml:space="preserve"> </w:t>
      </w:r>
      <w:r w:rsidR="00646580" w:rsidRPr="00CF5CA3">
        <w:rPr>
          <w:rFonts w:ascii="Times New Roman" w:eastAsia="Book Antiqua" w:hAnsi="Times New Roman" w:cs="Times New Roman"/>
          <w:color w:val="000000" w:themeColor="text1"/>
          <w:sz w:val="18"/>
          <w:szCs w:val="18"/>
        </w:rPr>
        <w:t xml:space="preserve">(n 60) </w:t>
      </w:r>
      <w:r w:rsidRPr="00CF5CA3">
        <w:rPr>
          <w:rFonts w:ascii="Times New Roman" w:eastAsia="Book Antiqua" w:hAnsi="Times New Roman" w:cs="Times New Roman"/>
          <w:color w:val="000000" w:themeColor="text1"/>
          <w:sz w:val="18"/>
          <w:szCs w:val="18"/>
        </w:rPr>
        <w:t>para 63.</w:t>
      </w:r>
    </w:p>
  </w:footnote>
  <w:footnote w:id="73">
    <w:p w14:paraId="0000006B" w14:textId="1302FA7E"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w:t>
      </w:r>
      <w:r w:rsidR="00646580" w:rsidRPr="00CF5CA3">
        <w:rPr>
          <w:rFonts w:ascii="Times New Roman" w:eastAsia="Times New Roman" w:hAnsi="Times New Roman" w:cs="Times New Roman"/>
          <w:color w:val="000000" w:themeColor="text1"/>
          <w:sz w:val="18"/>
          <w:szCs w:val="18"/>
        </w:rPr>
        <w:t>ibid para</w:t>
      </w:r>
      <w:r w:rsidRPr="00CF5CA3">
        <w:rPr>
          <w:rFonts w:ascii="Times New Roman" w:eastAsia="Times New Roman" w:hAnsi="Times New Roman" w:cs="Times New Roman"/>
          <w:color w:val="000000" w:themeColor="text1"/>
          <w:sz w:val="18"/>
          <w:szCs w:val="18"/>
        </w:rPr>
        <w:t xml:space="preserve"> 64.</w:t>
      </w:r>
    </w:p>
  </w:footnote>
  <w:footnote w:id="74">
    <w:p w14:paraId="0000006F" w14:textId="03AB38C4"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w:t>
      </w:r>
      <w:r w:rsidR="00646580" w:rsidRPr="00CF5CA3">
        <w:rPr>
          <w:rFonts w:ascii="Times New Roman" w:eastAsia="Times New Roman" w:hAnsi="Times New Roman" w:cs="Times New Roman"/>
          <w:color w:val="000000" w:themeColor="text1"/>
          <w:sz w:val="18"/>
          <w:szCs w:val="18"/>
        </w:rPr>
        <w:t>ibid p</w:t>
      </w:r>
      <w:r w:rsidRPr="00CF5CA3">
        <w:rPr>
          <w:rFonts w:ascii="Times New Roman" w:eastAsia="Times New Roman" w:hAnsi="Times New Roman" w:cs="Times New Roman"/>
          <w:color w:val="000000" w:themeColor="text1"/>
          <w:sz w:val="18"/>
          <w:szCs w:val="18"/>
        </w:rPr>
        <w:t>ara 65; this is repeated in Recital 67 referring again to “national provisions transposing the rules contained in Directive 2014/25”.</w:t>
      </w:r>
    </w:p>
  </w:footnote>
  <w:footnote w:id="75">
    <w:p w14:paraId="00000070" w14:textId="11001BB3"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w:t>
      </w:r>
      <w:r w:rsidR="00646580" w:rsidRPr="00CF5CA3">
        <w:rPr>
          <w:rFonts w:ascii="Times New Roman" w:eastAsia="Times New Roman" w:hAnsi="Times New Roman" w:cs="Times New Roman"/>
          <w:color w:val="000000" w:themeColor="text1"/>
          <w:sz w:val="18"/>
          <w:szCs w:val="18"/>
        </w:rPr>
        <w:t xml:space="preserve"> ibid p</w:t>
      </w:r>
      <w:r w:rsidRPr="00CF5CA3">
        <w:rPr>
          <w:rFonts w:ascii="Times New Roman" w:eastAsia="Times New Roman" w:hAnsi="Times New Roman" w:cs="Times New Roman"/>
          <w:color w:val="000000" w:themeColor="text1"/>
          <w:sz w:val="18"/>
          <w:szCs w:val="18"/>
        </w:rPr>
        <w:t>ara 66.</w:t>
      </w:r>
    </w:p>
  </w:footnote>
  <w:footnote w:id="76">
    <w:p w14:paraId="0000009F" w14:textId="680E35DB"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See C</w:t>
      </w:r>
      <w:r w:rsidR="00646580" w:rsidRPr="00CF5CA3">
        <w:rPr>
          <w:rFonts w:ascii="Times New Roman" w:eastAsia="Times New Roman" w:hAnsi="Times New Roman" w:cs="Times New Roman"/>
          <w:color w:val="000000" w:themeColor="text1"/>
          <w:sz w:val="18"/>
          <w:szCs w:val="18"/>
        </w:rPr>
        <w:t xml:space="preserve">arina </w:t>
      </w:r>
      <w:r w:rsidRPr="00CF5CA3">
        <w:rPr>
          <w:rFonts w:ascii="Times New Roman" w:eastAsia="Times New Roman" w:hAnsi="Times New Roman" w:cs="Times New Roman"/>
          <w:color w:val="000000" w:themeColor="text1"/>
          <w:sz w:val="18"/>
          <w:szCs w:val="18"/>
        </w:rPr>
        <w:t xml:space="preserve">Risvig Hamer, ‘Comment to Article 18(1)’ in Caranta &amp; Sanchez </w:t>
      </w:r>
      <w:proofErr w:type="spellStart"/>
      <w:r w:rsidRPr="00CF5CA3">
        <w:rPr>
          <w:rFonts w:ascii="Times New Roman" w:eastAsia="Times New Roman" w:hAnsi="Times New Roman" w:cs="Times New Roman"/>
          <w:color w:val="000000" w:themeColor="text1"/>
          <w:sz w:val="18"/>
          <w:szCs w:val="18"/>
        </w:rPr>
        <w:t>Graells</w:t>
      </w:r>
      <w:proofErr w:type="spellEnd"/>
      <w:r w:rsidR="00E921E5" w:rsidRPr="00CF5CA3">
        <w:rPr>
          <w:rFonts w:ascii="Times New Roman" w:eastAsia="Times New Roman" w:hAnsi="Times New Roman" w:cs="Times New Roman"/>
          <w:color w:val="000000" w:themeColor="text1"/>
          <w:sz w:val="18"/>
          <w:szCs w:val="18"/>
        </w:rPr>
        <w:t xml:space="preserve"> (n 58),</w:t>
      </w:r>
      <w:r w:rsidRPr="00CF5CA3">
        <w:rPr>
          <w:rFonts w:ascii="Times New Roman" w:eastAsia="Times New Roman" w:hAnsi="Times New Roman" w:cs="Times New Roman"/>
          <w:color w:val="000000" w:themeColor="text1"/>
          <w:sz w:val="18"/>
          <w:szCs w:val="18"/>
        </w:rPr>
        <w:t xml:space="preserve"> 187-198.</w:t>
      </w:r>
    </w:p>
  </w:footnote>
  <w:footnote w:id="77">
    <w:p w14:paraId="00000071" w14:textId="2A46553B" w:rsidR="00706BDF" w:rsidRPr="00CF5CA3" w:rsidRDefault="001F7452"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rPr>
        <w:t xml:space="preserve"> </w:t>
      </w:r>
      <w:r w:rsidRPr="00CF5CA3">
        <w:rPr>
          <w:rFonts w:ascii="Times New Roman" w:eastAsia="Times New Roman" w:hAnsi="Times New Roman" w:cs="Times New Roman"/>
          <w:color w:val="000000" w:themeColor="text1"/>
          <w:sz w:val="18"/>
          <w:szCs w:val="18"/>
        </w:rPr>
        <w:t>See the chapters collected by R</w:t>
      </w:r>
      <w:r w:rsidR="00646580" w:rsidRPr="00CF5CA3">
        <w:rPr>
          <w:rFonts w:ascii="Times New Roman" w:eastAsia="Times New Roman" w:hAnsi="Times New Roman" w:cs="Times New Roman"/>
          <w:color w:val="000000" w:themeColor="text1"/>
          <w:sz w:val="18"/>
          <w:szCs w:val="18"/>
        </w:rPr>
        <w:t>oberto</w:t>
      </w:r>
      <w:r w:rsidRPr="00CF5CA3">
        <w:rPr>
          <w:rFonts w:ascii="Times New Roman" w:eastAsia="Times New Roman" w:hAnsi="Times New Roman" w:cs="Times New Roman"/>
          <w:color w:val="000000" w:themeColor="text1"/>
          <w:sz w:val="18"/>
          <w:szCs w:val="18"/>
        </w:rPr>
        <w:t xml:space="preserve"> Caranta and D</w:t>
      </w:r>
      <w:r w:rsidR="00646580" w:rsidRPr="00CF5CA3">
        <w:rPr>
          <w:rFonts w:ascii="Times New Roman" w:eastAsia="Times New Roman" w:hAnsi="Times New Roman" w:cs="Times New Roman"/>
          <w:color w:val="000000" w:themeColor="text1"/>
          <w:sz w:val="18"/>
          <w:szCs w:val="18"/>
        </w:rPr>
        <w:t xml:space="preserve">acian </w:t>
      </w:r>
      <w:r w:rsidRPr="00CF5CA3">
        <w:rPr>
          <w:rFonts w:ascii="Times New Roman" w:eastAsia="Times New Roman" w:hAnsi="Times New Roman" w:cs="Times New Roman"/>
          <w:color w:val="000000" w:themeColor="text1"/>
          <w:sz w:val="18"/>
          <w:szCs w:val="18"/>
        </w:rPr>
        <w:t>C Dragos</w:t>
      </w:r>
      <w:r w:rsidR="00646580" w:rsidRPr="00CF5CA3">
        <w:rPr>
          <w:rFonts w:ascii="Times New Roman" w:eastAsia="Times New Roman" w:hAnsi="Times New Roman" w:cs="Times New Roman"/>
          <w:color w:val="000000" w:themeColor="text1"/>
          <w:sz w:val="18"/>
          <w:szCs w:val="18"/>
        </w:rPr>
        <w:t xml:space="preserve"> (eds)</w:t>
      </w:r>
      <w:r w:rsidRPr="00CF5CA3">
        <w:rPr>
          <w:rFonts w:ascii="Times New Roman" w:eastAsia="Times New Roman" w:hAnsi="Times New Roman" w:cs="Times New Roman"/>
          <w:color w:val="000000" w:themeColor="text1"/>
          <w:sz w:val="18"/>
          <w:szCs w:val="18"/>
        </w:rPr>
        <w:t xml:space="preserve">, </w:t>
      </w:r>
      <w:r w:rsidRPr="00CF5CA3">
        <w:rPr>
          <w:rFonts w:ascii="Times New Roman" w:eastAsia="Times New Roman" w:hAnsi="Times New Roman" w:cs="Times New Roman"/>
          <w:i/>
          <w:color w:val="000000" w:themeColor="text1"/>
          <w:sz w:val="18"/>
          <w:szCs w:val="18"/>
        </w:rPr>
        <w:t>Outside the EU Procurement Directives – Inside the Treaties?</w:t>
      </w:r>
      <w:r w:rsidRPr="00CF5CA3">
        <w:rPr>
          <w:rFonts w:ascii="Times New Roman" w:eastAsia="Times New Roman" w:hAnsi="Times New Roman" w:cs="Times New Roman"/>
          <w:color w:val="000000" w:themeColor="text1"/>
          <w:sz w:val="18"/>
          <w:szCs w:val="18"/>
        </w:rPr>
        <w:t xml:space="preserve"> (DJOF Publishing 2012); see also D</w:t>
      </w:r>
      <w:r w:rsidR="00646580" w:rsidRPr="00CF5CA3">
        <w:rPr>
          <w:rFonts w:ascii="Times New Roman" w:eastAsia="Times New Roman" w:hAnsi="Times New Roman" w:cs="Times New Roman"/>
          <w:color w:val="000000" w:themeColor="text1"/>
          <w:sz w:val="18"/>
          <w:szCs w:val="18"/>
        </w:rPr>
        <w:t xml:space="preserve">acian </w:t>
      </w:r>
      <w:r w:rsidRPr="00CF5CA3">
        <w:rPr>
          <w:rFonts w:ascii="Times New Roman" w:eastAsia="Times New Roman" w:hAnsi="Times New Roman" w:cs="Times New Roman"/>
          <w:color w:val="000000" w:themeColor="text1"/>
          <w:sz w:val="18"/>
          <w:szCs w:val="18"/>
        </w:rPr>
        <w:t xml:space="preserve">C Dragos </w:t>
      </w:r>
      <w:r w:rsidR="00646580" w:rsidRPr="00CF5CA3">
        <w:rPr>
          <w:rFonts w:ascii="Times New Roman" w:eastAsia="Times New Roman" w:hAnsi="Times New Roman" w:cs="Times New Roman"/>
          <w:color w:val="000000" w:themeColor="text1"/>
          <w:sz w:val="18"/>
          <w:szCs w:val="18"/>
        </w:rPr>
        <w:t>and</w:t>
      </w:r>
      <w:r w:rsidRPr="00CF5CA3">
        <w:rPr>
          <w:rFonts w:ascii="Times New Roman" w:eastAsia="Times New Roman" w:hAnsi="Times New Roman" w:cs="Times New Roman"/>
          <w:color w:val="000000" w:themeColor="text1"/>
          <w:sz w:val="18"/>
          <w:szCs w:val="18"/>
        </w:rPr>
        <w:t xml:space="preserve"> R</w:t>
      </w:r>
      <w:r w:rsidR="00646580" w:rsidRPr="00CF5CA3">
        <w:rPr>
          <w:rFonts w:ascii="Times New Roman" w:eastAsia="Times New Roman" w:hAnsi="Times New Roman" w:cs="Times New Roman"/>
          <w:color w:val="000000" w:themeColor="text1"/>
          <w:sz w:val="18"/>
          <w:szCs w:val="18"/>
        </w:rPr>
        <w:t>oxana</w:t>
      </w:r>
      <w:r w:rsidRPr="00CF5CA3">
        <w:rPr>
          <w:rFonts w:ascii="Times New Roman" w:eastAsia="Times New Roman" w:hAnsi="Times New Roman" w:cs="Times New Roman"/>
          <w:color w:val="000000" w:themeColor="text1"/>
          <w:sz w:val="18"/>
          <w:szCs w:val="18"/>
        </w:rPr>
        <w:t xml:space="preserve"> Vornicu, ‘Public Procurement below Thresholds in the European Union. EU Law Principles and National Responses’ </w:t>
      </w:r>
      <w:r w:rsidR="00646580" w:rsidRPr="00CF5CA3">
        <w:rPr>
          <w:rFonts w:ascii="Times New Roman" w:eastAsia="Times New Roman" w:hAnsi="Times New Roman" w:cs="Times New Roman"/>
          <w:color w:val="000000" w:themeColor="text1"/>
          <w:sz w:val="18"/>
          <w:szCs w:val="18"/>
        </w:rPr>
        <w:t xml:space="preserve">(2013) 3 </w:t>
      </w:r>
      <w:r w:rsidRPr="00CF5CA3">
        <w:rPr>
          <w:rFonts w:ascii="Times New Roman" w:eastAsia="Times New Roman" w:hAnsi="Times New Roman" w:cs="Times New Roman"/>
          <w:color w:val="000000" w:themeColor="text1"/>
          <w:sz w:val="18"/>
          <w:szCs w:val="18"/>
        </w:rPr>
        <w:t>EPPPL 187 ff.</w:t>
      </w:r>
    </w:p>
  </w:footnote>
  <w:footnote w:id="78">
    <w:p w14:paraId="000000A0" w14:textId="47798BBA"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R</w:t>
      </w:r>
      <w:r w:rsidR="00646580" w:rsidRPr="00CF5CA3">
        <w:rPr>
          <w:rFonts w:ascii="Times New Roman" w:eastAsia="Book Antiqua" w:hAnsi="Times New Roman" w:cs="Times New Roman"/>
          <w:color w:val="000000" w:themeColor="text1"/>
          <w:sz w:val="18"/>
          <w:szCs w:val="18"/>
        </w:rPr>
        <w:t xml:space="preserve">oberto </w:t>
      </w:r>
      <w:r w:rsidRPr="00CF5CA3">
        <w:rPr>
          <w:rFonts w:ascii="Times New Roman" w:eastAsia="Book Antiqua" w:hAnsi="Times New Roman" w:cs="Times New Roman"/>
          <w:color w:val="000000" w:themeColor="text1"/>
          <w:sz w:val="18"/>
          <w:szCs w:val="18"/>
        </w:rPr>
        <w:t xml:space="preserve">Caranta </w:t>
      </w:r>
      <w:r w:rsidR="00646580" w:rsidRPr="00CF5CA3">
        <w:rPr>
          <w:rFonts w:ascii="Times New Roman" w:eastAsia="Book Antiqua" w:hAnsi="Times New Roman" w:cs="Times New Roman"/>
          <w:color w:val="000000" w:themeColor="text1"/>
          <w:sz w:val="18"/>
          <w:szCs w:val="18"/>
        </w:rPr>
        <w:t>and</w:t>
      </w:r>
      <w:r w:rsidRPr="00CF5CA3">
        <w:rPr>
          <w:rFonts w:ascii="Times New Roman" w:eastAsia="Book Antiqua" w:hAnsi="Times New Roman" w:cs="Times New Roman"/>
          <w:color w:val="000000" w:themeColor="text1"/>
          <w:sz w:val="18"/>
          <w:szCs w:val="18"/>
        </w:rPr>
        <w:t xml:space="preserve"> </w:t>
      </w:r>
      <w:r w:rsidR="00646580" w:rsidRPr="00CF5CA3">
        <w:rPr>
          <w:rFonts w:ascii="Times New Roman" w:hAnsi="Times New Roman" w:cs="Times New Roman"/>
          <w:color w:val="000000" w:themeColor="text1"/>
          <w:sz w:val="18"/>
          <w:szCs w:val="18"/>
          <w:shd w:val="clear" w:color="auto" w:fill="FFFFFF"/>
        </w:rPr>
        <w:t>Vítězslava</w:t>
      </w:r>
      <w:r w:rsidR="00AA37E7" w:rsidRPr="00CF5CA3">
        <w:rPr>
          <w:rFonts w:ascii="Times New Roman" w:eastAsia="Book Antiqua" w:hAnsi="Times New Roman" w:cs="Times New Roman"/>
          <w:color w:val="000000" w:themeColor="text1"/>
          <w:sz w:val="18"/>
          <w:szCs w:val="18"/>
        </w:rPr>
        <w:t xml:space="preserve"> </w:t>
      </w:r>
      <w:proofErr w:type="spellStart"/>
      <w:r w:rsidR="00AA37E7" w:rsidRPr="00CF5CA3">
        <w:rPr>
          <w:rFonts w:ascii="Times New Roman" w:eastAsia="Book Antiqua" w:hAnsi="Times New Roman" w:cs="Times New Roman"/>
          <w:color w:val="000000" w:themeColor="text1"/>
          <w:sz w:val="18"/>
          <w:szCs w:val="18"/>
        </w:rPr>
        <w:t>Fričová</w:t>
      </w:r>
      <w:proofErr w:type="spellEnd"/>
      <w:r w:rsidRPr="00CF5CA3">
        <w:rPr>
          <w:rFonts w:ascii="Times New Roman" w:eastAsia="Book Antiqua" w:hAnsi="Times New Roman" w:cs="Times New Roman"/>
          <w:color w:val="000000" w:themeColor="text1"/>
          <w:sz w:val="18"/>
          <w:szCs w:val="18"/>
        </w:rPr>
        <w:t>, ‘EU public procurement and concessions law’ in M</w:t>
      </w:r>
      <w:r w:rsidR="00646580" w:rsidRPr="00CF5CA3">
        <w:rPr>
          <w:rFonts w:ascii="Times New Roman" w:eastAsia="Book Antiqua" w:hAnsi="Times New Roman" w:cs="Times New Roman"/>
          <w:color w:val="000000" w:themeColor="text1"/>
          <w:sz w:val="18"/>
          <w:szCs w:val="18"/>
        </w:rPr>
        <w:t>iroslava</w:t>
      </w:r>
      <w:r w:rsidRPr="00CF5CA3">
        <w:rPr>
          <w:rFonts w:ascii="Times New Roman" w:eastAsia="Book Antiqua" w:hAnsi="Times New Roman" w:cs="Times New Roman"/>
          <w:color w:val="000000" w:themeColor="text1"/>
          <w:sz w:val="18"/>
          <w:szCs w:val="18"/>
        </w:rPr>
        <w:t xml:space="preserve"> Scholten (ed), </w:t>
      </w:r>
      <w:r w:rsidRPr="00CF5CA3">
        <w:rPr>
          <w:rFonts w:ascii="Times New Roman" w:eastAsia="Book Antiqua" w:hAnsi="Times New Roman" w:cs="Times New Roman"/>
          <w:i/>
          <w:color w:val="000000" w:themeColor="text1"/>
          <w:sz w:val="18"/>
          <w:szCs w:val="18"/>
        </w:rPr>
        <w:t>Research Handbook on the Enforcement of EU Law</w:t>
      </w:r>
      <w:r w:rsidRPr="00CF5CA3">
        <w:rPr>
          <w:rFonts w:ascii="Times New Roman" w:eastAsia="Book Antiqua" w:hAnsi="Times New Roman" w:cs="Times New Roman"/>
          <w:color w:val="000000" w:themeColor="text1"/>
          <w:sz w:val="18"/>
          <w:szCs w:val="18"/>
        </w:rPr>
        <w:t xml:space="preserve"> (</w:t>
      </w:r>
      <w:r w:rsidR="00646580" w:rsidRPr="00CF5CA3">
        <w:rPr>
          <w:rFonts w:ascii="Times New Roman" w:eastAsia="Book Antiqua" w:hAnsi="Times New Roman" w:cs="Times New Roman"/>
          <w:color w:val="000000" w:themeColor="text1"/>
          <w:sz w:val="18"/>
          <w:szCs w:val="18"/>
        </w:rPr>
        <w:t>Edward</w:t>
      </w:r>
      <w:r w:rsidRPr="00CF5CA3">
        <w:rPr>
          <w:rFonts w:ascii="Times New Roman" w:eastAsia="Book Antiqua" w:hAnsi="Times New Roman" w:cs="Times New Roman"/>
          <w:color w:val="000000" w:themeColor="text1"/>
          <w:sz w:val="18"/>
          <w:szCs w:val="18"/>
        </w:rPr>
        <w:t xml:space="preserve"> Elgar 2023) 415-430.</w:t>
      </w:r>
    </w:p>
  </w:footnote>
  <w:footnote w:id="79">
    <w:p w14:paraId="29E3043F" w14:textId="3CC2FFF7" w:rsidR="002B187B" w:rsidRPr="00CF5CA3" w:rsidRDefault="002B187B" w:rsidP="005C1FF4">
      <w:pPr>
        <w:pStyle w:val="Testonotaapidipagina"/>
        <w:jc w:val="both"/>
        <w:rPr>
          <w:rFonts w:ascii="Times New Roman" w:hAnsi="Times New Roman" w:cs="Times New Roman"/>
          <w:color w:val="000000" w:themeColor="text1"/>
          <w:sz w:val="18"/>
          <w:szCs w:val="18"/>
        </w:rPr>
      </w:pPr>
      <w:r w:rsidRPr="00CF5CA3">
        <w:rPr>
          <w:rStyle w:val="Rimandonotaapidipagina"/>
          <w:rFonts w:ascii="Times New Roman" w:hAnsi="Times New Roman" w:cs="Times New Roman"/>
          <w:color w:val="000000" w:themeColor="text1"/>
          <w:sz w:val="18"/>
          <w:szCs w:val="18"/>
        </w:rPr>
        <w:footnoteRef/>
      </w:r>
      <w:r w:rsidRPr="00CF5CA3">
        <w:rPr>
          <w:rFonts w:ascii="Times New Roman" w:hAnsi="Times New Roman" w:cs="Times New Roman"/>
          <w:color w:val="000000" w:themeColor="text1"/>
          <w:sz w:val="18"/>
          <w:szCs w:val="18"/>
        </w:rPr>
        <w:t xml:space="preserve"> </w:t>
      </w:r>
      <w:r w:rsidR="00646580" w:rsidRPr="00CF5CA3">
        <w:rPr>
          <w:rFonts w:ascii="Times New Roman" w:hAnsi="Times New Roman" w:cs="Times New Roman"/>
          <w:color w:val="000000" w:themeColor="text1"/>
          <w:sz w:val="18"/>
          <w:szCs w:val="18"/>
        </w:rPr>
        <w:t>Communications and guidance documents &lt;</w:t>
      </w:r>
      <w:hyperlink r:id="rId8" w:history="1">
        <w:r w:rsidR="00646580" w:rsidRPr="00CF5CA3">
          <w:rPr>
            <w:rStyle w:val="Collegamentoipertestuale"/>
            <w:rFonts w:ascii="Times New Roman" w:hAnsi="Times New Roman" w:cs="Times New Roman"/>
            <w:color w:val="000000" w:themeColor="text1"/>
            <w:sz w:val="18"/>
            <w:szCs w:val="18"/>
            <w:u w:val="none"/>
          </w:rPr>
          <w:t>https://single-market-economy.ec.europa.eu/single-market/public-procurement/communications-and-guidance-documents_en</w:t>
        </w:r>
      </w:hyperlink>
      <w:r w:rsidR="00646580" w:rsidRPr="00CF5CA3">
        <w:rPr>
          <w:rFonts w:ascii="Times New Roman" w:hAnsi="Times New Roman" w:cs="Times New Roman"/>
          <w:color w:val="000000" w:themeColor="text1"/>
          <w:sz w:val="18"/>
          <w:szCs w:val="18"/>
        </w:rPr>
        <w:t>&gt; accessed July 2025.</w:t>
      </w:r>
    </w:p>
  </w:footnote>
  <w:footnote w:id="80">
    <w:p w14:paraId="1423538D" w14:textId="304DABB5" w:rsidR="005C1FF4" w:rsidRPr="00CF5CA3" w:rsidRDefault="005C1FF4" w:rsidP="005C1FF4">
      <w:pPr>
        <w:pStyle w:val="Testonotaapidipagina"/>
        <w:jc w:val="both"/>
        <w:rPr>
          <w:rFonts w:ascii="Times New Roman" w:hAnsi="Times New Roman" w:cs="Times New Roman"/>
          <w:color w:val="000000" w:themeColor="text1"/>
          <w:sz w:val="18"/>
          <w:szCs w:val="18"/>
        </w:rPr>
      </w:pPr>
      <w:r w:rsidRPr="00CF5CA3">
        <w:rPr>
          <w:rStyle w:val="Rimandonotaapidipagina"/>
          <w:rFonts w:ascii="Times New Roman" w:hAnsi="Times New Roman" w:cs="Times New Roman"/>
          <w:color w:val="000000" w:themeColor="text1"/>
          <w:sz w:val="18"/>
          <w:szCs w:val="18"/>
        </w:rPr>
        <w:footnoteRef/>
      </w:r>
      <w:r w:rsidRPr="00CF5CA3">
        <w:rPr>
          <w:rFonts w:ascii="Times New Roman" w:hAnsi="Times New Roman" w:cs="Times New Roman"/>
          <w:color w:val="000000" w:themeColor="text1"/>
          <w:sz w:val="18"/>
          <w:szCs w:val="18"/>
        </w:rPr>
        <w:t xml:space="preserve"> See critically</w:t>
      </w:r>
      <w:r w:rsidR="00646580" w:rsidRPr="00CF5CA3">
        <w:rPr>
          <w:rFonts w:ascii="Times New Roman" w:hAnsi="Times New Roman" w:cs="Times New Roman"/>
          <w:color w:val="000000" w:themeColor="text1"/>
          <w:sz w:val="18"/>
          <w:szCs w:val="18"/>
        </w:rPr>
        <w:t xml:space="preserve"> Bordering the Irresponsible: Commission’s Q&amp;A on the Third Country Access to EU Procurement Post Kolin/Qingdao &lt;</w:t>
      </w:r>
      <w:hyperlink r:id="rId9" w:history="1">
        <w:r w:rsidRPr="00CF5CA3">
          <w:rPr>
            <w:rStyle w:val="Collegamentoipertestuale"/>
            <w:rFonts w:ascii="Times New Roman" w:hAnsi="Times New Roman" w:cs="Times New Roman"/>
            <w:color w:val="000000" w:themeColor="text1"/>
            <w:sz w:val="18"/>
            <w:szCs w:val="18"/>
            <w:u w:val="none"/>
          </w:rPr>
          <w:t>https://www.howtocrackanut.com/blog/2025/5/20/bordering-the-irresponsible-commission-non-paper-on-third-country-access</w:t>
        </w:r>
      </w:hyperlink>
      <w:r w:rsidR="00646580" w:rsidRPr="00CF5CA3">
        <w:rPr>
          <w:rFonts w:ascii="Times New Roman" w:hAnsi="Times New Roman" w:cs="Times New Roman"/>
          <w:color w:val="000000" w:themeColor="text1"/>
          <w:sz w:val="18"/>
          <w:szCs w:val="18"/>
        </w:rPr>
        <w:t>&gt; accessed July 2025.</w:t>
      </w:r>
    </w:p>
  </w:footnote>
  <w:footnote w:id="81">
    <w:p w14:paraId="00000099" w14:textId="77777777"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w:t>
      </w:r>
      <w:r w:rsidRPr="00CF5CA3">
        <w:rPr>
          <w:rFonts w:ascii="Times New Roman" w:eastAsia="Book Antiqua" w:hAnsi="Times New Roman" w:cs="Times New Roman"/>
          <w:color w:val="000000" w:themeColor="text1"/>
          <w:sz w:val="18"/>
          <w:szCs w:val="18"/>
          <w:highlight w:val="white"/>
        </w:rPr>
        <w:t>Regulation (EU) 2023/2675 on the protection of the Union and its Member States from economic coercion by third countries.</w:t>
      </w:r>
    </w:p>
  </w:footnote>
  <w:footnote w:id="82">
    <w:p w14:paraId="0BF96D80" w14:textId="38471C67" w:rsidR="00A51684" w:rsidRPr="00CF5CA3" w:rsidRDefault="00A51684" w:rsidP="00AA37E7">
      <w:pPr>
        <w:spacing w:after="0" w:line="240" w:lineRule="auto"/>
        <w:jc w:val="both"/>
        <w:rPr>
          <w:rFonts w:ascii="Times New Roman" w:eastAsia="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Times New Roman" w:hAnsi="Times New Roman" w:cs="Times New Roman"/>
          <w:color w:val="000000" w:themeColor="text1"/>
          <w:sz w:val="18"/>
          <w:szCs w:val="18"/>
        </w:rPr>
        <w:t xml:space="preserve"> </w:t>
      </w:r>
      <w:sdt>
        <w:sdtPr>
          <w:rPr>
            <w:rFonts w:ascii="Times New Roman" w:hAnsi="Times New Roman" w:cs="Times New Roman"/>
            <w:color w:val="000000" w:themeColor="text1"/>
            <w:sz w:val="18"/>
            <w:szCs w:val="18"/>
          </w:rPr>
          <w:tag w:val="goog_rdk_0"/>
          <w:id w:val="335194091"/>
        </w:sdtPr>
        <w:sdtContent>
          <w:r w:rsidRPr="00CF5CA3">
            <w:rPr>
              <w:rFonts w:ascii="Times New Roman" w:eastAsia="Gungsuh" w:hAnsi="Times New Roman" w:cs="Times New Roman"/>
              <w:color w:val="000000" w:themeColor="text1"/>
              <w:sz w:val="18"/>
              <w:szCs w:val="18"/>
            </w:rPr>
            <w:t>Europe’s Choice. Political Guidelines for the Next European Commission 2024−2029</w:t>
          </w:r>
        </w:sdtContent>
      </w:sdt>
      <w:r w:rsidR="00E03765" w:rsidRPr="00CF5CA3">
        <w:rPr>
          <w:rFonts w:ascii="Times New Roman" w:eastAsia="Times New Roman" w:hAnsi="Times New Roman" w:cs="Times New Roman"/>
          <w:color w:val="000000" w:themeColor="text1"/>
          <w:sz w:val="18"/>
          <w:szCs w:val="18"/>
        </w:rPr>
        <w:t xml:space="preserve"> &lt;</w:t>
      </w:r>
      <w:hyperlink r:id="rId10" w:history="1">
        <w:r w:rsidR="00E03765" w:rsidRPr="00CF5CA3">
          <w:rPr>
            <w:rStyle w:val="Collegamentoipertestuale"/>
            <w:rFonts w:ascii="Times New Roman" w:eastAsia="Times New Roman" w:hAnsi="Times New Roman" w:cs="Times New Roman"/>
            <w:color w:val="000000" w:themeColor="text1"/>
            <w:sz w:val="18"/>
            <w:szCs w:val="18"/>
            <w:u w:val="none"/>
          </w:rPr>
          <w:t>https://commission.europa.eu/document/e6cd4328-673c-4e7a-8683-f63ffb2cf648_en</w:t>
        </w:r>
      </w:hyperlink>
      <w:r w:rsidR="00E03765" w:rsidRPr="00CF5CA3">
        <w:rPr>
          <w:rFonts w:ascii="Times New Roman" w:eastAsia="Times New Roman" w:hAnsi="Times New Roman" w:cs="Times New Roman"/>
          <w:color w:val="000000" w:themeColor="text1"/>
          <w:sz w:val="18"/>
          <w:szCs w:val="18"/>
        </w:rPr>
        <w:t>&gt; accessed July 2025.</w:t>
      </w:r>
    </w:p>
  </w:footnote>
  <w:footnote w:id="83">
    <w:p w14:paraId="7AEA86BC" w14:textId="66DA87F4" w:rsidR="00A51684" w:rsidRPr="00CF5CA3" w:rsidRDefault="00A51684"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w:t>
      </w:r>
      <w:r w:rsidR="00E03765" w:rsidRPr="00CF5CA3">
        <w:rPr>
          <w:rFonts w:ascii="Times New Roman" w:eastAsia="Book Antiqua" w:hAnsi="Times New Roman" w:cs="Times New Roman"/>
          <w:color w:val="000000" w:themeColor="text1"/>
          <w:sz w:val="18"/>
          <w:szCs w:val="18"/>
        </w:rPr>
        <w:t>European Commission, ‘A Competitiveness Compass for the EU’ (n 12)</w:t>
      </w:r>
      <w:r w:rsidRPr="00CF5CA3">
        <w:rPr>
          <w:rFonts w:ascii="Times New Roman" w:eastAsia="Book Antiqua" w:hAnsi="Times New Roman" w:cs="Times New Roman"/>
          <w:color w:val="000000" w:themeColor="text1"/>
          <w:sz w:val="18"/>
          <w:szCs w:val="18"/>
        </w:rPr>
        <w:t xml:space="preserve"> 14 f.</w:t>
      </w:r>
    </w:p>
  </w:footnote>
  <w:footnote w:id="84">
    <w:p w14:paraId="1B0CE941" w14:textId="0AB23D58" w:rsidR="00CF5A1B" w:rsidRPr="00CF5A1B" w:rsidRDefault="00CF5A1B" w:rsidP="00CF5A1B">
      <w:pPr>
        <w:pStyle w:val="Testonotaapidipagina"/>
        <w:rPr>
          <w:rFonts w:ascii="Times New Roman" w:hAnsi="Times New Roman" w:cs="Times New Roman"/>
          <w:sz w:val="18"/>
          <w:szCs w:val="18"/>
        </w:rPr>
      </w:pPr>
      <w:r w:rsidRPr="00CF5A1B">
        <w:rPr>
          <w:rStyle w:val="Rimandonotaapidipagina"/>
          <w:rFonts w:ascii="Times New Roman" w:hAnsi="Times New Roman" w:cs="Times New Roman"/>
          <w:sz w:val="18"/>
          <w:szCs w:val="18"/>
        </w:rPr>
        <w:footnoteRef/>
      </w:r>
      <w:r w:rsidRPr="00CF5A1B">
        <w:rPr>
          <w:rFonts w:ascii="Times New Roman" w:hAnsi="Times New Roman" w:cs="Times New Roman"/>
          <w:sz w:val="18"/>
          <w:szCs w:val="18"/>
        </w:rPr>
        <w:t xml:space="preserve"> </w:t>
      </w:r>
      <w:r w:rsidRPr="00CF5A1B">
        <w:rPr>
          <w:rFonts w:ascii="Times New Roman" w:hAnsi="Times New Roman" w:cs="Times New Roman"/>
          <w:sz w:val="18"/>
          <w:szCs w:val="18"/>
        </w:rPr>
        <w:t>European Parliament resolution of 9 September 2025 on public procurement</w:t>
      </w:r>
      <w:r w:rsidRPr="00CF5A1B">
        <w:rPr>
          <w:rFonts w:ascii="Times New Roman" w:hAnsi="Times New Roman" w:cs="Times New Roman"/>
          <w:sz w:val="18"/>
          <w:szCs w:val="18"/>
        </w:rPr>
        <w:t xml:space="preserve"> </w:t>
      </w:r>
      <w:r w:rsidRPr="00CF5A1B">
        <w:rPr>
          <w:rFonts w:ascii="Times New Roman" w:hAnsi="Times New Roman" w:cs="Times New Roman"/>
          <w:sz w:val="18"/>
          <w:szCs w:val="18"/>
        </w:rPr>
        <w:t>(2024/2103(INI))</w:t>
      </w:r>
      <w:r>
        <w:rPr>
          <w:rFonts w:ascii="Times New Roman" w:hAnsi="Times New Roman" w:cs="Times New Roman"/>
          <w:sz w:val="18"/>
          <w:szCs w:val="18"/>
        </w:rPr>
        <w:t>, esp. § 69, but with the caution in § 13.</w:t>
      </w:r>
    </w:p>
  </w:footnote>
  <w:footnote w:id="85">
    <w:p w14:paraId="000000AE" w14:textId="65EF0D5B"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w:t>
      </w:r>
      <w:r w:rsidR="00E03765" w:rsidRPr="00CF5CA3">
        <w:rPr>
          <w:rFonts w:ascii="Times New Roman" w:eastAsia="Book Antiqua" w:hAnsi="Times New Roman" w:cs="Times New Roman"/>
          <w:color w:val="000000" w:themeColor="text1"/>
          <w:sz w:val="18"/>
          <w:szCs w:val="18"/>
        </w:rPr>
        <w:t>European Commission, ‘</w:t>
      </w:r>
      <w:r w:rsidRPr="00CF5CA3">
        <w:rPr>
          <w:rFonts w:ascii="Times New Roman" w:eastAsia="Book Antiqua" w:hAnsi="Times New Roman" w:cs="Times New Roman"/>
          <w:color w:val="000000" w:themeColor="text1"/>
          <w:sz w:val="18"/>
          <w:szCs w:val="18"/>
        </w:rPr>
        <w:t>Proposal for a Regulation of the European Parliament and of the Council laying a framework for strengthening the availability and security of supply of critical medicinal products as well as the availability of, and accessibility of, medicinal products of common interest, and amending Regulation (EU) 2024/795</w:t>
      </w:r>
      <w:r w:rsidR="00E03765" w:rsidRPr="00CF5CA3">
        <w:rPr>
          <w:rFonts w:ascii="Times New Roman" w:eastAsia="Book Antiqua" w:hAnsi="Times New Roman" w:cs="Times New Roman"/>
          <w:color w:val="000000" w:themeColor="text1"/>
          <w:sz w:val="18"/>
          <w:szCs w:val="18"/>
        </w:rPr>
        <w:t>’</w:t>
      </w:r>
      <w:r w:rsidR="00AA37E7" w:rsidRPr="00CF5CA3">
        <w:rPr>
          <w:rFonts w:ascii="Times New Roman" w:eastAsia="Book Antiqua" w:hAnsi="Times New Roman" w:cs="Times New Roman"/>
          <w:color w:val="000000" w:themeColor="text1"/>
          <w:sz w:val="18"/>
          <w:szCs w:val="18"/>
        </w:rPr>
        <w:t xml:space="preserve"> </w:t>
      </w:r>
      <w:proofErr w:type="gramStart"/>
      <w:r w:rsidRPr="00CF5CA3">
        <w:rPr>
          <w:rFonts w:ascii="Times New Roman" w:eastAsia="Book Antiqua" w:hAnsi="Times New Roman" w:cs="Times New Roman"/>
          <w:color w:val="000000" w:themeColor="text1"/>
          <w:sz w:val="18"/>
          <w:szCs w:val="18"/>
        </w:rPr>
        <w:t>COM(</w:t>
      </w:r>
      <w:proofErr w:type="gramEnd"/>
      <w:r w:rsidRPr="00CF5CA3">
        <w:rPr>
          <w:rFonts w:ascii="Times New Roman" w:eastAsia="Book Antiqua" w:hAnsi="Times New Roman" w:cs="Times New Roman"/>
          <w:color w:val="000000" w:themeColor="text1"/>
          <w:sz w:val="18"/>
          <w:szCs w:val="18"/>
        </w:rPr>
        <w:t>2025) 102 final.</w:t>
      </w:r>
    </w:p>
  </w:footnote>
  <w:footnote w:id="86">
    <w:p w14:paraId="000000AD" w14:textId="77777777" w:rsidR="00706BDF" w:rsidRPr="00CF5CA3" w:rsidRDefault="001F7452" w:rsidP="00AA37E7">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See Articles 18 ff and 21 ff respectively. </w:t>
      </w:r>
    </w:p>
  </w:footnote>
  <w:footnote w:id="87">
    <w:p w14:paraId="000000A1" w14:textId="49E8BED3" w:rsidR="00706BDF" w:rsidRPr="00CF5CA3" w:rsidRDefault="001F7452" w:rsidP="00314FC9">
      <w:pPr>
        <w:spacing w:after="0" w:line="240" w:lineRule="auto"/>
        <w:jc w:val="both"/>
        <w:rPr>
          <w:rFonts w:ascii="Times New Roman" w:eastAsia="Book Antiqua"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hAnsi="Times New Roman" w:cs="Times New Roman"/>
          <w:color w:val="000000" w:themeColor="text1"/>
          <w:sz w:val="18"/>
          <w:szCs w:val="18"/>
        </w:rPr>
        <w:t xml:space="preserve"> </w:t>
      </w:r>
      <w:r w:rsidRPr="00CF5CA3">
        <w:rPr>
          <w:rFonts w:ascii="Times New Roman" w:eastAsia="Book Antiqua" w:hAnsi="Times New Roman" w:cs="Times New Roman"/>
          <w:color w:val="000000" w:themeColor="text1"/>
          <w:sz w:val="18"/>
          <w:szCs w:val="18"/>
        </w:rPr>
        <w:t>With reference to the US</w:t>
      </w:r>
      <w:r w:rsidR="00E03765" w:rsidRPr="00CF5CA3">
        <w:rPr>
          <w:rFonts w:ascii="Times New Roman" w:eastAsia="Book Antiqua" w:hAnsi="Times New Roman" w:cs="Times New Roman"/>
          <w:color w:val="000000" w:themeColor="text1"/>
          <w:sz w:val="18"/>
          <w:szCs w:val="18"/>
        </w:rPr>
        <w:t>,</w:t>
      </w:r>
      <w:r w:rsidRPr="00CF5CA3">
        <w:rPr>
          <w:rFonts w:ascii="Times New Roman" w:eastAsia="Book Antiqua" w:hAnsi="Times New Roman" w:cs="Times New Roman"/>
          <w:color w:val="000000" w:themeColor="text1"/>
          <w:sz w:val="18"/>
          <w:szCs w:val="18"/>
        </w:rPr>
        <w:t xml:space="preserve"> see </w:t>
      </w:r>
      <w:proofErr w:type="spellStart"/>
      <w:r w:rsidRPr="00CF5CA3">
        <w:rPr>
          <w:rFonts w:ascii="Times New Roman" w:eastAsia="Book Antiqua" w:hAnsi="Times New Roman" w:cs="Times New Roman"/>
          <w:color w:val="000000" w:themeColor="text1"/>
          <w:sz w:val="18"/>
          <w:szCs w:val="18"/>
        </w:rPr>
        <w:t>Lalliot</w:t>
      </w:r>
      <w:proofErr w:type="spellEnd"/>
      <w:r w:rsidRPr="00CF5CA3">
        <w:rPr>
          <w:rFonts w:ascii="Times New Roman" w:eastAsia="Book Antiqua" w:hAnsi="Times New Roman" w:cs="Times New Roman"/>
          <w:color w:val="000000" w:themeColor="text1"/>
          <w:sz w:val="18"/>
          <w:szCs w:val="18"/>
        </w:rPr>
        <w:t xml:space="preserve"> </w:t>
      </w:r>
      <w:r w:rsidR="00E03765" w:rsidRPr="00CF5CA3">
        <w:rPr>
          <w:rFonts w:ascii="Times New Roman" w:eastAsia="Book Antiqua" w:hAnsi="Times New Roman" w:cs="Times New Roman"/>
          <w:color w:val="000000" w:themeColor="text1"/>
          <w:sz w:val="18"/>
          <w:szCs w:val="18"/>
        </w:rPr>
        <w:t>and</w:t>
      </w:r>
      <w:r w:rsidRPr="00CF5CA3">
        <w:rPr>
          <w:rFonts w:ascii="Times New Roman" w:eastAsia="Book Antiqua" w:hAnsi="Times New Roman" w:cs="Times New Roman"/>
          <w:color w:val="000000" w:themeColor="text1"/>
          <w:sz w:val="18"/>
          <w:szCs w:val="18"/>
        </w:rPr>
        <w:t xml:space="preserve"> </w:t>
      </w:r>
      <w:proofErr w:type="spellStart"/>
      <w:r w:rsidRPr="00CF5CA3">
        <w:rPr>
          <w:rFonts w:ascii="Times New Roman" w:eastAsia="Book Antiqua" w:hAnsi="Times New Roman" w:cs="Times New Roman"/>
          <w:color w:val="000000" w:themeColor="text1"/>
          <w:sz w:val="18"/>
          <w:szCs w:val="18"/>
        </w:rPr>
        <w:t>Yukins</w:t>
      </w:r>
      <w:proofErr w:type="spellEnd"/>
      <w:r w:rsidR="00E03765" w:rsidRPr="00CF5CA3">
        <w:rPr>
          <w:rFonts w:ascii="Times New Roman" w:eastAsia="Book Antiqua" w:hAnsi="Times New Roman" w:cs="Times New Roman"/>
          <w:color w:val="000000" w:themeColor="text1"/>
          <w:sz w:val="18"/>
          <w:szCs w:val="18"/>
        </w:rPr>
        <w:t xml:space="preserve"> (n 2) </w:t>
      </w:r>
      <w:r w:rsidRPr="00CF5CA3">
        <w:rPr>
          <w:rFonts w:ascii="Times New Roman" w:eastAsia="Book Antiqua" w:hAnsi="Times New Roman" w:cs="Times New Roman"/>
          <w:color w:val="000000" w:themeColor="text1"/>
          <w:sz w:val="18"/>
          <w:szCs w:val="18"/>
        </w:rPr>
        <w:t>ff</w:t>
      </w:r>
      <w:r w:rsidR="00314FC9" w:rsidRPr="00CF5CA3">
        <w:rPr>
          <w:rFonts w:ascii="Times New Roman" w:eastAsia="Book Antiqua" w:hAnsi="Times New Roman" w:cs="Times New Roman"/>
          <w:color w:val="000000" w:themeColor="text1"/>
          <w:sz w:val="18"/>
          <w:szCs w:val="18"/>
        </w:rPr>
        <w:t xml:space="preserve">; see also in a wider context </w:t>
      </w:r>
      <w:r w:rsidR="00E03765" w:rsidRPr="00CF5CA3">
        <w:rPr>
          <w:rFonts w:ascii="Times New Roman" w:eastAsia="Book Antiqua" w:hAnsi="Times New Roman" w:cs="Times New Roman"/>
          <w:color w:val="000000" w:themeColor="text1"/>
          <w:sz w:val="18"/>
          <w:szCs w:val="18"/>
        </w:rPr>
        <w:t>European Parliament, ‘</w:t>
      </w:r>
      <w:r w:rsidR="00314FC9" w:rsidRPr="00CF5CA3">
        <w:rPr>
          <w:rFonts w:ascii="Times New Roman" w:eastAsia="Book Antiqua" w:hAnsi="Times New Roman" w:cs="Times New Roman"/>
          <w:color w:val="000000" w:themeColor="text1"/>
          <w:sz w:val="18"/>
          <w:szCs w:val="18"/>
        </w:rPr>
        <w:t xml:space="preserve">EU-China relations: </w:t>
      </w:r>
      <w:r w:rsidR="00314FC9" w:rsidRPr="00CF5CA3">
        <w:rPr>
          <w:rFonts w:ascii="Times New Roman" w:eastAsia="Book Antiqua" w:hAnsi="Times New Roman" w:cs="Times New Roman"/>
          <w:color w:val="000000" w:themeColor="text1"/>
          <w:sz w:val="18"/>
          <w:szCs w:val="18"/>
          <w:lang w:val="en-US"/>
        </w:rPr>
        <w:t xml:space="preserve">De-risking or de-coupling − </w:t>
      </w:r>
      <w:r w:rsidR="00314FC9" w:rsidRPr="00CF5CA3">
        <w:rPr>
          <w:rFonts w:ascii="Times New Roman" w:eastAsia="Book Antiqua" w:hAnsi="Times New Roman" w:cs="Times New Roman"/>
          <w:color w:val="000000" w:themeColor="text1"/>
          <w:sz w:val="18"/>
          <w:szCs w:val="18"/>
        </w:rPr>
        <w:t>the future of the EU strategy towards</w:t>
      </w:r>
      <w:r w:rsidR="00314FC9" w:rsidRPr="00CF5CA3">
        <w:rPr>
          <w:rFonts w:ascii="Times New Roman" w:eastAsia="Book Antiqua" w:hAnsi="Times New Roman" w:cs="Times New Roman"/>
          <w:i/>
          <w:iCs/>
          <w:color w:val="000000" w:themeColor="text1"/>
          <w:sz w:val="18"/>
          <w:szCs w:val="18"/>
        </w:rPr>
        <w:t xml:space="preserve"> </w:t>
      </w:r>
      <w:r w:rsidR="00314FC9" w:rsidRPr="00CF5CA3">
        <w:rPr>
          <w:rFonts w:ascii="Times New Roman" w:eastAsia="Book Antiqua" w:hAnsi="Times New Roman" w:cs="Times New Roman"/>
          <w:color w:val="000000" w:themeColor="text1"/>
          <w:sz w:val="18"/>
          <w:szCs w:val="18"/>
        </w:rPr>
        <w:t>China</w:t>
      </w:r>
      <w:r w:rsidR="00E03765" w:rsidRPr="00CF5CA3">
        <w:rPr>
          <w:rFonts w:ascii="Times New Roman" w:eastAsia="Book Antiqua" w:hAnsi="Times New Roman" w:cs="Times New Roman"/>
          <w:i/>
          <w:iCs/>
          <w:color w:val="000000" w:themeColor="text1"/>
          <w:sz w:val="18"/>
          <w:szCs w:val="18"/>
        </w:rPr>
        <w:t>’</w:t>
      </w:r>
      <w:r w:rsidR="00314FC9" w:rsidRPr="00CF5CA3">
        <w:rPr>
          <w:rFonts w:ascii="Times New Roman" w:eastAsia="Book Antiqua" w:hAnsi="Times New Roman" w:cs="Times New Roman"/>
          <w:color w:val="000000" w:themeColor="text1"/>
          <w:sz w:val="18"/>
          <w:szCs w:val="18"/>
        </w:rPr>
        <w:t xml:space="preserve"> </w:t>
      </w:r>
      <w:r w:rsidR="00E03765" w:rsidRPr="00CF5CA3">
        <w:rPr>
          <w:rFonts w:ascii="Times New Roman" w:eastAsia="Book Antiqua" w:hAnsi="Times New Roman" w:cs="Times New Roman"/>
          <w:color w:val="000000" w:themeColor="text1"/>
          <w:sz w:val="18"/>
          <w:szCs w:val="18"/>
        </w:rPr>
        <w:t>&lt;</w:t>
      </w:r>
      <w:hyperlink r:id="rId11" w:history="1">
        <w:r w:rsidR="00314FC9" w:rsidRPr="00CF5CA3">
          <w:rPr>
            <w:rStyle w:val="Collegamentoipertestuale"/>
            <w:rFonts w:ascii="Times New Roman" w:eastAsia="Book Antiqua" w:hAnsi="Times New Roman" w:cs="Times New Roman"/>
            <w:color w:val="000000" w:themeColor="text1"/>
            <w:sz w:val="18"/>
            <w:szCs w:val="18"/>
            <w:u w:val="none"/>
          </w:rPr>
          <w:t>https://www.europarl.europa.eu/RegData/etudes/STUD/2024/754446/EXPO_STU(2024)754446_EN.pdf</w:t>
        </w:r>
      </w:hyperlink>
      <w:r w:rsidR="00E03765" w:rsidRPr="00CF5CA3">
        <w:rPr>
          <w:rFonts w:ascii="Times New Roman" w:eastAsia="Book Antiqua" w:hAnsi="Times New Roman" w:cs="Times New Roman"/>
          <w:color w:val="000000" w:themeColor="text1"/>
          <w:sz w:val="18"/>
          <w:szCs w:val="18"/>
        </w:rPr>
        <w:t>&gt; accessed on July 2025</w:t>
      </w:r>
      <w:r w:rsidRPr="00CF5CA3">
        <w:rPr>
          <w:rFonts w:ascii="Times New Roman" w:eastAsia="Book Antiqua" w:hAnsi="Times New Roman" w:cs="Times New Roman"/>
          <w:color w:val="000000" w:themeColor="text1"/>
          <w:sz w:val="18"/>
          <w:szCs w:val="18"/>
        </w:rPr>
        <w:t>.</w:t>
      </w:r>
    </w:p>
  </w:footnote>
  <w:footnote w:id="88">
    <w:p w14:paraId="000000A8" w14:textId="6789F7DC" w:rsidR="00706BDF" w:rsidRPr="00CF5CA3" w:rsidRDefault="001F7452" w:rsidP="00EC41EA">
      <w:pPr>
        <w:spacing w:after="0" w:line="240" w:lineRule="auto"/>
        <w:jc w:val="both"/>
        <w:rPr>
          <w:rFonts w:ascii="Times New Roman" w:hAnsi="Times New Roman" w:cs="Times New Roman"/>
          <w:color w:val="000000" w:themeColor="text1"/>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Fruhmann </w:t>
      </w:r>
      <w:r w:rsidR="00E03765" w:rsidRPr="00CF5CA3">
        <w:rPr>
          <w:rFonts w:ascii="Times New Roman" w:eastAsia="Book Antiqua" w:hAnsi="Times New Roman" w:cs="Times New Roman"/>
          <w:color w:val="000000" w:themeColor="text1"/>
          <w:sz w:val="18"/>
          <w:szCs w:val="18"/>
        </w:rPr>
        <w:t>and</w:t>
      </w:r>
      <w:r w:rsidRPr="00CF5CA3">
        <w:rPr>
          <w:rFonts w:ascii="Times New Roman" w:eastAsia="Book Antiqua" w:hAnsi="Times New Roman" w:cs="Times New Roman"/>
          <w:color w:val="000000" w:themeColor="text1"/>
          <w:sz w:val="18"/>
          <w:szCs w:val="18"/>
        </w:rPr>
        <w:t xml:space="preserve"> Meszaros</w:t>
      </w:r>
      <w:r w:rsidR="00E03765" w:rsidRPr="00CF5CA3">
        <w:rPr>
          <w:rFonts w:ascii="Times New Roman" w:eastAsia="Book Antiqua" w:hAnsi="Times New Roman" w:cs="Times New Roman"/>
          <w:color w:val="000000" w:themeColor="text1"/>
          <w:sz w:val="18"/>
          <w:szCs w:val="18"/>
        </w:rPr>
        <w:t xml:space="preserve"> (n 31)</w:t>
      </w:r>
      <w:r w:rsidRPr="00CF5CA3">
        <w:rPr>
          <w:rFonts w:ascii="Times New Roman" w:eastAsia="Book Antiqua" w:hAnsi="Times New Roman" w:cs="Times New Roman"/>
          <w:color w:val="000000" w:themeColor="text1"/>
          <w:sz w:val="18"/>
          <w:szCs w:val="18"/>
        </w:rPr>
        <w:t xml:space="preserve"> 305.</w:t>
      </w:r>
    </w:p>
  </w:footnote>
  <w:footnote w:id="89">
    <w:p w14:paraId="793F3E67" w14:textId="177CC1AC" w:rsidR="00B65262" w:rsidRPr="00CF5CA3" w:rsidRDefault="00B65262" w:rsidP="00EC41EA">
      <w:pPr>
        <w:pStyle w:val="Testonotaapidipagina"/>
        <w:jc w:val="both"/>
        <w:rPr>
          <w:rFonts w:ascii="Times New Roman" w:hAnsi="Times New Roman" w:cs="Times New Roman"/>
          <w:color w:val="000000" w:themeColor="text1"/>
          <w:sz w:val="18"/>
          <w:szCs w:val="18"/>
        </w:rPr>
      </w:pPr>
      <w:r w:rsidRPr="00CF5CA3">
        <w:rPr>
          <w:rStyle w:val="Rimandonotaapidipagina"/>
          <w:rFonts w:ascii="Times New Roman" w:hAnsi="Times New Roman" w:cs="Times New Roman"/>
          <w:color w:val="000000" w:themeColor="text1"/>
          <w:sz w:val="18"/>
          <w:szCs w:val="18"/>
        </w:rPr>
        <w:footnoteRef/>
      </w:r>
      <w:r w:rsidRPr="00CF5CA3">
        <w:rPr>
          <w:rFonts w:ascii="Times New Roman" w:hAnsi="Times New Roman" w:cs="Times New Roman"/>
          <w:color w:val="000000" w:themeColor="text1"/>
          <w:sz w:val="18"/>
          <w:szCs w:val="18"/>
        </w:rPr>
        <w:t xml:space="preserve">  </w:t>
      </w:r>
      <w:r w:rsidR="00BA10A6" w:rsidRPr="00CF5CA3">
        <w:rPr>
          <w:rFonts w:ascii="Times New Roman" w:hAnsi="Times New Roman" w:cs="Times New Roman"/>
          <w:color w:val="000000" w:themeColor="text1"/>
          <w:sz w:val="18"/>
          <w:szCs w:val="18"/>
        </w:rPr>
        <w:t xml:space="preserve">For a very analytical discussion see </w:t>
      </w:r>
      <w:r w:rsidR="00BA10A6" w:rsidRPr="00CF5CA3">
        <w:rPr>
          <w:rFonts w:ascii="Times New Roman" w:hAnsi="Times New Roman" w:cs="Times New Roman"/>
          <w:color w:val="000000" w:themeColor="text1"/>
          <w:sz w:val="18"/>
          <w:szCs w:val="18"/>
          <w:lang w:val="en-US"/>
        </w:rPr>
        <w:t xml:space="preserve">Weiß </w:t>
      </w:r>
      <w:r w:rsidR="00E03765" w:rsidRPr="00CF5CA3">
        <w:rPr>
          <w:rFonts w:ascii="Times New Roman" w:hAnsi="Times New Roman" w:cs="Times New Roman"/>
          <w:color w:val="000000" w:themeColor="text1"/>
          <w:sz w:val="18"/>
          <w:szCs w:val="18"/>
          <w:lang w:val="en-US"/>
        </w:rPr>
        <w:t>and</w:t>
      </w:r>
      <w:r w:rsidR="00BA10A6" w:rsidRPr="00CF5CA3">
        <w:rPr>
          <w:rFonts w:ascii="Times New Roman" w:hAnsi="Times New Roman" w:cs="Times New Roman"/>
          <w:color w:val="000000" w:themeColor="text1"/>
          <w:sz w:val="18"/>
          <w:szCs w:val="18"/>
          <w:lang w:val="en-US"/>
        </w:rPr>
        <w:t xml:space="preserve"> Furculita</w:t>
      </w:r>
      <w:r w:rsidR="00E03765" w:rsidRPr="00CF5CA3">
        <w:rPr>
          <w:rFonts w:ascii="Times New Roman" w:hAnsi="Times New Roman" w:cs="Times New Roman"/>
          <w:color w:val="000000" w:themeColor="text1"/>
          <w:sz w:val="18"/>
          <w:szCs w:val="18"/>
          <w:lang w:val="en-US"/>
        </w:rPr>
        <w:t xml:space="preserve"> (n 2) </w:t>
      </w:r>
      <w:r w:rsidR="00BA10A6" w:rsidRPr="00CF5CA3">
        <w:rPr>
          <w:rFonts w:ascii="Times New Roman" w:hAnsi="Times New Roman" w:cs="Times New Roman"/>
          <w:color w:val="000000" w:themeColor="text1"/>
          <w:sz w:val="18"/>
          <w:szCs w:val="18"/>
          <w:lang w:val="en-US"/>
        </w:rPr>
        <w:t>esp. 294 ff (IPI)</w:t>
      </w:r>
      <w:r w:rsidR="004C6A9C" w:rsidRPr="00CF5CA3">
        <w:rPr>
          <w:rFonts w:ascii="Times New Roman" w:hAnsi="Times New Roman" w:cs="Times New Roman"/>
          <w:color w:val="000000" w:themeColor="text1"/>
          <w:sz w:val="18"/>
          <w:szCs w:val="18"/>
          <w:lang w:val="en-US"/>
        </w:rPr>
        <w:t xml:space="preserve"> and</w:t>
      </w:r>
      <w:r w:rsidR="00BA10A6" w:rsidRPr="00CF5CA3">
        <w:rPr>
          <w:rFonts w:ascii="Times New Roman" w:hAnsi="Times New Roman" w:cs="Times New Roman"/>
          <w:color w:val="000000" w:themeColor="text1"/>
          <w:sz w:val="18"/>
          <w:szCs w:val="18"/>
          <w:lang w:val="en-US"/>
        </w:rPr>
        <w:t xml:space="preserve"> </w:t>
      </w:r>
      <w:r w:rsidR="004C6A9C" w:rsidRPr="00CF5CA3">
        <w:rPr>
          <w:rFonts w:ascii="Times New Roman" w:hAnsi="Times New Roman" w:cs="Times New Roman"/>
          <w:color w:val="000000" w:themeColor="text1"/>
          <w:sz w:val="18"/>
          <w:szCs w:val="18"/>
          <w:lang w:val="en-US"/>
        </w:rPr>
        <w:t>336 ff (FSR)</w:t>
      </w:r>
      <w:r w:rsidR="00BA10A6" w:rsidRPr="00CF5CA3">
        <w:rPr>
          <w:rFonts w:ascii="Times New Roman" w:hAnsi="Times New Roman" w:cs="Times New Roman"/>
          <w:color w:val="000000" w:themeColor="text1"/>
          <w:sz w:val="18"/>
          <w:szCs w:val="18"/>
          <w:lang w:val="en-US"/>
        </w:rPr>
        <w:t>; see also</w:t>
      </w:r>
      <w:r w:rsidRPr="00CF5CA3">
        <w:rPr>
          <w:rFonts w:ascii="Times New Roman" w:hAnsi="Times New Roman" w:cs="Times New Roman"/>
          <w:color w:val="000000" w:themeColor="text1"/>
          <w:sz w:val="18"/>
          <w:szCs w:val="18"/>
        </w:rPr>
        <w:t xml:space="preserve"> M. Frank, ‘The EU’s New Foreign Subsidy Regulation on </w:t>
      </w:r>
      <w:r w:rsidR="00737712" w:rsidRPr="00CF5CA3">
        <w:rPr>
          <w:rFonts w:ascii="Times New Roman" w:hAnsi="Times New Roman" w:cs="Times New Roman"/>
          <w:color w:val="000000" w:themeColor="text1"/>
          <w:sz w:val="18"/>
          <w:szCs w:val="18"/>
        </w:rPr>
        <w:t>Collision</w:t>
      </w:r>
      <w:r w:rsidRPr="00CF5CA3">
        <w:rPr>
          <w:rFonts w:ascii="Times New Roman" w:hAnsi="Times New Roman" w:cs="Times New Roman"/>
          <w:color w:val="000000" w:themeColor="text1"/>
          <w:sz w:val="18"/>
          <w:szCs w:val="18"/>
        </w:rPr>
        <w:t xml:space="preserve"> Course with the WTO</w:t>
      </w:r>
      <w:r w:rsidR="00EC41EA" w:rsidRPr="00CF5CA3">
        <w:rPr>
          <w:rFonts w:ascii="Times New Roman" w:hAnsi="Times New Roman" w:cs="Times New Roman"/>
          <w:color w:val="000000" w:themeColor="text1"/>
          <w:sz w:val="18"/>
          <w:szCs w:val="18"/>
        </w:rPr>
        <w:t>’</w:t>
      </w:r>
      <w:r w:rsidR="00E03765" w:rsidRPr="00CF5CA3">
        <w:rPr>
          <w:rFonts w:ascii="Times New Roman" w:hAnsi="Times New Roman" w:cs="Times New Roman"/>
          <w:color w:val="000000" w:themeColor="text1"/>
          <w:sz w:val="18"/>
          <w:szCs w:val="18"/>
        </w:rPr>
        <w:t xml:space="preserve"> (2023) 60(4) </w:t>
      </w:r>
      <w:r w:rsidRPr="00CF5CA3">
        <w:rPr>
          <w:rFonts w:ascii="Times New Roman" w:hAnsi="Times New Roman" w:cs="Times New Roman"/>
          <w:color w:val="000000" w:themeColor="text1"/>
          <w:sz w:val="18"/>
          <w:szCs w:val="18"/>
        </w:rPr>
        <w:t>Common Market Law Review</w:t>
      </w:r>
      <w:r w:rsidR="00E03765" w:rsidRPr="00CF5CA3">
        <w:rPr>
          <w:rFonts w:ascii="Times New Roman" w:hAnsi="Times New Roman" w:cs="Times New Roman"/>
          <w:color w:val="000000" w:themeColor="text1"/>
          <w:sz w:val="18"/>
          <w:szCs w:val="18"/>
        </w:rPr>
        <w:t xml:space="preserve"> </w:t>
      </w:r>
      <w:r w:rsidRPr="00CF5CA3">
        <w:rPr>
          <w:rFonts w:ascii="Times New Roman" w:hAnsi="Times New Roman" w:cs="Times New Roman"/>
          <w:color w:val="000000" w:themeColor="text1"/>
          <w:sz w:val="18"/>
          <w:szCs w:val="18"/>
        </w:rPr>
        <w:t>925</w:t>
      </w:r>
      <w:r w:rsidR="00EC41EA" w:rsidRPr="00CF5CA3">
        <w:rPr>
          <w:rFonts w:ascii="Times New Roman" w:hAnsi="Times New Roman" w:cs="Times New Roman"/>
          <w:color w:val="000000" w:themeColor="text1"/>
          <w:sz w:val="18"/>
          <w:szCs w:val="18"/>
        </w:rPr>
        <w:t>.</w:t>
      </w:r>
    </w:p>
  </w:footnote>
  <w:footnote w:id="90">
    <w:p w14:paraId="000000A2" w14:textId="5A7FDCC8" w:rsidR="00706BDF" w:rsidRPr="00CF5CA3" w:rsidRDefault="001F7452" w:rsidP="00AA37E7">
      <w:pPr>
        <w:spacing w:after="0" w:line="240" w:lineRule="auto"/>
        <w:jc w:val="both"/>
        <w:rPr>
          <w:rFonts w:ascii="Times New Roman" w:eastAsia="Book Antiqua" w:hAnsi="Times New Roman" w:cs="Times New Roman"/>
          <w:sz w:val="18"/>
          <w:szCs w:val="18"/>
        </w:rPr>
      </w:pPr>
      <w:r w:rsidRPr="00CF5CA3">
        <w:rPr>
          <w:rFonts w:ascii="Times New Roman" w:hAnsi="Times New Roman" w:cs="Times New Roman"/>
          <w:color w:val="000000" w:themeColor="text1"/>
          <w:sz w:val="18"/>
          <w:szCs w:val="18"/>
          <w:vertAlign w:val="superscript"/>
        </w:rPr>
        <w:footnoteRef/>
      </w:r>
      <w:r w:rsidRPr="00CF5CA3">
        <w:rPr>
          <w:rFonts w:ascii="Times New Roman" w:eastAsia="Book Antiqua" w:hAnsi="Times New Roman" w:cs="Times New Roman"/>
          <w:color w:val="000000" w:themeColor="text1"/>
          <w:sz w:val="18"/>
          <w:szCs w:val="18"/>
        </w:rPr>
        <w:t xml:space="preserve"> </w:t>
      </w:r>
      <w:r w:rsidR="00E03765" w:rsidRPr="00CF5CA3">
        <w:rPr>
          <w:rFonts w:ascii="Times New Roman" w:eastAsia="Book Antiqua" w:hAnsi="Times New Roman" w:cs="Times New Roman"/>
          <w:color w:val="000000" w:themeColor="text1"/>
          <w:sz w:val="18"/>
          <w:szCs w:val="18"/>
        </w:rPr>
        <w:t xml:space="preserve">Michael Bowsher et al (n 13) (Part II authored by Pascal Friton) </w:t>
      </w:r>
      <w:r w:rsidRPr="00CF5CA3">
        <w:rPr>
          <w:rFonts w:ascii="Times New Roman" w:eastAsia="Book Antiqua" w:hAnsi="Times New Roman" w:cs="Times New Roman"/>
          <w:color w:val="000000" w:themeColor="text1"/>
          <w:sz w:val="18"/>
          <w:szCs w:val="18"/>
        </w:rPr>
        <w:t>71.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D0D0C"/>
    <w:multiLevelType w:val="hybridMultilevel"/>
    <w:tmpl w:val="8A7C37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9A50555"/>
    <w:multiLevelType w:val="multilevel"/>
    <w:tmpl w:val="807219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96059598">
    <w:abstractNumId w:val="1"/>
  </w:num>
  <w:num w:numId="2" w16cid:durableId="872380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BDF"/>
    <w:rsid w:val="000017F3"/>
    <w:rsid w:val="000129EA"/>
    <w:rsid w:val="00046EE4"/>
    <w:rsid w:val="00091E4F"/>
    <w:rsid w:val="00106A2B"/>
    <w:rsid w:val="00107E14"/>
    <w:rsid w:val="00113535"/>
    <w:rsid w:val="001176B0"/>
    <w:rsid w:val="001235FC"/>
    <w:rsid w:val="00145761"/>
    <w:rsid w:val="00170EF8"/>
    <w:rsid w:val="001866FA"/>
    <w:rsid w:val="001C5F1D"/>
    <w:rsid w:val="001F7452"/>
    <w:rsid w:val="00242A0E"/>
    <w:rsid w:val="00252D5D"/>
    <w:rsid w:val="002545CB"/>
    <w:rsid w:val="002947AF"/>
    <w:rsid w:val="002B187B"/>
    <w:rsid w:val="00310A22"/>
    <w:rsid w:val="00314FC9"/>
    <w:rsid w:val="00324304"/>
    <w:rsid w:val="00347B0C"/>
    <w:rsid w:val="00371321"/>
    <w:rsid w:val="003721E1"/>
    <w:rsid w:val="003B49B4"/>
    <w:rsid w:val="003D3C4A"/>
    <w:rsid w:val="003D43B2"/>
    <w:rsid w:val="003E5722"/>
    <w:rsid w:val="00416296"/>
    <w:rsid w:val="00423740"/>
    <w:rsid w:val="00424752"/>
    <w:rsid w:val="00433FA8"/>
    <w:rsid w:val="004359A8"/>
    <w:rsid w:val="00457F5E"/>
    <w:rsid w:val="00462079"/>
    <w:rsid w:val="0049245E"/>
    <w:rsid w:val="004B1795"/>
    <w:rsid w:val="004C6A9C"/>
    <w:rsid w:val="004D3267"/>
    <w:rsid w:val="004E35B2"/>
    <w:rsid w:val="00516678"/>
    <w:rsid w:val="00527793"/>
    <w:rsid w:val="00560566"/>
    <w:rsid w:val="005639E5"/>
    <w:rsid w:val="005C1FF4"/>
    <w:rsid w:val="005E4FF0"/>
    <w:rsid w:val="005F6FD7"/>
    <w:rsid w:val="0060081B"/>
    <w:rsid w:val="00646580"/>
    <w:rsid w:val="006766E3"/>
    <w:rsid w:val="006838CD"/>
    <w:rsid w:val="006C2516"/>
    <w:rsid w:val="006D5603"/>
    <w:rsid w:val="006E345B"/>
    <w:rsid w:val="006F3437"/>
    <w:rsid w:val="00704E7C"/>
    <w:rsid w:val="00706BDF"/>
    <w:rsid w:val="00720695"/>
    <w:rsid w:val="007236EE"/>
    <w:rsid w:val="00726125"/>
    <w:rsid w:val="00737712"/>
    <w:rsid w:val="00743C09"/>
    <w:rsid w:val="00761F7C"/>
    <w:rsid w:val="007724F6"/>
    <w:rsid w:val="00780513"/>
    <w:rsid w:val="007A5C32"/>
    <w:rsid w:val="007B2B48"/>
    <w:rsid w:val="007B3ED9"/>
    <w:rsid w:val="007E25FE"/>
    <w:rsid w:val="00822BE7"/>
    <w:rsid w:val="00840397"/>
    <w:rsid w:val="008617EF"/>
    <w:rsid w:val="008B4F8E"/>
    <w:rsid w:val="008C690D"/>
    <w:rsid w:val="008D4686"/>
    <w:rsid w:val="008E1882"/>
    <w:rsid w:val="009101C1"/>
    <w:rsid w:val="00923FE8"/>
    <w:rsid w:val="00961680"/>
    <w:rsid w:val="00961E9D"/>
    <w:rsid w:val="009860A2"/>
    <w:rsid w:val="00997E81"/>
    <w:rsid w:val="009A261A"/>
    <w:rsid w:val="009B30C1"/>
    <w:rsid w:val="009B56B6"/>
    <w:rsid w:val="009E0D3A"/>
    <w:rsid w:val="009E1291"/>
    <w:rsid w:val="009F0A8C"/>
    <w:rsid w:val="00A51684"/>
    <w:rsid w:val="00A84BEE"/>
    <w:rsid w:val="00A86502"/>
    <w:rsid w:val="00A962E7"/>
    <w:rsid w:val="00AA37E7"/>
    <w:rsid w:val="00B03391"/>
    <w:rsid w:val="00B54853"/>
    <w:rsid w:val="00B65262"/>
    <w:rsid w:val="00B71D79"/>
    <w:rsid w:val="00B847A6"/>
    <w:rsid w:val="00B91853"/>
    <w:rsid w:val="00BA10A6"/>
    <w:rsid w:val="00BB72A0"/>
    <w:rsid w:val="00BC0C1D"/>
    <w:rsid w:val="00BC1952"/>
    <w:rsid w:val="00BE2DC3"/>
    <w:rsid w:val="00BF61CC"/>
    <w:rsid w:val="00C00F9F"/>
    <w:rsid w:val="00C03A42"/>
    <w:rsid w:val="00C54615"/>
    <w:rsid w:val="00C629D8"/>
    <w:rsid w:val="00C6342F"/>
    <w:rsid w:val="00C924E1"/>
    <w:rsid w:val="00CA129F"/>
    <w:rsid w:val="00CB466B"/>
    <w:rsid w:val="00CD18CE"/>
    <w:rsid w:val="00CD2258"/>
    <w:rsid w:val="00CD24EF"/>
    <w:rsid w:val="00CE68B6"/>
    <w:rsid w:val="00CF5A1B"/>
    <w:rsid w:val="00CF5C86"/>
    <w:rsid w:val="00CF5CA3"/>
    <w:rsid w:val="00D04DF3"/>
    <w:rsid w:val="00D55BB6"/>
    <w:rsid w:val="00D74898"/>
    <w:rsid w:val="00D933A3"/>
    <w:rsid w:val="00D9709B"/>
    <w:rsid w:val="00DA2522"/>
    <w:rsid w:val="00DD1EB1"/>
    <w:rsid w:val="00DF6C56"/>
    <w:rsid w:val="00E03765"/>
    <w:rsid w:val="00E042E9"/>
    <w:rsid w:val="00E14AB9"/>
    <w:rsid w:val="00E24913"/>
    <w:rsid w:val="00E47D61"/>
    <w:rsid w:val="00E53898"/>
    <w:rsid w:val="00E57252"/>
    <w:rsid w:val="00E921E5"/>
    <w:rsid w:val="00EA2314"/>
    <w:rsid w:val="00EC41EA"/>
    <w:rsid w:val="00EC44F0"/>
    <w:rsid w:val="00EF39AE"/>
    <w:rsid w:val="00EF54B9"/>
    <w:rsid w:val="00F00F07"/>
    <w:rsid w:val="00F13E15"/>
    <w:rsid w:val="00F26297"/>
    <w:rsid w:val="00F4794D"/>
    <w:rsid w:val="00F66B3B"/>
    <w:rsid w:val="00FB2148"/>
    <w:rsid w:val="00FE44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A59BD"/>
  <w15:docId w15:val="{7DD31DCF-B5D2-46C9-83BE-BB1DC5150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it-I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F0C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F0C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F0C6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F0C6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F0C6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F0C6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F0C6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F0C6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F0C6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7F0C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7F0C6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F0C6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F0C6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F0C6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F0C6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F0C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F0C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F0C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F0C6D"/>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7F0C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Pr>
      <w:color w:val="595959"/>
      <w:sz w:val="28"/>
      <w:szCs w:val="28"/>
    </w:rPr>
  </w:style>
  <w:style w:type="character" w:customStyle="1" w:styleId="SottotitoloCarattere">
    <w:name w:val="Sottotitolo Carattere"/>
    <w:basedOn w:val="Carpredefinitoparagrafo"/>
    <w:link w:val="Sottotitolo"/>
    <w:uiPriority w:val="11"/>
    <w:rsid w:val="007F0C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F0C6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F0C6D"/>
    <w:rPr>
      <w:i/>
      <w:iCs/>
      <w:color w:val="404040" w:themeColor="text1" w:themeTint="BF"/>
    </w:rPr>
  </w:style>
  <w:style w:type="paragraph" w:styleId="Paragrafoelenco">
    <w:name w:val="List Paragraph"/>
    <w:basedOn w:val="Normale"/>
    <w:uiPriority w:val="34"/>
    <w:qFormat/>
    <w:rsid w:val="007F0C6D"/>
    <w:pPr>
      <w:ind w:left="720"/>
      <w:contextualSpacing/>
    </w:pPr>
  </w:style>
  <w:style w:type="character" w:styleId="Enfasiintensa">
    <w:name w:val="Intense Emphasis"/>
    <w:basedOn w:val="Carpredefinitoparagrafo"/>
    <w:uiPriority w:val="21"/>
    <w:qFormat/>
    <w:rsid w:val="007F0C6D"/>
    <w:rPr>
      <w:i/>
      <w:iCs/>
      <w:color w:val="0F4761" w:themeColor="accent1" w:themeShade="BF"/>
    </w:rPr>
  </w:style>
  <w:style w:type="paragraph" w:styleId="Citazioneintensa">
    <w:name w:val="Intense Quote"/>
    <w:basedOn w:val="Normale"/>
    <w:next w:val="Normale"/>
    <w:link w:val="CitazioneintensaCarattere"/>
    <w:uiPriority w:val="30"/>
    <w:qFormat/>
    <w:rsid w:val="007F0C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F0C6D"/>
    <w:rPr>
      <w:i/>
      <w:iCs/>
      <w:color w:val="0F4761" w:themeColor="accent1" w:themeShade="BF"/>
    </w:rPr>
  </w:style>
  <w:style w:type="character" w:styleId="Riferimentointenso">
    <w:name w:val="Intense Reference"/>
    <w:basedOn w:val="Carpredefinitoparagrafo"/>
    <w:uiPriority w:val="32"/>
    <w:qFormat/>
    <w:rsid w:val="007F0C6D"/>
    <w:rPr>
      <w:b/>
      <w:bCs/>
      <w:smallCaps/>
      <w:color w:val="0F4761" w:themeColor="accent1" w:themeShade="BF"/>
      <w:spacing w:val="5"/>
    </w:rPr>
  </w:style>
  <w:style w:type="character" w:styleId="Rimandocommento">
    <w:name w:val="annotation reference"/>
    <w:basedOn w:val="Carpredefinitoparagrafo"/>
    <w:uiPriority w:val="99"/>
    <w:semiHidden/>
    <w:unhideWhenUsed/>
    <w:rsid w:val="004E4D28"/>
    <w:rPr>
      <w:sz w:val="16"/>
      <w:szCs w:val="16"/>
    </w:rPr>
  </w:style>
  <w:style w:type="paragraph" w:styleId="Testocommento">
    <w:name w:val="annotation text"/>
    <w:basedOn w:val="Normale"/>
    <w:link w:val="TestocommentoCarattere"/>
    <w:uiPriority w:val="99"/>
    <w:unhideWhenUsed/>
    <w:rsid w:val="004E4D28"/>
    <w:pPr>
      <w:spacing w:line="240" w:lineRule="auto"/>
    </w:pPr>
    <w:rPr>
      <w:sz w:val="20"/>
      <w:szCs w:val="20"/>
    </w:rPr>
  </w:style>
  <w:style w:type="character" w:customStyle="1" w:styleId="TestocommentoCarattere">
    <w:name w:val="Testo commento Carattere"/>
    <w:basedOn w:val="Carpredefinitoparagrafo"/>
    <w:link w:val="Testocommento"/>
    <w:uiPriority w:val="99"/>
    <w:rsid w:val="004E4D28"/>
    <w:rPr>
      <w:sz w:val="20"/>
      <w:szCs w:val="20"/>
    </w:rPr>
  </w:style>
  <w:style w:type="paragraph" w:styleId="Soggettocommento">
    <w:name w:val="annotation subject"/>
    <w:basedOn w:val="Testocommento"/>
    <w:next w:val="Testocommento"/>
    <w:link w:val="SoggettocommentoCarattere"/>
    <w:uiPriority w:val="99"/>
    <w:semiHidden/>
    <w:unhideWhenUsed/>
    <w:rsid w:val="004E4D28"/>
    <w:rPr>
      <w:b/>
      <w:bCs/>
    </w:rPr>
  </w:style>
  <w:style w:type="character" w:customStyle="1" w:styleId="SoggettocommentoCarattere">
    <w:name w:val="Soggetto commento Carattere"/>
    <w:basedOn w:val="TestocommentoCarattere"/>
    <w:link w:val="Soggettocommento"/>
    <w:uiPriority w:val="99"/>
    <w:semiHidden/>
    <w:rsid w:val="004E4D28"/>
    <w:rPr>
      <w:b/>
      <w:bCs/>
      <w:sz w:val="20"/>
      <w:szCs w:val="20"/>
    </w:rPr>
  </w:style>
  <w:style w:type="character" w:styleId="Collegamentoipertestuale">
    <w:name w:val="Hyperlink"/>
    <w:basedOn w:val="Carpredefinitoparagrafo"/>
    <w:uiPriority w:val="99"/>
    <w:unhideWhenUsed/>
    <w:rsid w:val="004767B8"/>
    <w:rPr>
      <w:color w:val="467886" w:themeColor="hyperlink"/>
      <w:u w:val="single"/>
    </w:rPr>
  </w:style>
  <w:style w:type="paragraph" w:styleId="Testofumetto">
    <w:name w:val="Balloon Text"/>
    <w:basedOn w:val="Normale"/>
    <w:link w:val="TestofumettoCarattere"/>
    <w:uiPriority w:val="99"/>
    <w:semiHidden/>
    <w:unhideWhenUsed/>
    <w:rsid w:val="00CF1AF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F1AF1"/>
    <w:rPr>
      <w:rFonts w:ascii="Segoe UI" w:hAnsi="Segoe UI" w:cs="Segoe UI"/>
      <w:sz w:val="18"/>
      <w:szCs w:val="18"/>
    </w:rPr>
  </w:style>
  <w:style w:type="paragraph" w:styleId="Revisione">
    <w:name w:val="Revision"/>
    <w:hidden/>
    <w:uiPriority w:val="99"/>
    <w:semiHidden/>
    <w:rsid w:val="003D3C4A"/>
    <w:pPr>
      <w:spacing w:after="0" w:line="240" w:lineRule="auto"/>
    </w:pPr>
  </w:style>
  <w:style w:type="paragraph" w:styleId="Testonotaapidipagina">
    <w:name w:val="footnote text"/>
    <w:basedOn w:val="Normale"/>
    <w:link w:val="TestonotaapidipaginaCarattere"/>
    <w:uiPriority w:val="99"/>
    <w:unhideWhenUsed/>
    <w:rsid w:val="0072612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726125"/>
    <w:rPr>
      <w:sz w:val="20"/>
      <w:szCs w:val="20"/>
    </w:rPr>
  </w:style>
  <w:style w:type="character" w:styleId="Rimandonotaapidipagina">
    <w:name w:val="footnote reference"/>
    <w:basedOn w:val="Carpredefinitoparagrafo"/>
    <w:uiPriority w:val="99"/>
    <w:semiHidden/>
    <w:unhideWhenUsed/>
    <w:rsid w:val="00726125"/>
    <w:rPr>
      <w:vertAlign w:val="superscript"/>
    </w:rPr>
  </w:style>
  <w:style w:type="character" w:styleId="Menzionenonrisolta">
    <w:name w:val="Unresolved Mention"/>
    <w:basedOn w:val="Carpredefinitoparagrafo"/>
    <w:uiPriority w:val="99"/>
    <w:semiHidden/>
    <w:unhideWhenUsed/>
    <w:rsid w:val="003721E1"/>
    <w:rPr>
      <w:color w:val="605E5C"/>
      <w:shd w:val="clear" w:color="auto" w:fill="E1DFDD"/>
    </w:rPr>
  </w:style>
  <w:style w:type="character" w:styleId="Collegamentovisitato">
    <w:name w:val="FollowedHyperlink"/>
    <w:basedOn w:val="Carpredefinitoparagrafo"/>
    <w:uiPriority w:val="99"/>
    <w:semiHidden/>
    <w:unhideWhenUsed/>
    <w:rsid w:val="002B187B"/>
    <w:rPr>
      <w:color w:val="96607D" w:themeColor="followedHyperlink"/>
      <w:u w:val="single"/>
    </w:rPr>
  </w:style>
  <w:style w:type="paragraph" w:styleId="Intestazione">
    <w:name w:val="header"/>
    <w:basedOn w:val="Normale"/>
    <w:link w:val="IntestazioneCarattere"/>
    <w:uiPriority w:val="99"/>
    <w:unhideWhenUsed/>
    <w:rsid w:val="00046EE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46EE4"/>
  </w:style>
  <w:style w:type="paragraph" w:styleId="Pidipagina">
    <w:name w:val="footer"/>
    <w:basedOn w:val="Normale"/>
    <w:link w:val="PidipaginaCarattere"/>
    <w:uiPriority w:val="99"/>
    <w:unhideWhenUsed/>
    <w:rsid w:val="00046EE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46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530997">
      <w:bodyDiv w:val="1"/>
      <w:marLeft w:val="0"/>
      <w:marRight w:val="0"/>
      <w:marTop w:val="0"/>
      <w:marBottom w:val="0"/>
      <w:divBdr>
        <w:top w:val="none" w:sz="0" w:space="0" w:color="auto"/>
        <w:left w:val="none" w:sz="0" w:space="0" w:color="auto"/>
        <w:bottom w:val="none" w:sz="0" w:space="0" w:color="auto"/>
        <w:right w:val="none" w:sz="0" w:space="0" w:color="auto"/>
      </w:divBdr>
    </w:div>
    <w:div w:id="310183969">
      <w:bodyDiv w:val="1"/>
      <w:marLeft w:val="0"/>
      <w:marRight w:val="0"/>
      <w:marTop w:val="0"/>
      <w:marBottom w:val="0"/>
      <w:divBdr>
        <w:top w:val="none" w:sz="0" w:space="0" w:color="auto"/>
        <w:left w:val="none" w:sz="0" w:space="0" w:color="auto"/>
        <w:bottom w:val="none" w:sz="0" w:space="0" w:color="auto"/>
        <w:right w:val="none" w:sz="0" w:space="0" w:color="auto"/>
      </w:divBdr>
      <w:divsChild>
        <w:div w:id="1714186294">
          <w:marLeft w:val="0"/>
          <w:marRight w:val="0"/>
          <w:marTop w:val="0"/>
          <w:marBottom w:val="0"/>
          <w:divBdr>
            <w:top w:val="none" w:sz="0" w:space="0" w:color="auto"/>
            <w:left w:val="none" w:sz="0" w:space="0" w:color="auto"/>
            <w:bottom w:val="none" w:sz="0" w:space="0" w:color="auto"/>
            <w:right w:val="none" w:sz="0" w:space="0" w:color="auto"/>
          </w:divBdr>
        </w:div>
      </w:divsChild>
    </w:div>
    <w:div w:id="363941938">
      <w:bodyDiv w:val="1"/>
      <w:marLeft w:val="0"/>
      <w:marRight w:val="0"/>
      <w:marTop w:val="0"/>
      <w:marBottom w:val="0"/>
      <w:divBdr>
        <w:top w:val="none" w:sz="0" w:space="0" w:color="auto"/>
        <w:left w:val="none" w:sz="0" w:space="0" w:color="auto"/>
        <w:bottom w:val="none" w:sz="0" w:space="0" w:color="auto"/>
        <w:right w:val="none" w:sz="0" w:space="0" w:color="auto"/>
      </w:divBdr>
    </w:div>
    <w:div w:id="438794281">
      <w:bodyDiv w:val="1"/>
      <w:marLeft w:val="0"/>
      <w:marRight w:val="0"/>
      <w:marTop w:val="0"/>
      <w:marBottom w:val="0"/>
      <w:divBdr>
        <w:top w:val="none" w:sz="0" w:space="0" w:color="auto"/>
        <w:left w:val="none" w:sz="0" w:space="0" w:color="auto"/>
        <w:bottom w:val="none" w:sz="0" w:space="0" w:color="auto"/>
        <w:right w:val="none" w:sz="0" w:space="0" w:color="auto"/>
      </w:divBdr>
    </w:div>
    <w:div w:id="678701354">
      <w:bodyDiv w:val="1"/>
      <w:marLeft w:val="0"/>
      <w:marRight w:val="0"/>
      <w:marTop w:val="0"/>
      <w:marBottom w:val="0"/>
      <w:divBdr>
        <w:top w:val="none" w:sz="0" w:space="0" w:color="auto"/>
        <w:left w:val="none" w:sz="0" w:space="0" w:color="auto"/>
        <w:bottom w:val="none" w:sz="0" w:space="0" w:color="auto"/>
        <w:right w:val="none" w:sz="0" w:space="0" w:color="auto"/>
      </w:divBdr>
    </w:div>
    <w:div w:id="731467452">
      <w:bodyDiv w:val="1"/>
      <w:marLeft w:val="0"/>
      <w:marRight w:val="0"/>
      <w:marTop w:val="0"/>
      <w:marBottom w:val="0"/>
      <w:divBdr>
        <w:top w:val="none" w:sz="0" w:space="0" w:color="auto"/>
        <w:left w:val="none" w:sz="0" w:space="0" w:color="auto"/>
        <w:bottom w:val="none" w:sz="0" w:space="0" w:color="auto"/>
        <w:right w:val="none" w:sz="0" w:space="0" w:color="auto"/>
      </w:divBdr>
      <w:divsChild>
        <w:div w:id="1745106819">
          <w:marLeft w:val="0"/>
          <w:marRight w:val="0"/>
          <w:marTop w:val="0"/>
          <w:marBottom w:val="0"/>
          <w:divBdr>
            <w:top w:val="none" w:sz="0" w:space="0" w:color="auto"/>
            <w:left w:val="none" w:sz="0" w:space="0" w:color="auto"/>
            <w:bottom w:val="none" w:sz="0" w:space="0" w:color="auto"/>
            <w:right w:val="none" w:sz="0" w:space="0" w:color="auto"/>
          </w:divBdr>
        </w:div>
      </w:divsChild>
    </w:div>
    <w:div w:id="838689858">
      <w:bodyDiv w:val="1"/>
      <w:marLeft w:val="0"/>
      <w:marRight w:val="0"/>
      <w:marTop w:val="0"/>
      <w:marBottom w:val="0"/>
      <w:divBdr>
        <w:top w:val="none" w:sz="0" w:space="0" w:color="auto"/>
        <w:left w:val="none" w:sz="0" w:space="0" w:color="auto"/>
        <w:bottom w:val="none" w:sz="0" w:space="0" w:color="auto"/>
        <w:right w:val="none" w:sz="0" w:space="0" w:color="auto"/>
      </w:divBdr>
    </w:div>
    <w:div w:id="920020011">
      <w:bodyDiv w:val="1"/>
      <w:marLeft w:val="0"/>
      <w:marRight w:val="0"/>
      <w:marTop w:val="0"/>
      <w:marBottom w:val="0"/>
      <w:divBdr>
        <w:top w:val="none" w:sz="0" w:space="0" w:color="auto"/>
        <w:left w:val="none" w:sz="0" w:space="0" w:color="auto"/>
        <w:bottom w:val="none" w:sz="0" w:space="0" w:color="auto"/>
        <w:right w:val="none" w:sz="0" w:space="0" w:color="auto"/>
      </w:divBdr>
    </w:div>
    <w:div w:id="1191996187">
      <w:bodyDiv w:val="1"/>
      <w:marLeft w:val="0"/>
      <w:marRight w:val="0"/>
      <w:marTop w:val="0"/>
      <w:marBottom w:val="0"/>
      <w:divBdr>
        <w:top w:val="none" w:sz="0" w:space="0" w:color="auto"/>
        <w:left w:val="none" w:sz="0" w:space="0" w:color="auto"/>
        <w:bottom w:val="none" w:sz="0" w:space="0" w:color="auto"/>
        <w:right w:val="none" w:sz="0" w:space="0" w:color="auto"/>
      </w:divBdr>
    </w:div>
    <w:div w:id="1524243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single-market-economy.ec.europa.eu/single-market/public-procurement/communications-and-guidance-documents_en" TargetMode="External"/><Relationship Id="rId3" Type="http://schemas.openxmlformats.org/officeDocument/2006/relationships/hyperlink" Target="https://ec.europa.eu/commission/presscorner/detail/en/ip_25_685" TargetMode="External"/><Relationship Id="rId7" Type="http://schemas.openxmlformats.org/officeDocument/2006/relationships/hyperlink" Target="https://ec.europa.eu/commission/presscorner/detail/en/ip_25_1954" TargetMode="External"/><Relationship Id="rId2" Type="http://schemas.openxmlformats.org/officeDocument/2006/relationships/hyperlink" Target="https://policy.trade.ec.europa.eu/help-exporters-and-importers/accessing-markets/public-procurement_en" TargetMode="External"/><Relationship Id="rId1" Type="http://schemas.openxmlformats.org/officeDocument/2006/relationships/hyperlink" Target="https://single-market-economy.ec.europa.eu/single-market/public-procurement_en" TargetMode="External"/><Relationship Id="rId6" Type="http://schemas.openxmlformats.org/officeDocument/2006/relationships/hyperlink" Target="https://eur-lex.europa.eu/legal-content/EN/TXT/PDF/?uri=OJ:C_202402832" TargetMode="External"/><Relationship Id="rId11" Type="http://schemas.openxmlformats.org/officeDocument/2006/relationships/hyperlink" Target="https://www.europarl.europa.eu/RegData/etudes/STUD/2024/754446/EXPO_STU(2024)754446_EN.pdf" TargetMode="External"/><Relationship Id="rId5" Type="http://schemas.openxmlformats.org/officeDocument/2006/relationships/hyperlink" Target="https://eur-lex.europa.eu/legal-content/EN/TXT/PDF/?uri=OJ:C_202402830" TargetMode="External"/><Relationship Id="rId10" Type="http://schemas.openxmlformats.org/officeDocument/2006/relationships/hyperlink" Target="https://commission.europa.eu/document/e6cd4328-673c-4e7a-8683-f63ffb2cf648_en" TargetMode="External"/><Relationship Id="rId4" Type="http://schemas.openxmlformats.org/officeDocument/2006/relationships/hyperlink" Target="https://eur-lex.europa.eu/eli/C/2024/1913/oj/eng" TargetMode="External"/><Relationship Id="rId9" Type="http://schemas.openxmlformats.org/officeDocument/2006/relationships/hyperlink" Target="https://www.howtocrackanut.com/blog/2025/5/20/bordering-the-irresponsible-commission-non-paper-on-third-country-acces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7Rl0rP4Gh+9gH1rNZbS3/J/ew==">CgMxLjAaJQoBMBIgCh4IB0IaCg9UaW1lcyBOZXcgUm9tYW4SB0d1bmdzdWg4AHIhMXJmQUxXSG5KZlcyOWl1TGV0Z1piUEJuX0l5LVo2OEF2</go:docsCustomData>
</go:gDocsCustomXmlDataStorage>
</file>

<file path=customXml/itemProps1.xml><?xml version="1.0" encoding="utf-8"?>
<ds:datastoreItem xmlns:ds="http://schemas.openxmlformats.org/officeDocument/2006/customXml" ds:itemID="{6F7115E3-D91F-44AC-B389-9EFC084FC57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5450</Words>
  <Characters>31066</Characters>
  <Application>Microsoft Office Word</Application>
  <DocSecurity>0</DocSecurity>
  <Lines>258</Lines>
  <Paragraphs>72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Caranta</dc:creator>
  <cp:lastModifiedBy>Roberto Caranta</cp:lastModifiedBy>
  <cp:revision>5</cp:revision>
  <dcterms:created xsi:type="dcterms:W3CDTF">2025-09-12T12:00:00Z</dcterms:created>
  <dcterms:modified xsi:type="dcterms:W3CDTF">2025-09-12T12:34:00Z</dcterms:modified>
</cp:coreProperties>
</file>